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2220" w:right="860" w:hanging="774"/>
        <w:spacing w:after="0" w:line="235" w:lineRule="auto"/>
        <w:tabs>
          <w:tab w:leader="none" w:pos="2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February 25, 2023</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2220" w:right="860" w:hanging="772"/>
        <w:spacing w:after="0" w:line="245" w:lineRule="auto"/>
        <w:tabs>
          <w:tab w:leader="none" w:pos="222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85725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ectPr>
          <w:pgSz w:w="11900" w:h="16864" w:orient="portrait"/>
          <w:cols w:equalWidth="0" w:num="1">
            <w:col w:w="11240"/>
          </w:cols>
          <w:pgMar w:left="320" w:top="695" w:right="339" w:bottom="0" w:gutter="0" w:footer="0" w:header="0"/>
        </w:sectPr>
      </w:pPr>
    </w:p>
    <w:p>
      <w:pPr>
        <w:spacing w:after="0" w:line="148"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p>
      <w:pPr>
        <w:sectPr>
          <w:pgSz w:w="11900" w:h="16864" w:orient="portrait"/>
          <w:cols w:equalWidth="0" w:num="2">
            <w:col w:w="7860" w:space="720"/>
            <w:col w:w="2660"/>
          </w:cols>
          <w:pgMar w:left="320" w:top="695" w:right="339" w:bottom="0" w:gutter="0" w:footer="0" w:header="0"/>
          <w:type w:val="continuous"/>
        </w:sect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6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2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Title of each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64" w:orient="portrait"/>
          <w:cols w:equalWidth="0" w:num="1">
            <w:col w:w="11240"/>
          </w:cols>
          <w:pgMar w:left="320" w:top="695" w:right="339" w:bottom="0" w:gutter="0" w:footer="0" w:header="0"/>
          <w:type w:val="continuous"/>
        </w:sectPr>
      </w:pPr>
    </w:p>
    <w:p>
      <w:pPr>
        <w:spacing w:after="0" w:line="126"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ind w:left="680"/>
        <w:spacing w:after="0" w:line="18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64" w:orient="portrait"/>
          <w:cols w:equalWidth="0" w:num="3">
            <w:col w:w="4080" w:space="540"/>
            <w:col w:w="1060" w:space="720"/>
            <w:col w:w="4840"/>
          </w:cols>
          <w:pgMar w:left="320" w:top="695"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March 30, 2023, there were 99,512,880 shares of common stock, par value $0.01 per share, issued and outstanding.</w:t>
      </w:r>
    </w:p>
    <w:p>
      <w:pPr>
        <w:sectPr>
          <w:pgSz w:w="11900" w:h="16864" w:orient="portrait"/>
          <w:cols w:equalWidth="0" w:num="1">
            <w:col w:w="11240"/>
          </w:cols>
          <w:pgMar w:left="320" w:top="695"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 ENDED FEBRUARY 25,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w w:val="99"/>
              </w:rPr>
              <w:t>PART I. Financial Information</w:t>
            </w:r>
          </w:p>
        </w:tc>
        <w:tc>
          <w:tcPr>
            <w:tcW w:w="25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300" w:type="dxa"/>
            <w:vAlign w:val="bottom"/>
          </w:tcPr>
          <w:p>
            <w:pPr>
              <w:spacing w:after="0"/>
              <w:rPr>
                <w:sz w:val="20"/>
                <w:szCs w:val="20"/>
                <w:color w:val="auto"/>
              </w:rPr>
            </w:pPr>
          </w:p>
        </w:tc>
        <w:tc>
          <w:tcPr>
            <w:tcW w:w="4120" w:type="dxa"/>
            <w:vAlign w:val="bottom"/>
            <w:gridSpan w:val="8"/>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Income</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00" w:type="dxa"/>
            <w:vAlign w:val="bottom"/>
            <w:gridSpan w:val="5"/>
          </w:tcPr>
          <w:p>
            <w:pPr>
              <w:spacing w:after="0"/>
              <w:rPr>
                <w:sz w:val="20"/>
                <w:szCs w:val="20"/>
                <w:color w:val="auto"/>
              </w:rPr>
            </w:pPr>
          </w:p>
        </w:tc>
        <w:tc>
          <w:tcPr>
            <w:tcW w:w="1920" w:type="dxa"/>
            <w:vAlign w:val="bottom"/>
            <w:gridSpan w:val="2"/>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7</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8</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19</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29</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29</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5</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6</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Exhibits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31</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32</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4" w:right="1440"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25, 2023</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67,494</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132,667</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125,479</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20,934</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351,601</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18,157</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1,123,258</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58,099</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2,088,679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2,094,249</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62,149</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39,675</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3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102,248</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403,022</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112,411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105,676</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41,328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44,639</w:t>
            </w:r>
          </w:p>
        </w:tc>
        <w:tc>
          <w:tcPr>
            <w:tcW w:w="0" w:type="dxa"/>
            <w:vAlign w:val="bottom"/>
          </w:tcPr>
          <w:p>
            <w:pPr>
              <w:spacing w:after="0"/>
              <w:rPr>
                <w:sz w:val="1"/>
                <w:szCs w:val="1"/>
                <w:color w:val="auto"/>
              </w:rPr>
            </w:pPr>
          </w:p>
        </w:tc>
      </w:tr>
      <w:tr>
        <w:trPr>
          <w:trHeight w:val="24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655,585</w:t>
            </w: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9)</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101,873,171 and 101,322,834</w:t>
            </w:r>
          </w:p>
        </w:tc>
        <w:tc>
          <w:tcPr>
            <w:tcW w:w="12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at February 25, 2023 and August 27, 2022, respectively</w:t>
            </w: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8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Treasury stock, 2,365,100 shares and 1,818,754 shares at cost at February 25, 2023 and August 27,</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2022, respectively</w:t>
            </w: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1,295,584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1,287,224</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214,381</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0" w:type="dxa"/>
            <w:vAlign w:val="bottom"/>
          </w:tcPr>
          <w:p>
            <w:pPr>
              <w:spacing w:after="0"/>
              <w:rPr>
                <w:sz w:val="1"/>
                <w:szCs w:val="1"/>
                <w:color w:val="auto"/>
              </w:rPr>
            </w:pPr>
          </w:p>
        </w:tc>
      </w:tr>
      <w:tr>
        <w:trPr>
          <w:trHeight w:val="23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1,491,915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1,438,664</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2,088,679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2,094,249</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ectPr>
          <w:pgSz w:w="11900" w:h="16838" w:orient="portrait"/>
          <w:cols w:equalWidth="0" w:num="1">
            <w:col w:w="10640"/>
          </w:cols>
          <w:pgMar w:left="320" w:top="684" w:right="939" w:bottom="1440" w:gutter="0" w:footer="0" w:header="0"/>
        </w:sect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4" w:right="9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auto"/>
              </w:rPr>
              <w:t>Thirteen Weeks Ended</w:t>
            </w:r>
          </w:p>
        </w:tc>
        <w:tc>
          <w:tcPr>
            <w:tcW w:w="180" w:type="dxa"/>
            <w:vAlign w:val="bottom"/>
          </w:tcPr>
          <w:p>
            <w:pPr>
              <w:spacing w:after="0"/>
              <w:rPr>
                <w:sz w:val="18"/>
                <w:szCs w:val="18"/>
                <w:color w:val="auto"/>
              </w:rPr>
            </w:pPr>
          </w:p>
        </w:tc>
        <w:tc>
          <w:tcPr>
            <w:tcW w:w="29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February 25, 2023</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February 26, 2022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February 25, 2023</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February 26, 2022</w:t>
            </w:r>
          </w:p>
        </w:tc>
        <w:tc>
          <w:tcPr>
            <w:tcW w:w="0" w:type="dxa"/>
            <w:vAlign w:val="bottom"/>
          </w:tcPr>
          <w:p>
            <w:pPr>
              <w:spacing w:after="0"/>
              <w:rPr>
                <w:sz w:val="1"/>
                <w:szCs w:val="1"/>
                <w:color w:val="auto"/>
              </w:rPr>
            </w:pPr>
          </w:p>
        </w:tc>
      </w:tr>
      <w:tr>
        <w:trPr>
          <w:trHeight w:val="23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296,584</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296,718</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597,462</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577,983</w:t>
            </w:r>
          </w:p>
        </w:tc>
        <w:tc>
          <w:tcPr>
            <w:tcW w:w="0" w:type="dxa"/>
            <w:vAlign w:val="bottom"/>
          </w:tcPr>
          <w:p>
            <w:pPr>
              <w:spacing w:after="0"/>
              <w:rPr>
                <w:sz w:val="1"/>
                <w:szCs w:val="1"/>
                <w:color w:val="auto"/>
              </w:rPr>
            </w:pPr>
          </w:p>
        </w:tc>
      </w:tr>
      <w:tr>
        <w:trPr>
          <w:trHeight w:val="25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193,852</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188,195</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383,738</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352,905</w:t>
            </w:r>
          </w:p>
        </w:tc>
        <w:tc>
          <w:tcPr>
            <w:tcW w:w="0" w:type="dxa"/>
            <w:vAlign w:val="bottom"/>
          </w:tcPr>
          <w:p>
            <w:pPr>
              <w:spacing w:after="0"/>
              <w:rPr>
                <w:sz w:val="1"/>
                <w:szCs w:val="1"/>
                <w:color w:val="auto"/>
              </w:rPr>
            </w:pPr>
          </w:p>
        </w:tc>
      </w:tr>
      <w:tr>
        <w:trPr>
          <w:trHeight w:val="23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102,732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108,523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213,724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225,078</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58,482</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62,482</w:t>
            </w:r>
          </w:p>
        </w:tc>
        <w:tc>
          <w:tcPr>
            <w:tcW w:w="0" w:type="dxa"/>
            <w:vAlign w:val="bottom"/>
          </w:tcPr>
          <w:p>
            <w:pPr>
              <w:spacing w:after="0"/>
              <w:rPr>
                <w:sz w:val="1"/>
                <w:szCs w:val="1"/>
                <w:color w:val="auto"/>
              </w:rPr>
            </w:pPr>
          </w:p>
        </w:tc>
      </w:tr>
      <w:tr>
        <w:trPr>
          <w:trHeight w:val="25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49,990</w:t>
            </w:r>
          </w:p>
        </w:tc>
        <w:tc>
          <w:tcPr>
            <w:tcW w:w="0" w:type="dxa"/>
            <w:vAlign w:val="bottom"/>
          </w:tcPr>
          <w:p>
            <w:pPr>
              <w:spacing w:after="0"/>
              <w:rPr>
                <w:sz w:val="1"/>
                <w:szCs w:val="1"/>
                <w:color w:val="auto"/>
              </w:rPr>
            </w:pPr>
          </w:p>
        </w:tc>
      </w:tr>
      <w:tr>
        <w:trPr>
          <w:trHeight w:val="253"/>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8,672</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8,649</w:t>
            </w:r>
          </w:p>
        </w:tc>
        <w:tc>
          <w:tcPr>
            <w:tcW w:w="0" w:type="dxa"/>
            <w:vAlign w:val="bottom"/>
          </w:tcPr>
          <w:p>
            <w:pPr>
              <w:spacing w:after="0"/>
              <w:rPr>
                <w:sz w:val="1"/>
                <w:szCs w:val="1"/>
                <w:color w:val="auto"/>
              </w:rPr>
            </w:pPr>
          </w:p>
        </w:tc>
      </w:tr>
      <w:tr>
        <w:trPr>
          <w:trHeight w:val="24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118,729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121,121</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94,995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103,957</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(15,552)</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(11,647)</w:t>
            </w:r>
          </w:p>
        </w:tc>
        <w:tc>
          <w:tcPr>
            <w:tcW w:w="0" w:type="dxa"/>
            <w:vAlign w:val="bottom"/>
          </w:tcPr>
          <w:p>
            <w:pPr>
              <w:spacing w:after="0"/>
              <w:rPr>
                <w:sz w:val="1"/>
                <w:szCs w:val="1"/>
                <w:color w:val="auto"/>
              </w:rPr>
            </w:pPr>
          </w:p>
        </w:tc>
      </w:tr>
      <w:tr>
        <w:trPr>
          <w:trHeight w:val="25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0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5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0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40"/>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(8,465)</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(17,241)</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(15,399)</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(41,272)</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62,685</w:t>
            </w:r>
          </w:p>
        </w:tc>
        <w:tc>
          <w:tcPr>
            <w:tcW w:w="0" w:type="dxa"/>
            <w:vAlign w:val="bottom"/>
          </w:tcPr>
          <w:p>
            <w:pPr>
              <w:spacing w:after="0"/>
              <w:rPr>
                <w:sz w:val="1"/>
                <w:szCs w:val="1"/>
                <w:color w:val="auto"/>
              </w:rPr>
            </w:pPr>
          </w:p>
        </w:tc>
      </w:tr>
      <w:tr>
        <w:trPr>
          <w:trHeight w:val="25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10,249</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23,072</w:t>
            </w:r>
          </w:p>
        </w:tc>
        <w:tc>
          <w:tcPr>
            <w:tcW w:w="0" w:type="dxa"/>
            <w:vAlign w:val="bottom"/>
          </w:tcPr>
          <w:p>
            <w:pPr>
              <w:spacing w:after="0"/>
              <w:rPr>
                <w:sz w:val="1"/>
                <w:szCs w:val="1"/>
                <w:color w:val="auto"/>
              </w:rPr>
            </w:pPr>
          </w:p>
        </w:tc>
      </w:tr>
      <w:tr>
        <w:trPr>
          <w:trHeight w:val="24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39,613</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6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 translation, net of reclassification</w:t>
            </w:r>
          </w:p>
        </w:tc>
        <w:tc>
          <w:tcPr>
            <w:tcW w:w="1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38,865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5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5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99,495,657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98,599,271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99,346,439</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97,228,058</w:t>
            </w:r>
          </w:p>
        </w:tc>
        <w:tc>
          <w:tcPr>
            <w:tcW w:w="0" w:type="dxa"/>
            <w:vAlign w:val="bottom"/>
          </w:tcPr>
          <w:p>
            <w:pPr>
              <w:spacing w:after="0"/>
              <w:rPr>
                <w:sz w:val="1"/>
                <w:szCs w:val="1"/>
                <w:color w:val="auto"/>
              </w:rPr>
            </w:pPr>
          </w:p>
        </w:tc>
      </w:tr>
      <w:tr>
        <w:trPr>
          <w:trHeight w:val="250"/>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100,840,887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100,414,770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100,802,169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99,152,961</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0"/>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25, 2023</w:t>
            </w:r>
          </w:p>
        </w:tc>
        <w:tc>
          <w:tcPr>
            <w:tcW w:w="14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26, 2022</w:t>
            </w:r>
          </w:p>
        </w:tc>
      </w:tr>
      <w:tr>
        <w:trPr>
          <w:trHeight w:val="19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61,502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39,613</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9,572</w:t>
            </w:r>
          </w:p>
        </w:tc>
      </w:tr>
      <w:tr>
        <w:trPr>
          <w:trHeight w:val="219"/>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r>
      <w:tr>
        <w:trPr>
          <w:trHeight w:val="21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r>
      <w:tr>
        <w:trPr>
          <w:trHeight w:val="219"/>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 change of warrant liability</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30,062</w:t>
            </w:r>
          </w:p>
        </w:tc>
      </w:tr>
      <w:tr>
        <w:trPr>
          <w:trHeight w:val="21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Estimated credit losses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loss (gain) on foreign currency transactions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11,814</w:t>
            </w:r>
          </w:p>
        </w:tc>
      </w:tr>
      <w:tr>
        <w:trPr>
          <w:trHeight w:val="219"/>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r>
      <w:tr>
        <w:trPr>
          <w:trHeight w:val="21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r>
      <w:tr>
        <w:trPr>
          <w:trHeight w:val="21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w:t>
            </w:r>
          </w:p>
        </w:tc>
      </w:tr>
      <w:tr>
        <w:trPr>
          <w:trHeight w:val="213"/>
        </w:trPr>
        <w:tc>
          <w:tcPr>
            <w:tcW w:w="6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(24,241)</w:t>
            </w:r>
          </w:p>
        </w:tc>
      </w:tr>
      <w:tr>
        <w:trPr>
          <w:trHeight w:val="219"/>
        </w:trPr>
        <w:tc>
          <w:tcPr>
            <w:tcW w:w="6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r>
      <w:tr>
        <w:trPr>
          <w:trHeight w:val="213"/>
        </w:trPr>
        <w:tc>
          <w:tcPr>
            <w:tcW w:w="6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(29,211)</w:t>
            </w:r>
          </w:p>
        </w:tc>
      </w:tr>
      <w:tr>
        <w:trPr>
          <w:trHeight w:val="219"/>
        </w:trPr>
        <w:tc>
          <w:tcPr>
            <w:tcW w:w="6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6,109</w:t>
            </w:r>
          </w:p>
        </w:tc>
      </w:tr>
      <w:tr>
        <w:trPr>
          <w:trHeight w:val="213"/>
        </w:trPr>
        <w:tc>
          <w:tcPr>
            <w:tcW w:w="6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9"/>
        </w:trPr>
        <w:tc>
          <w:tcPr>
            <w:tcW w:w="6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(12,098)</w:t>
            </w:r>
          </w:p>
        </w:tc>
      </w:tr>
      <w:tr>
        <w:trPr>
          <w:trHeight w:val="213"/>
        </w:trPr>
        <w:tc>
          <w:tcPr>
            <w:tcW w:w="68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w:t>
            </w: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30,323</w:t>
            </w:r>
          </w:p>
        </w:tc>
      </w:tr>
      <w:tr>
        <w:trPr>
          <w:trHeight w:val="131"/>
        </w:trPr>
        <w:tc>
          <w:tcPr>
            <w:tcW w:w="6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w:t>
            </w:r>
          </w:p>
        </w:tc>
      </w:tr>
      <w:tr>
        <w:trPr>
          <w:trHeight w:val="21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Issuance of note receivable</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3"/>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w:t>
            </w:r>
          </w:p>
        </w:tc>
      </w:tr>
      <w:tr>
        <w:trPr>
          <w:trHeight w:val="131"/>
        </w:trPr>
        <w:tc>
          <w:tcPr>
            <w:tcW w:w="6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r>
      <w:tr>
        <w:trPr>
          <w:trHeight w:val="21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w:t>
            </w:r>
          </w:p>
        </w:tc>
      </w:tr>
      <w:tr>
        <w:trPr>
          <w:trHeight w:val="213"/>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(20,394)</w:t>
            </w:r>
          </w:p>
        </w:tc>
      </w:tr>
      <w:tr>
        <w:trPr>
          <w:trHeight w:val="213"/>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1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07"/>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(55,709)</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(47,910)</w:t>
            </w:r>
          </w:p>
        </w:tc>
      </w:tr>
      <w:tr>
        <w:trPr>
          <w:trHeight w:val="131"/>
        </w:trPr>
        <w:tc>
          <w:tcPr>
            <w:tcW w:w="6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decrease in cash</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(23,613)</w:t>
            </w:r>
          </w:p>
        </w:tc>
      </w:tr>
      <w:tr>
        <w:trPr>
          <w:trHeight w:val="213"/>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6"/>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75,345</w:t>
            </w:r>
          </w:p>
        </w:tc>
      </w:tr>
      <w:tr>
        <w:trPr>
          <w:trHeight w:val="212"/>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63,207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51,469</w:t>
            </w: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0"/>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25, 2023</w:t>
            </w:r>
          </w:p>
        </w:tc>
        <w:tc>
          <w:tcPr>
            <w:tcW w:w="14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26, 2022</w:t>
            </w:r>
          </w:p>
        </w:tc>
      </w:tr>
      <w:tr>
        <w:trPr>
          <w:trHeight w:val="25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4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10,195</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33,162</w:t>
            </w:r>
          </w:p>
        </w:tc>
      </w:tr>
      <w:tr>
        <w:trPr>
          <w:trHeight w:val="26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extinguishment of warrant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189,897</w:t>
            </w: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 exchanged for 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5,551</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credits for repayment of note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data)</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92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Additional</w:t>
            </w:r>
          </w:p>
        </w:tc>
        <w:tc>
          <w:tcPr>
            <w:tcW w:w="200" w:type="dxa"/>
            <w:vAlign w:val="bottom"/>
          </w:tcPr>
          <w:p>
            <w:pPr>
              <w:spacing w:after="0"/>
              <w:rPr>
                <w:sz w:val="16"/>
                <w:szCs w:val="16"/>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Accumulated Other</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40"/>
              <w:spacing w:after="0" w:line="148" w:lineRule="exact"/>
              <w:rPr>
                <w:sz w:val="20"/>
                <w:szCs w:val="20"/>
                <w:color w:val="auto"/>
              </w:rPr>
            </w:pPr>
            <w:r>
              <w:rPr>
                <w:rFonts w:ascii="Times New Roman" w:cs="Times New Roman" w:eastAsia="Times New Roman" w:hAnsi="Times New Roman"/>
                <w:sz w:val="16"/>
                <w:szCs w:val="16"/>
                <w:color w:val="auto"/>
              </w:rPr>
              <w:t>Paid-In</w:t>
            </w: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gridSpan w:val="2"/>
            <w:vMerge w:val="restart"/>
          </w:tcPr>
          <w:p>
            <w:pPr>
              <w:jc w:val="center"/>
              <w:ind w:right="260"/>
              <w:spacing w:after="0" w:line="148" w:lineRule="exact"/>
              <w:rPr>
                <w:sz w:val="20"/>
                <w:szCs w:val="20"/>
                <w:color w:val="auto"/>
              </w:rPr>
            </w:pPr>
            <w:r>
              <w:rPr>
                <w:rFonts w:ascii="Times New Roman" w:cs="Times New Roman" w:eastAsia="Times New Roman" w:hAnsi="Times New Roman"/>
                <w:sz w:val="16"/>
                <w:szCs w:val="16"/>
                <w:color w:val="auto"/>
                <w:w w:val="99"/>
              </w:rPr>
              <w:t>Comprehensive</w:t>
            </w:r>
          </w:p>
        </w:tc>
        <w:tc>
          <w:tcPr>
            <w:tcW w:w="180" w:type="dxa"/>
            <w:vAlign w:val="bottom"/>
          </w:tcPr>
          <w:p>
            <w:pPr>
              <w:spacing w:after="0"/>
              <w:rPr>
                <w:sz w:val="7"/>
                <w:szCs w:val="7"/>
                <w:color w:val="auto"/>
              </w:rPr>
            </w:pPr>
          </w:p>
        </w:tc>
        <w:tc>
          <w:tcPr>
            <w:tcW w:w="800" w:type="dxa"/>
            <w:vAlign w:val="bottom"/>
            <w:vMerge w:val="restart"/>
          </w:tcPr>
          <w:p>
            <w:pPr>
              <w:jc w:val="right"/>
              <w:ind w:right="239"/>
              <w:spacing w:after="0" w:line="148"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48"/>
        </w:trPr>
        <w:tc>
          <w:tcPr>
            <w:tcW w:w="1720" w:type="dxa"/>
            <w:vAlign w:val="bottom"/>
          </w:tcPr>
          <w:p>
            <w:pPr>
              <w:spacing w:after="0"/>
              <w:rPr>
                <w:sz w:val="4"/>
                <w:szCs w:val="4"/>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Amount</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4"/>
                <w:szCs w:val="4"/>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7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Capital</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Loss</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17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7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August 27,</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101,322,834</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1,818,754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(62,003)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1,287,224</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214,381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1,438,664</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tcBorders>
              <w:top w:val="single" w:sz="8" w:color="CCEEFF"/>
            </w:tcBorders>
            <w:vMerge w:val="continue"/>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546,346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(16,448)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180,342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and stock</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appreciation rights to</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353,281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101,856,457</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1,292,720</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250,241</w:t>
            </w:r>
          </w:p>
        </w:tc>
        <w:tc>
          <w:tcPr>
            <w:tcW w:w="14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1,463,356</w:t>
            </w:r>
          </w:p>
        </w:tc>
        <w:tc>
          <w:tcPr>
            <w:tcW w:w="0" w:type="dxa"/>
            <w:vAlign w:val="bottom"/>
          </w:tcPr>
          <w:p>
            <w:pPr>
              <w:spacing w:after="0"/>
              <w:rPr>
                <w:sz w:val="1"/>
                <w:szCs w:val="1"/>
                <w:color w:val="auto"/>
              </w:rPr>
            </w:pPr>
          </w:p>
        </w:tc>
      </w:tr>
      <w:tr>
        <w:trPr>
          <w:trHeight w:val="194"/>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26, 2022</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at February 25,</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101,873,171</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1,295,584</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275,883</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1,491,915</w:t>
            </w: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121" w:right="7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spacing w:after="0"/>
              <w:rPr>
                <w:sz w:val="16"/>
                <w:szCs w:val="16"/>
                <w:color w:val="auto"/>
              </w:rPr>
            </w:pPr>
          </w:p>
        </w:tc>
        <w:tc>
          <w:tcPr>
            <w:tcW w:w="19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1740" w:type="dxa"/>
            <w:vAlign w:val="bottom"/>
            <w:gridSpan w:val="5"/>
            <w:vMerge w:val="restart"/>
          </w:tcPr>
          <w:p>
            <w:pPr>
              <w:ind w:left="32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Additional</w:t>
            </w:r>
          </w:p>
        </w:tc>
        <w:tc>
          <w:tcPr>
            <w:tcW w:w="200" w:type="dxa"/>
            <w:vAlign w:val="bottom"/>
          </w:tcPr>
          <w:p>
            <w:pPr>
              <w:spacing w:after="0"/>
              <w:rPr>
                <w:sz w:val="16"/>
                <w:szCs w:val="16"/>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Retained</w:t>
            </w: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Accumulated Other</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8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80" w:type="dxa"/>
            <w:vAlign w:val="bottom"/>
          </w:tcPr>
          <w:p>
            <w:pPr>
              <w:spacing w:after="0"/>
              <w:rPr>
                <w:sz w:val="9"/>
                <w:szCs w:val="9"/>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Amount</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9"/>
                <w:szCs w:val="9"/>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Capital</w:t>
            </w: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Loss</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8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August 28,</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95,882,908</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98,234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1,085,001</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105,807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1,188,804</w:t>
            </w:r>
          </w:p>
        </w:tc>
        <w:tc>
          <w:tcPr>
            <w:tcW w:w="0" w:type="dxa"/>
            <w:vAlign w:val="bottom"/>
          </w:tcPr>
          <w:p>
            <w:pPr>
              <w:spacing w:after="0"/>
              <w:rPr>
                <w:sz w:val="1"/>
                <w:szCs w:val="1"/>
                <w:color w:val="auto"/>
              </w:rPr>
            </w:pPr>
          </w:p>
        </w:tc>
      </w:tr>
      <w:tr>
        <w:trPr>
          <w:trHeight w:val="209"/>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80" w:type="dxa"/>
            <w:vAlign w:val="bottom"/>
            <w:tcBorders>
              <w:top w:val="single" w:sz="8" w:color="CCEEFF"/>
            </w:tcBorders>
            <w:vMerge w:val="continue"/>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0" w:type="dxa"/>
            <w:vAlign w:val="bottom"/>
          </w:tcPr>
          <w:p>
            <w:pPr>
              <w:spacing w:after="0"/>
              <w:rPr>
                <w:sz w:val="1"/>
                <w:szCs w:val="1"/>
                <w:color w:val="auto"/>
              </w:rPr>
            </w:pPr>
          </w:p>
        </w:tc>
      </w:tr>
      <w:tr>
        <w:trPr>
          <w:trHeight w:val="165"/>
        </w:trPr>
        <w:tc>
          <w:tcPr>
            <w:tcW w:w="17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1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227,729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19,804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3"/>
        </w:trPr>
        <w:tc>
          <w:tcPr>
            <w:tcW w:w="1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8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96,130,441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98,234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1,084,690</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126,959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1,209,607</w:t>
            </w:r>
          </w:p>
        </w:tc>
        <w:tc>
          <w:tcPr>
            <w:tcW w:w="0" w:type="dxa"/>
            <w:vAlign w:val="bottom"/>
          </w:tcPr>
          <w:p>
            <w:pPr>
              <w:spacing w:after="0"/>
              <w:rPr>
                <w:sz w:val="1"/>
                <w:szCs w:val="1"/>
                <w:color w:val="auto"/>
              </w:rPr>
            </w:pPr>
          </w:p>
        </w:tc>
      </w:tr>
      <w:tr>
        <w:trPr>
          <w:trHeight w:val="209"/>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27, 2021</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80" w:type="dxa"/>
            <w:vAlign w:val="bottom"/>
            <w:tcBorders>
              <w:top w:val="single" w:sz="8" w:color="CCEEFF"/>
            </w:tcBorders>
            <w:vMerge w:val="continue"/>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0" w:type="dxa"/>
            <w:vAlign w:val="bottom"/>
          </w:tcPr>
          <w:p>
            <w:pPr>
              <w:spacing w:after="0"/>
              <w:rPr>
                <w:sz w:val="1"/>
                <w:szCs w:val="1"/>
                <w:color w:val="auto"/>
              </w:rPr>
            </w:pPr>
          </w:p>
        </w:tc>
      </w:tr>
      <w:tr>
        <w:trPr>
          <w:trHeight w:val="165"/>
        </w:trPr>
        <w:tc>
          <w:tcPr>
            <w:tcW w:w="17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3"/>
        </w:trPr>
        <w:tc>
          <w:tcPr>
            <w:tcW w:w="1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Reclassification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 for</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currency translation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gains related to the</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liquidation of foreign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entities</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571,521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(20,394)</w:t>
            </w:r>
          </w:p>
        </w:tc>
        <w:tc>
          <w:tcPr>
            <w:tcW w:w="0" w:type="dxa"/>
            <w:vAlign w:val="bottom"/>
          </w:tcPr>
          <w:p>
            <w:pPr>
              <w:spacing w:after="0"/>
              <w:rPr>
                <w:sz w:val="1"/>
                <w:szCs w:val="1"/>
                <w:color w:val="auto"/>
              </w:rPr>
            </w:pPr>
          </w:p>
        </w:tc>
      </w:tr>
      <w:tr>
        <w:trPr>
          <w:trHeight w:val="213"/>
        </w:trPr>
        <w:tc>
          <w:tcPr>
            <w:tcW w:w="1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 conversion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4,830,761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189,849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189,897</w:t>
            </w:r>
          </w:p>
        </w:tc>
        <w:tc>
          <w:tcPr>
            <w:tcW w:w="0" w:type="dxa"/>
            <w:vAlign w:val="bottom"/>
          </w:tcPr>
          <w:p>
            <w:pPr>
              <w:spacing w:after="0"/>
              <w:rPr>
                <w:sz w:val="1"/>
                <w:szCs w:val="1"/>
                <w:color w:val="auto"/>
              </w:rPr>
            </w:pPr>
          </w:p>
        </w:tc>
      </w:tr>
      <w:tr>
        <w:trPr>
          <w:trHeight w:val="162"/>
        </w:trPr>
        <w:tc>
          <w:tcPr>
            <w:tcW w:w="17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1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at February 26,</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101,070,881</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40" w:type="dxa"/>
            <w:vAlign w:val="bottom"/>
          </w:tcPr>
          <w:p>
            <w:pPr>
              <w:spacing w:after="0"/>
              <w:rPr>
                <w:sz w:val="12"/>
                <w:szCs w:val="12"/>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669,755</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(22,539)</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1,278,728</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145,420</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1,401,054</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780" w:top="145" w:right="7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185"/>
        <w:spacing w:after="0" w:line="243"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shakes, sweet and salty snacks and confectionery products marketed under the Atkins®, Atkins Endulge®, Quest® and Quest Hero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names. Simply Good Foods is poised to expand its wellness platform through innovation and organic growth along with acquisition opportunities in the nutritional snacking space.</w:t>
      </w:r>
    </w:p>
    <w:p>
      <w:pPr>
        <w:spacing w:after="0" w:line="223" w:lineRule="exact"/>
        <w:rPr>
          <w:sz w:val="20"/>
          <w:szCs w:val="20"/>
          <w:color w:val="auto"/>
        </w:rPr>
      </w:pPr>
    </w:p>
    <w:p>
      <w:pPr>
        <w:jc w:val="both"/>
        <w:ind w:firstLine="285"/>
        <w:spacing w:after="0" w:line="258" w:lineRule="auto"/>
        <w:rPr>
          <w:sz w:val="20"/>
          <w:szCs w:val="20"/>
          <w:color w:val="auto"/>
        </w:rPr>
      </w:pPr>
      <w:r>
        <w:rPr>
          <w:rFonts w:ascii="Times New Roman" w:cs="Times New Roman" w:eastAsia="Times New Roman" w:hAnsi="Times New Roman"/>
          <w:sz w:val="18"/>
          <w:szCs w:val="18"/>
          <w:color w:val="auto"/>
        </w:rPr>
        <w:t>The Company’s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Consolidated Financial Statements</w:t>
      </w:r>
    </w:p>
    <w:p>
      <w:pPr>
        <w:spacing w:after="0" w:line="256" w:lineRule="exact"/>
        <w:rPr>
          <w:sz w:val="20"/>
          <w:szCs w:val="20"/>
          <w:color w:val="auto"/>
        </w:rPr>
      </w:pPr>
    </w:p>
    <w:p>
      <w:pPr>
        <w:jc w:val="both"/>
        <w:ind w:firstLine="367"/>
        <w:spacing w:after="0" w:line="266"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217"/>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and related notes of the Company and its subsidiaries are unaudited. The unaudited interim consolidated financial statements have been prepared in accordance with U.S. Generally Accepted Accounting Principles (“GAAP”) and the rules and regulations of the Securities and Exchange Commission (the “SEC”). The unaudited interim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consolidated financial statements are not necessarily indicative of the results that may be reported for the entire fiscal year and should be read in conjunction with the Company’s consolidated financial statements for the fiscal year ended August 27, 2022, included in the Company’s Annual Report on Form 10-K (“Annual Report”) filed with the SEC on October 21, 2022.</w:t>
      </w:r>
    </w:p>
    <w:p>
      <w:pPr>
        <w:spacing w:after="0" w:line="215" w:lineRule="exact"/>
        <w:rPr>
          <w:sz w:val="20"/>
          <w:szCs w:val="20"/>
          <w:color w:val="auto"/>
        </w:rPr>
      </w:pPr>
    </w:p>
    <w:p>
      <w:pPr>
        <w:jc w:val="both"/>
        <w:ind w:firstLine="215"/>
        <w:spacing w:after="0" w:line="261" w:lineRule="auto"/>
        <w:rPr>
          <w:sz w:val="20"/>
          <w:szCs w:val="20"/>
          <w:color w:val="auto"/>
        </w:rPr>
      </w:pPr>
      <w:r>
        <w:rPr>
          <w:rFonts w:ascii="Times New Roman" w:cs="Times New Roman" w:eastAsia="Times New Roman" w:hAnsi="Times New Roman"/>
          <w:sz w:val="18"/>
          <w:szCs w:val="18"/>
          <w:color w:val="auto"/>
        </w:rPr>
        <w:t>The ultimate effect the supply chain challenges, cost pressures, current high inflation environment, and the possible economic recession could have on consumer purchasing patterns and on the Company’s business continues to be not fully known. Additionally, management is continuing to monitor the conflict in Ukraine, especially regarding the availability and cost of raw materials that are produced in this region and Europe in general. Management is also monitoring the situation in Eastern Europe for its possible supply chain and consumer consumption effects on the Company’s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8" w:lineRule="exact"/>
        <w:rPr>
          <w:sz w:val="20"/>
          <w:szCs w:val="20"/>
          <w:color w:val="auto"/>
        </w:rPr>
      </w:pPr>
    </w:p>
    <w:p>
      <w:pPr>
        <w:jc w:val="both"/>
        <w:ind w:firstLine="18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Annual Report for a description of significant accounting policies.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291"/>
        <w:spacing w:after="0" w:line="255" w:lineRule="auto"/>
        <w:rPr>
          <w:sz w:val="20"/>
          <w:szCs w:val="20"/>
          <w:color w:val="auto"/>
        </w:rPr>
      </w:pPr>
      <w:r>
        <w:rPr>
          <w:rFonts w:ascii="Times New Roman" w:cs="Times New Roman" w:eastAsia="Times New Roman" w:hAnsi="Times New Roman"/>
          <w:sz w:val="18"/>
          <w:szCs w:val="18"/>
          <w:color w:val="auto"/>
        </w:rPr>
        <w:t>In March 2020, the Financial Accounting Standards Board (the “FASB”) issued Accounting Standards Update (“ASU”) 2020-04, Reference Rate Reform (Topic 848), Facilitation of the Effects of Reference Rate Reform on Financial Reporting (“ASU 2020-04”), which provides optional guidance for a limited period of time to ease the potential burden in accounting for reference rate reform on financial reporting. Additionally, in December 2022, the FASB issued ASU 2022-06, Reference Rate Reform (Topic 848), Deferral of the Sunset Date of Topic 848, which extended the period of time for which ASU 2020-04 could be applied. As a result, the amendments in ASU 2020-04 can be applied to contract modifications due to rate reform and eligible existing and new hedging relationships entered into between March 12, 2020 and December 31, 2024. The amendments of these ASUs are effective for all entities and should be applied on a prospective basis.</w:t>
      </w:r>
    </w:p>
    <w:p>
      <w:pPr>
        <w:spacing w:after="0" w:line="216"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its credit agreement with Barclays Bank PLC and other parties (as amended to date, the “Credit Agreement”), as described in Note 5, Long-Term Debt and Line of Credit. In addition to replacing the London Interbank Offered Rate (“LIBOR”) as the Credit Agreement’s reference rate with the Secured Overnight Financing Rate (“SOFR”), the 2022 Repricing Amendment contemporaneously modified other terms that changed, or had the potential to change, the amount or timing of contractual cash flows as contemplated by the guidance in ASU 2020-04. As such, the contract modifications related to the 2022 Repricing Amendment were outside of the scope of the optional guidance in ASU 2020-04. The Company will continue to monitor the effects of rate reform, if any, on any new or amended contracts through December 31, 2024. The Company does not anticipate the amendments in this ASU will be material to its consolidated financial statements.</w:t>
      </w:r>
    </w:p>
    <w:p>
      <w:pPr>
        <w:spacing w:after="0" w:line="202" w:lineRule="exact"/>
        <w:rPr>
          <w:sz w:val="20"/>
          <w:szCs w:val="20"/>
          <w:color w:val="auto"/>
        </w:rPr>
      </w:pPr>
    </w:p>
    <w:p>
      <w:pPr>
        <w:ind w:right="660" w:firstLine="180"/>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5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and management does not view its business by product line. The following is a summary of revenue disaggregated by geographic area and brands:</w:t>
      </w:r>
    </w:p>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5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25, 2023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26, 2022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25, 2023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26, 2022</w:t>
            </w:r>
          </w:p>
        </w:tc>
      </w:tr>
      <w:tr>
        <w:trPr>
          <w:trHeight w:val="25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Atkins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134,351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135,582</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266,096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269,376</w:t>
            </w:r>
          </w:p>
        </w:tc>
      </w:tr>
      <w:tr>
        <w:trPr>
          <w:trHeight w:val="270"/>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Quest</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154,598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152,573</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316,070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290,867</w:t>
            </w:r>
          </w:p>
        </w:tc>
      </w:tr>
      <w:tr>
        <w:trPr>
          <w:trHeight w:val="250"/>
        </w:trPr>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North America</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288,155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582,166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560,243</w:t>
            </w:r>
          </w:p>
        </w:tc>
      </w:tr>
      <w:tr>
        <w:trPr>
          <w:trHeight w:val="27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8,563</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17,740</w:t>
            </w:r>
          </w:p>
        </w:tc>
      </w:tr>
      <w:tr>
        <w:trPr>
          <w:trHeight w:val="226"/>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296,584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296,718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597,462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577,983</w:t>
            </w: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760" w:right="680" w:hanging="73"/>
        <w:spacing w:after="0" w:line="246" w:lineRule="auto"/>
        <w:tabs>
          <w:tab w:leader="none" w:pos="828"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0" w:lineRule="exact"/>
        <w:rPr>
          <w:sz w:val="20"/>
          <w:szCs w:val="20"/>
          <w:color w:val="auto"/>
        </w:rPr>
      </w:pPr>
    </w:p>
    <w:p>
      <w:pPr>
        <w:spacing w:after="0" w:line="201" w:lineRule="exact"/>
        <w:rPr>
          <w:sz w:val="20"/>
          <w:szCs w:val="20"/>
          <w:color w:val="auto"/>
        </w:rPr>
      </w:pPr>
    </w:p>
    <w:p>
      <w:pPr>
        <w:jc w:val="both"/>
        <w:ind w:firstLine="207"/>
        <w:spacing w:after="0" w:line="256" w:lineRule="auto"/>
        <w:rPr>
          <w:sz w:val="20"/>
          <w:szCs w:val="20"/>
          <w:color w:val="auto"/>
        </w:rPr>
      </w:pPr>
      <w:r>
        <w:rPr>
          <w:rFonts w:ascii="Times New Roman" w:cs="Times New Roman" w:eastAsia="Times New Roman" w:hAnsi="Times New Roman"/>
          <w:sz w:val="18"/>
          <w:szCs w:val="18"/>
          <w:color w:val="auto"/>
        </w:rPr>
        <w:t>Charges related to credit loss on accounts receivables from transactions with external customers were $0.4 million and $0.2 million for the thirteen and twenty-six weeks ended February 25, 2023, respectively. Charges related to credit loss on accounts receivables from transactions with external customers were immaterial for the thirteen and twenty-six weeks ended February 26, 2022. As of February 25, 2023 and August 27, 2022, the allowances for doubtful accounts related to these accounts receivable were $1.8 million and $1.2 million, respectively. Additionally, as of February 25, 2023, the Company had an expected credit loss reserve of $1.0 million on a $3.0 million note receivable related to the Company’s sale of its SimplyProtein® brand and related assets during its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54" w:lineRule="exact"/>
        <w:rPr>
          <w:sz w:val="20"/>
          <w:szCs w:val="20"/>
          <w:color w:val="auto"/>
        </w:rPr>
      </w:pPr>
    </w:p>
    <w:p>
      <w:pPr>
        <w:jc w:val="both"/>
        <w:ind w:firstLine="228"/>
        <w:spacing w:after="0" w:line="284" w:lineRule="auto"/>
        <w:rPr>
          <w:sz w:val="20"/>
          <w:szCs w:val="20"/>
          <w:color w:val="auto"/>
        </w:rPr>
      </w:pPr>
      <w:r>
        <w:rPr>
          <w:rFonts w:ascii="Times New Roman" w:cs="Times New Roman" w:eastAsia="Times New Roman" w:hAnsi="Times New Roman"/>
          <w:sz w:val="18"/>
          <w:szCs w:val="18"/>
          <w:color w:val="auto"/>
        </w:rPr>
        <w:t xml:space="preserve">As of February 25, 2023 and August 27, 2022,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in the Consolidated Balance Sheets was $543.1 million. There were no impairment charges related to goodwill during the thirteen and twenty-six weeks ended February 25, 2023 or since the inception of the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consists of the following:</w:t>
      </w:r>
    </w:p>
    <w:p>
      <w:pPr>
        <w:spacing w:after="0" w:line="191"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February 25, 2023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47,503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9,540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12,460</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5,631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4,793</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1,182,974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67,467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1,115,507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August 27, 2022</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41,703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8,581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5,131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4,190</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1,182,863</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59,605</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1,123,258</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twenty-six weeks ended February 25, 2023 were primarily related to recurring amortization expense. Amortization expense related to intangible assets was $3.9 million and $4.0 million for the thirteen weeks ended February 25, 2023 and February 26, 2022, respectively, and $7.8 million and $7.9 million for the twenty-six weeks ended February 25, 2023 and February 26, 2022, respectively. There were no impairment charges related to intangible assets during the thirteen and twenty-six weeks ended February 25, 2023 and February 26, 2022.</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2023</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7,792</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14,917</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13,522</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2028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78,131</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141,396</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Long-Term Debt and Line of Credit</w:t>
      </w:r>
    </w:p>
    <w:p>
      <w:pPr>
        <w:spacing w:after="0" w:line="256" w:lineRule="exact"/>
        <w:rPr>
          <w:sz w:val="20"/>
          <w:szCs w:val="20"/>
          <w:color w:val="auto"/>
        </w:rPr>
      </w:pPr>
    </w:p>
    <w:p>
      <w:pPr>
        <w:jc w:val="both"/>
        <w:ind w:right="20" w:firstLine="18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2022 Repricing Amendment dated January 21, 2022, the interest rate per annum is based on either:</w:t>
      </w:r>
    </w:p>
    <w:p>
      <w:pPr>
        <w:spacing w:after="0" w:line="104" w:lineRule="exact"/>
        <w:rPr>
          <w:sz w:val="20"/>
          <w:szCs w:val="20"/>
          <w:color w:val="auto"/>
        </w:rPr>
      </w:pPr>
    </w:p>
    <w:p>
      <w:pPr>
        <w:jc w:val="both"/>
        <w:ind w:left="660" w:hanging="328"/>
        <w:spacing w:after="0" w:line="266" w:lineRule="auto"/>
        <w:tabs>
          <w:tab w:leader="none" w:pos="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2.25% margin for the Term Loan or (y) 2.00%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3.25% margin for the Term Loan or (y) 3.00% margin for the Revolving Credit Facility.</w:t>
      </w:r>
    </w:p>
    <w:p>
      <w:pPr>
        <w:spacing w:after="0" w:line="18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February 25, 2023 and August 27, 2022,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47" w:lineRule="exact"/>
        <w:rPr>
          <w:sz w:val="20"/>
          <w:szCs w:val="20"/>
          <w:color w:val="auto"/>
        </w:rPr>
      </w:pPr>
    </w:p>
    <w:tbl>
      <w:tblPr>
        <w:tblLayout w:type="fixed"/>
        <w:tblInd w:w="2180" w:type="dxa"/>
        <w:tblCellMar>
          <w:top w:w="0" w:type="dxa"/>
          <w:left w:w="0" w:type="dxa"/>
          <w:bottom w:w="0" w:type="dxa"/>
          <w:right w:w="0" w:type="dxa"/>
        </w:tblCellMar>
      </w:tblPr>
      <w:tr>
        <w:trPr>
          <w:trHeight w:val="21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25, 2023</w:t>
            </w:r>
          </w:p>
        </w:tc>
        <w:tc>
          <w:tcPr>
            <w:tcW w:w="16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0" w:type="dxa"/>
            <w:vAlign w:val="bottom"/>
          </w:tcPr>
          <w:p>
            <w:pPr>
              <w:spacing w:after="0"/>
              <w:rPr>
                <w:sz w:val="1"/>
                <w:szCs w:val="1"/>
                <w:color w:val="auto"/>
              </w:rPr>
            </w:pPr>
          </w:p>
        </w:tc>
      </w:tr>
      <w:tr>
        <w:trPr>
          <w:trHeight w:val="158"/>
        </w:trPr>
        <w:tc>
          <w:tcPr>
            <w:tcW w:w="364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Term Facility (effective rate of 8.0% at February 25,</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406,500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Finance lease liabilities (effective rate of 5.6% at</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13"/>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February 25, 2023)</w:t>
            </w: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r>
        <w:trPr>
          <w:trHeight w:val="20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362,862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403,286</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finance 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2"/>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362,622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403,022</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February 25,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the Term Facility is due upon its maturity in July 2024.</w:t>
      </w:r>
    </w:p>
    <w:p>
      <w:pPr>
        <w:spacing w:after="0" w:line="220"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As of February 25, 2023, the Company had letters of credit in the amount of $3.5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at February 25, 2023.</w:t>
      </w:r>
    </w:p>
    <w:p>
      <w:pPr>
        <w:spacing w:after="0" w:line="217"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February 25, 2023 and August 27, 2022,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256"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Measurements</w:t>
      </w:r>
    </w:p>
    <w:p>
      <w:pPr>
        <w:spacing w:after="0" w:line="243" w:lineRule="exact"/>
        <w:rPr>
          <w:sz w:val="20"/>
          <w:szCs w:val="20"/>
          <w:color w:val="auto"/>
        </w:rPr>
      </w:pPr>
    </w:p>
    <w:p>
      <w:pPr>
        <w:jc w:val="both"/>
        <w:ind w:firstLine="266"/>
        <w:spacing w:after="0" w:line="258" w:lineRule="auto"/>
        <w:rPr>
          <w:sz w:val="20"/>
          <w:szCs w:val="20"/>
          <w:color w:val="auto"/>
        </w:rPr>
      </w:pPr>
      <w:r>
        <w:rPr>
          <w:rFonts w:ascii="Times New Roman" w:cs="Times New Roman" w:eastAsia="Times New Roman" w:hAnsi="Times New Roman"/>
          <w:sz w:val="18"/>
          <w:szCs w:val="18"/>
          <w:color w:val="auto"/>
        </w:rPr>
        <w:t>During the thirteen and twenty-six weeks ended February 26, 2022, the Company had outstanding liability-classified Private Warrants that allowed holders to purchase 6,700,000 shares of the Company’s common stock. Such Private Warrants were held by Conyers Park Sponsor, LLC (“Conyers Park”), a related party, and were exercised on a cashless basis on January 7, 2022 resulting in a net issuance of 4,830,761 shares of the Company’s common stock. As a result, there were no outstanding liability-classified Private Warrants as of February 25, 2023 and August 27, 2022. Refer to Note 10, Stockholders’ Equity, for additional details regarding the cashless exercise of the Private Warrants.</w:t>
      </w:r>
    </w:p>
    <w:p>
      <w:pPr>
        <w:spacing w:after="0" w:line="210" w:lineRule="exact"/>
        <w:rPr>
          <w:sz w:val="20"/>
          <w:szCs w:val="20"/>
          <w:color w:val="auto"/>
        </w:rPr>
      </w:pPr>
    </w:p>
    <w:p>
      <w:pPr>
        <w:jc w:val="both"/>
        <w:ind w:firstLine="217"/>
        <w:spacing w:after="0" w:line="255" w:lineRule="auto"/>
        <w:rPr>
          <w:sz w:val="20"/>
          <w:szCs w:val="20"/>
          <w:color w:val="auto"/>
        </w:rPr>
      </w:pPr>
      <w:r>
        <w:rPr>
          <w:rFonts w:ascii="Times New Roman" w:cs="Times New Roman" w:eastAsia="Times New Roman" w:hAnsi="Times New Roman"/>
          <w:sz w:val="18"/>
          <w:szCs w:val="18"/>
          <w:color w:val="auto"/>
        </w:rPr>
        <w:t>The Company utilized the Black-Scholes model to estimate the fair value of the Private Warrants at each reporting date. The application of the Black-Scholes model utilizes significant assumptions, including volatility. Significant judgment is required in determining the expected volatility, historically the key assumption, of the Private Warrants. In order to determine the most accurate measure of this volatility, the Company measured expected volatility based on several inputs, including considering a peer group of publicly traded companies, the Company’s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reflected a Level 3 measurement within the fair value measurement hierarchy.</w:t>
      </w:r>
    </w:p>
    <w:p>
      <w:pPr>
        <w:spacing w:after="0" w:line="214" w:lineRule="exact"/>
        <w:rPr>
          <w:sz w:val="20"/>
          <w:szCs w:val="20"/>
          <w:color w:val="auto"/>
        </w:rPr>
      </w:pPr>
    </w:p>
    <w:p>
      <w:pPr>
        <w:jc w:val="both"/>
        <w:ind w:firstLine="299"/>
        <w:spacing w:after="0" w:line="267" w:lineRule="auto"/>
        <w:rPr>
          <w:sz w:val="20"/>
          <w:szCs w:val="20"/>
          <w:color w:val="auto"/>
        </w:rPr>
      </w:pPr>
      <w:r>
        <w:rPr>
          <w:rFonts w:ascii="Times New Roman" w:cs="Times New Roman" w:eastAsia="Times New Roman" w:hAnsi="Times New Roman"/>
          <w:sz w:val="18"/>
          <w:szCs w:val="18"/>
          <w:color w:val="auto"/>
        </w:rPr>
        <w:t xml:space="preserve">The periodic remeasurement of the warrant liability has been reflected in </w:t>
      </w:r>
      <w:r>
        <w:rPr>
          <w:rFonts w:ascii="Times New Roman" w:cs="Times New Roman" w:eastAsia="Times New Roman" w:hAnsi="Times New Roman"/>
          <w:sz w:val="18"/>
          <w:szCs w:val="18"/>
          <w:i w:val="1"/>
          <w:iCs w:val="1"/>
          <w:color w:val="auto"/>
        </w:rPr>
        <w:t>Loss in fair value change of warrant liability</w:t>
      </w:r>
      <w:r>
        <w:rPr>
          <w:rFonts w:ascii="Times New Roman" w:cs="Times New Roman" w:eastAsia="Times New Roman" w:hAnsi="Times New Roman"/>
          <w:sz w:val="18"/>
          <w:szCs w:val="18"/>
          <w:color w:val="auto"/>
        </w:rPr>
        <w:t xml:space="preserve"> within the Consolidated Statements of Operations and Comprehensive Income. The adjustments for the thirteen and twenty-six weeks ended February 26, 2022 were losses of $12.7 million and $30.1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expense and the effective tax rate resulting from operations were as follows:</w:t>
      </w:r>
    </w:p>
    <w:p>
      <w:pPr>
        <w:spacing w:after="0" w:line="338" w:lineRule="exact"/>
        <w:rPr>
          <w:sz w:val="20"/>
          <w:szCs w:val="20"/>
          <w:color w:val="auto"/>
        </w:rPr>
      </w:pPr>
    </w:p>
    <w:tbl>
      <w:tblPr>
        <w:tblLayout w:type="fixed"/>
        <w:tblInd w:w="218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3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February 25, 2023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February 26, 2022</w:t>
            </w:r>
          </w:p>
        </w:tc>
      </w:tr>
      <w:tr>
        <w:trPr>
          <w:trHeight w:val="25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79,596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62,685</w:t>
            </w: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18,094</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23,072</w:t>
            </w:r>
          </w:p>
        </w:tc>
      </w:tr>
      <w:tr>
        <w:trPr>
          <w:trHeight w:val="27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36.8 %</w:t>
            </w:r>
          </w:p>
        </w:tc>
      </w:tr>
    </w:tbl>
    <w:p>
      <w:pPr>
        <w:spacing w:after="0" w:line="319" w:lineRule="exact"/>
        <w:rPr>
          <w:sz w:val="20"/>
          <w:szCs w:val="20"/>
          <w:color w:val="auto"/>
        </w:rPr>
      </w:pPr>
    </w:p>
    <w:p>
      <w:pPr>
        <w:jc w:val="both"/>
        <w:ind w:firstLine="254"/>
        <w:spacing w:after="0" w:line="266" w:lineRule="auto"/>
        <w:rPr>
          <w:sz w:val="20"/>
          <w:szCs w:val="20"/>
          <w:color w:val="auto"/>
        </w:rPr>
      </w:pPr>
      <w:r>
        <w:rPr>
          <w:rFonts w:ascii="Times New Roman" w:cs="Times New Roman" w:eastAsia="Times New Roman" w:hAnsi="Times New Roman"/>
          <w:sz w:val="18"/>
          <w:szCs w:val="18"/>
          <w:color w:val="auto"/>
        </w:rPr>
        <w:t>The effective tax rate for the twenty-six weeks ended February 25, 2023 was 14.1% less than the effective tax rate for the twenty-six weeks ended February 26, 2022, which was primarily driven by the non-cash change in the fair value of the warrant liability in the prior fiscal period and other permanent differences.</w:t>
      </w:r>
    </w:p>
    <w:p>
      <w:pPr>
        <w:spacing w:after="0" w:line="199"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expense were as follows:</w:t>
      </w:r>
    </w:p>
    <w:p>
      <w:pPr>
        <w:spacing w:after="0" w:line="297"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Thirteen Weeks Ended</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Twenty-Six Weeks Ended</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color w:val="auto"/>
              </w:rPr>
              <w:t>Statements of Operations</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February 25, 2023</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February 26, 2022</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February 25, 2023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February 26, 2022</w:t>
            </w:r>
          </w:p>
        </w:tc>
        <w:tc>
          <w:tcPr>
            <w:tcW w:w="0" w:type="dxa"/>
            <w:vAlign w:val="bottom"/>
          </w:tcPr>
          <w:p>
            <w:pPr>
              <w:spacing w:after="0"/>
              <w:rPr>
                <w:sz w:val="1"/>
                <w:szCs w:val="1"/>
                <w:color w:val="auto"/>
              </w:rPr>
            </w:pPr>
          </w:p>
        </w:tc>
      </w:tr>
      <w:tr>
        <w:trPr>
          <w:trHeight w:val="213"/>
        </w:trPr>
        <w:tc>
          <w:tcPr>
            <w:tcW w:w="2040" w:type="dxa"/>
            <w:vAlign w:val="bottom"/>
            <w:gridSpan w:val="2"/>
            <w:vMerge w:val="continue"/>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Caption</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22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Cost of goods sold and</w:t>
            </w: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20" w:type="dxa"/>
            <w:vAlign w:val="bottom"/>
          </w:tcPr>
          <w:p>
            <w:pPr>
              <w:spacing w:after="0"/>
              <w:rPr>
                <w:sz w:val="14"/>
                <w:szCs w:val="14"/>
                <w:color w:val="auto"/>
              </w:rPr>
            </w:pPr>
          </w:p>
        </w:tc>
        <w:tc>
          <w:tcPr>
            <w:tcW w:w="7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2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tcPr>
          <w:p>
            <w:pPr>
              <w:spacing w:after="0"/>
              <w:rPr>
                <w:sz w:val="14"/>
                <w:szCs w:val="14"/>
                <w:color w:val="auto"/>
              </w:rPr>
            </w:pPr>
          </w:p>
        </w:tc>
        <w:tc>
          <w:tcPr>
            <w:tcW w:w="80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0" w:type="dxa"/>
            <w:vAlign w:val="bottom"/>
          </w:tcPr>
          <w:p>
            <w:pPr>
              <w:spacing w:after="0"/>
              <w:rPr>
                <w:sz w:val="1"/>
                <w:szCs w:val="1"/>
                <w:color w:val="auto"/>
              </w:rPr>
            </w:pPr>
          </w:p>
        </w:tc>
      </w:tr>
      <w:tr>
        <w:trPr>
          <w:trHeight w:val="214"/>
        </w:trPr>
        <w:tc>
          <w:tcPr>
            <w:tcW w:w="2040" w:type="dxa"/>
            <w:vAlign w:val="bottom"/>
            <w:gridSpan w:val="2"/>
            <w:vMerge w:val="continue"/>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3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22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i w:val="1"/>
                <w:iCs w:val="1"/>
                <w:color w:val="auto"/>
              </w:rPr>
              <w:t>Cost of goods sold and</w:t>
            </w:r>
          </w:p>
        </w:tc>
        <w:tc>
          <w:tcPr>
            <w:tcW w:w="3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0" w:type="dxa"/>
            <w:vAlign w:val="bottom"/>
          </w:tcPr>
          <w:p>
            <w:pPr>
              <w:spacing w:after="0"/>
              <w:rPr>
                <w:sz w:val="1"/>
                <w:szCs w:val="1"/>
                <w:color w:val="auto"/>
              </w:rPr>
            </w:pPr>
          </w:p>
        </w:tc>
      </w:tr>
      <w:tr>
        <w:trPr>
          <w:trHeight w:val="216"/>
        </w:trPr>
        <w:tc>
          <w:tcPr>
            <w:tcW w:w="2040" w:type="dxa"/>
            <w:vAlign w:val="bottom"/>
            <w:gridSpan w:val="2"/>
            <w:vMerge w:val="continue"/>
            <w:shd w:val="clear" w:color="auto" w:fill="CCEEFF"/>
          </w:tcPr>
          <w:p>
            <w:pPr>
              <w:spacing w:after="0"/>
              <w:rPr>
                <w:sz w:val="18"/>
                <w:szCs w:val="18"/>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6,041</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4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Amortization of right-of-</w:t>
            </w:r>
          </w:p>
        </w:tc>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3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3"/>
        </w:trPr>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use assets</w:t>
            </w:r>
          </w:p>
        </w:tc>
        <w:tc>
          <w:tcPr>
            <w:tcW w:w="22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5"/>
        </w:trPr>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6,194</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860" w:hanging="146"/>
        <w:spacing w:after="0"/>
        <w:tabs>
          <w:tab w:leader="none" w:pos="86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Variable lease cost primarily consists of common area maintenance, such as cleaning and repairs.</w:t>
      </w:r>
    </w:p>
    <w:p>
      <w:pPr>
        <w:spacing w:after="0" w:line="3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both operating and finance leases are as follows:</w:t>
      </w:r>
    </w:p>
    <w:p>
      <w:pPr>
        <w:spacing w:after="0" w:line="336" w:lineRule="exact"/>
        <w:rPr>
          <w:sz w:val="20"/>
          <w:szCs w:val="20"/>
          <w:color w:val="auto"/>
        </w:rPr>
      </w:pPr>
    </w:p>
    <w:tbl>
      <w:tblPr>
        <w:tblLayout w:type="fixed"/>
        <w:tblInd w:w="1020" w:type="dxa"/>
        <w:tblCellMar>
          <w:top w:w="0" w:type="dxa"/>
          <w:left w:w="0" w:type="dxa"/>
          <w:bottom w:w="0" w:type="dxa"/>
          <w:right w:w="0" w:type="dxa"/>
        </w:tblCellMar>
      </w:tblPr>
      <w:tr>
        <w:trPr>
          <w:trHeight w:val="215"/>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Sheets Caption</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25, 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27, 2022</w:t>
            </w:r>
          </w:p>
        </w:tc>
      </w:tr>
      <w:tr>
        <w:trPr>
          <w:trHeight w:val="25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46,460</w:t>
            </w:r>
          </w:p>
        </w:tc>
      </w:tr>
      <w:tr>
        <w:trPr>
          <w:trHeight w:val="27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26"/>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43,367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46,827</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3"/>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Accrued expenses and other 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w:t>
            </w:r>
          </w:p>
        </w:tc>
      </w:tr>
      <w:tr>
        <w:trPr>
          <w:trHeight w:val="26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Current maturities of long-term debt</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7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44,482</w:t>
            </w:r>
          </w:p>
        </w:tc>
      </w:tr>
      <w:tr>
        <w:trPr>
          <w:trHeight w:val="270"/>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Long-term debt, less current maturities</w:t>
            </w: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26"/>
        </w:trPr>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48,316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51,137</w:t>
            </w: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Future maturities of lease liabilities as of February 25, 2023 were as follows:</w:t>
      </w:r>
    </w:p>
    <w:p>
      <w:pPr>
        <w:spacing w:after="0" w:line="336" w:lineRule="exact"/>
        <w:rPr>
          <w:sz w:val="20"/>
          <w:szCs w:val="20"/>
          <w:color w:val="auto"/>
        </w:rPr>
      </w:pPr>
    </w:p>
    <w:tbl>
      <w:tblPr>
        <w:tblLayout w:type="fixed"/>
        <w:tblInd w:w="2180" w:type="dxa"/>
        <w:tblCellMar>
          <w:top w:w="0" w:type="dxa"/>
          <w:left w:w="0" w:type="dxa"/>
          <w:bottom w:w="0" w:type="dxa"/>
          <w:right w:w="0" w:type="dxa"/>
        </w:tblCellMar>
      </w:tblPr>
      <w:tr>
        <w:trPr>
          <w:trHeight w:val="215"/>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Finance Leases</w:t>
            </w:r>
          </w:p>
        </w:tc>
      </w:tr>
      <w:tr>
        <w:trPr>
          <w:trHeight w:val="25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Remainder of 2023</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7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6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19,848</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56,471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48,052</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February 25, 2023</w:t>
            </w: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27, 2022</w:t>
            </w:r>
          </w:p>
        </w:tc>
      </w:tr>
      <w:tr>
        <w:trPr>
          <w:trHeight w:val="25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r>
      <w:tr>
        <w:trPr>
          <w:trHeight w:val="267"/>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73"/>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3"/>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64"/>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r>
    </w:tbl>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p>
      <w:pPr>
        <w:spacing w:after="0" w:line="297" w:lineRule="exact"/>
        <w:rPr>
          <w:sz w:val="20"/>
          <w:szCs w:val="20"/>
          <w:color w:val="auto"/>
        </w:rPr>
      </w:pPr>
    </w:p>
    <w:tbl>
      <w:tblPr>
        <w:tblLayout w:type="fixed"/>
        <w:tblInd w:w="218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25, 2023</w:t>
            </w:r>
          </w:p>
        </w:tc>
        <w:tc>
          <w:tcPr>
            <w:tcW w:w="1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26, 2022</w:t>
            </w:r>
          </w:p>
        </w:tc>
      </w:tr>
      <w:tr>
        <w:trPr>
          <w:trHeight w:val="158"/>
        </w:trPr>
        <w:tc>
          <w:tcPr>
            <w:tcW w:w="364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paid for amounts included in the measurement of</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w:t>
            </w:r>
          </w:p>
        </w:tc>
      </w:tr>
      <w:tr>
        <w:trPr>
          <w:trHeight w:val="219"/>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10"/>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182"/>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198"/>
        <w:spacing w:after="0" w:line="261" w:lineRule="auto"/>
        <w:rPr>
          <w:sz w:val="20"/>
          <w:szCs w:val="20"/>
          <w:color w:val="auto"/>
        </w:rPr>
      </w:pPr>
      <w:r>
        <w:rPr>
          <w:rFonts w:ascii="Times New Roman" w:cs="Times New Roman" w:eastAsia="Times New Roman" w:hAnsi="Times New Roman"/>
          <w:sz w:val="18"/>
          <w:szCs w:val="18"/>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February 25, 2023, the Company will be required to make payments of $3.3 million over the next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62"/>
        <w:spacing w:after="0" w:line="256"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4" w:lineRule="exact"/>
        <w:rPr>
          <w:sz w:val="20"/>
          <w:szCs w:val="20"/>
          <w:color w:val="auto"/>
        </w:rPr>
      </w:pPr>
    </w:p>
    <w:p>
      <w:pPr>
        <w:jc w:val="both"/>
        <w:ind w:firstLine="209"/>
        <w:spacing w:after="0" w:line="261" w:lineRule="auto"/>
        <w:rPr>
          <w:sz w:val="20"/>
          <w:szCs w:val="20"/>
          <w:color w:val="auto"/>
        </w:rPr>
      </w:pPr>
      <w:r>
        <w:rPr>
          <w:rFonts w:ascii="Times New Roman" w:cs="Times New Roman" w:eastAsia="Times New Roman" w:hAnsi="Times New Roman"/>
          <w:sz w:val="18"/>
          <w:szCs w:val="18"/>
          <w:color w:val="auto"/>
        </w:rPr>
        <w:t>During the twenty-six weeks ended February 25, 2023, the Company repurchased 546,346 shares of common stock at an average share price of $30.11 per share. The Company did not repurchase any shares of common stock during the thirteen weeks ended February 25, 2023. During the thirteen and twenty-six weeks ended February 26, 2022, the Company repurchased 571,271 shares of common stock at an average share price of $35.68 per share. As of February 25, 2023, approximately $71.5 million remained available under the stock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56" w:lineRule="exact"/>
        <w:rPr>
          <w:sz w:val="20"/>
          <w:szCs w:val="20"/>
          <w:color w:val="auto"/>
        </w:rPr>
      </w:pPr>
    </w:p>
    <w:p>
      <w:pPr>
        <w:jc w:val="both"/>
        <w:ind w:firstLine="266"/>
        <w:spacing w:after="0" w:line="258" w:lineRule="auto"/>
        <w:rPr>
          <w:sz w:val="20"/>
          <w:szCs w:val="20"/>
          <w:color w:val="auto"/>
        </w:rPr>
      </w:pPr>
      <w:r>
        <w:rPr>
          <w:rFonts w:ascii="Times New Roman" w:cs="Times New Roman" w:eastAsia="Times New Roman" w:hAnsi="Times New Roman"/>
          <w:sz w:val="18"/>
          <w:szCs w:val="18"/>
          <w:color w:val="auto"/>
        </w:rPr>
        <w:t>During the thirteen and twenty-six weeks ended February 26, 2022, the Company had outstanding liability-classified Private Warrants that allowed holders to purchase 6,700,000 shares of the Company’s common stock. Such Private Warrants were held by Conyers Park, a related party. Each whole warrant entitled the holder to purchase one share of the Company’s common stock at a price of $11.50 per share. On January 7, 2022, Conyers Park elected to exercise the Private Warrants on a cashless basis, resulting in a net issuance of 4,830,761 shares of the Company’s common stock. As a result of the cashless exercise on January 7, 2022, there were no outstanding liability-classified Private Warrants as of February 25, 2023 and August 27, 2022.</w:t>
      </w:r>
    </w:p>
    <w:p>
      <w:pPr>
        <w:spacing w:after="0" w:line="210" w:lineRule="exact"/>
        <w:rPr>
          <w:sz w:val="20"/>
          <w:szCs w:val="20"/>
          <w:color w:val="auto"/>
        </w:rPr>
      </w:pPr>
    </w:p>
    <w:p>
      <w:pPr>
        <w:jc w:val="both"/>
        <w:ind w:firstLine="215"/>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6, Fair Value of Financial Instruments, the liability-classified warrants were remeasured on a recurring basis, primarily based on observable market data while the related theoretical private warrant volatility assumption within the Black-Scholes model represents a Level 3 measurement within the fair value measurement hierarchy. The periodic fair value remeasurements of the warrant liability have been reflected in </w:t>
      </w:r>
      <w:r>
        <w:rPr>
          <w:rFonts w:ascii="Times New Roman" w:cs="Times New Roman" w:eastAsia="Times New Roman" w:hAnsi="Times New Roman"/>
          <w:sz w:val="18"/>
          <w:szCs w:val="18"/>
          <w:i w:val="1"/>
          <w:iCs w:val="1"/>
          <w:color w:val="auto"/>
        </w:rPr>
        <w:t>Loss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fair value change of warrant liability </w:t>
      </w:r>
      <w:r>
        <w:rPr>
          <w:rFonts w:ascii="Times New Roman" w:cs="Times New Roman" w:eastAsia="Times New Roman" w:hAnsi="Times New Roman"/>
          <w:sz w:val="18"/>
          <w:szCs w:val="18"/>
          <w:color w:val="auto"/>
        </w:rPr>
        <w:t>within the Consolidated Statements of Operations and Comprehensive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jc w:val="both"/>
        <w:ind w:firstLine="208"/>
        <w:spacing w:after="0" w:line="25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non-vested stock units, and Private Warrants for the periods during which they were outstanding. During periods when the effect of the outstanding Private Warrants was dilutive, the Company assumed share settlement of the instruments as of the beginning of the reporting period and adjusted the numerator to remove the change in fair value of the warrant liability and adjusted the denominator to include the dilutive shares, calculated using the treasury stock method. During periods when the effect of the outstanding Private Warrants was anti-dilutive, the share settlement was excluded.</w:t>
      </w:r>
    </w:p>
    <w:p>
      <w:pPr>
        <w:spacing w:after="0" w:line="214"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computations of both basic and diluted earnings per share: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18"/>
                <w:szCs w:val="18"/>
                <w:color w:val="auto"/>
              </w:rPr>
            </w:pPr>
          </w:p>
        </w:tc>
        <w:tc>
          <w:tcPr>
            <w:tcW w:w="296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25, 2023</w:t>
            </w:r>
          </w:p>
        </w:tc>
        <w:tc>
          <w:tcPr>
            <w:tcW w:w="1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25, 2023</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26, 2022</w:t>
            </w:r>
          </w:p>
        </w:tc>
        <w:tc>
          <w:tcPr>
            <w:tcW w:w="0" w:type="dxa"/>
            <w:vAlign w:val="bottom"/>
          </w:tcPr>
          <w:p>
            <w:pPr>
              <w:spacing w:after="0"/>
              <w:rPr>
                <w:sz w:val="1"/>
                <w:szCs w:val="1"/>
                <w:color w:val="auto"/>
              </w:rPr>
            </w:pPr>
          </w:p>
        </w:tc>
      </w:tr>
      <w:tr>
        <w:trPr>
          <w:trHeight w:val="25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computation:</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0" w:type="dxa"/>
            <w:vAlign w:val="bottom"/>
          </w:tcPr>
          <w:p>
            <w:pPr>
              <w:spacing w:after="0"/>
              <w:rPr>
                <w:sz w:val="1"/>
                <w:szCs w:val="1"/>
                <w:color w:val="auto"/>
              </w:rPr>
            </w:pPr>
          </w:p>
        </w:tc>
      </w:tr>
      <w:tr>
        <w:trPr>
          <w:trHeight w:val="26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99,495,657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98,599,271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99,346,439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97,228,058</w:t>
            </w:r>
          </w:p>
        </w:tc>
        <w:tc>
          <w:tcPr>
            <w:tcW w:w="0" w:type="dxa"/>
            <w:vAlign w:val="bottom"/>
          </w:tcPr>
          <w:p>
            <w:pPr>
              <w:spacing w:after="0"/>
              <w:rPr>
                <w:sz w:val="1"/>
                <w:szCs w:val="1"/>
                <w:color w:val="auto"/>
              </w:rPr>
            </w:pPr>
          </w:p>
        </w:tc>
      </w:tr>
      <w:tr>
        <w:trPr>
          <w:trHeight w:val="213"/>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earnings per share from 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61,502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0" w:type="dxa"/>
            <w:vAlign w:val="bottom"/>
          </w:tcPr>
          <w:p>
            <w:pPr>
              <w:spacing w:after="0"/>
              <w:rPr>
                <w:sz w:val="1"/>
                <w:szCs w:val="1"/>
                <w:color w:val="auto"/>
              </w:rPr>
            </w:pPr>
          </w:p>
        </w:tc>
      </w:tr>
      <w:tr>
        <w:trPr>
          <w:trHeight w:val="253"/>
        </w:trPr>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0" w:type="dxa"/>
            <w:vAlign w:val="bottom"/>
          </w:tcPr>
          <w:p>
            <w:pPr>
              <w:spacing w:after="0"/>
              <w:rPr>
                <w:sz w:val="1"/>
                <w:szCs w:val="1"/>
                <w:color w:val="auto"/>
              </w:rPr>
            </w:pPr>
          </w:p>
        </w:tc>
      </w:tr>
      <w:tr>
        <w:trPr>
          <w:trHeight w:val="24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99,495,657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98,599,271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99,346,439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97,228,058</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Employee stock options</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1,227,507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1,640,199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1,270,406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1,645,793</w:t>
            </w:r>
          </w:p>
        </w:tc>
        <w:tc>
          <w:tcPr>
            <w:tcW w:w="0" w:type="dxa"/>
            <w:vAlign w:val="bottom"/>
          </w:tcPr>
          <w:p>
            <w:pPr>
              <w:spacing w:after="0"/>
              <w:rPr>
                <w:sz w:val="1"/>
                <w:szCs w:val="1"/>
                <w:color w:val="auto"/>
              </w:rPr>
            </w:pPr>
          </w:p>
        </w:tc>
      </w:tr>
      <w:tr>
        <w:trPr>
          <w:trHeight w:val="270"/>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Non-vested stock units</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117,723</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175,300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185,324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279,110</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100,840,887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100,414,770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100,802,169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99,152,961</w:t>
            </w:r>
          </w:p>
        </w:tc>
        <w:tc>
          <w:tcPr>
            <w:tcW w:w="0" w:type="dxa"/>
            <w:vAlign w:val="bottom"/>
          </w:tcPr>
          <w:p>
            <w:pPr>
              <w:spacing w:after="0"/>
              <w:rPr>
                <w:sz w:val="1"/>
                <w:szCs w:val="1"/>
                <w:color w:val="auto"/>
              </w:rPr>
            </w:pPr>
          </w:p>
        </w:tc>
      </w:tr>
      <w:tr>
        <w:trPr>
          <w:trHeight w:val="251"/>
        </w:trPr>
        <w:tc>
          <w:tcPr>
            <w:tcW w:w="3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twenty-six weeks ended February 25, 2023 excluded 0.6 million and 0.5 million shares of common stock issuable upon exercise of stock options, respectively, that would have been anti-dilutive. Diluted earnings per share calculations for the thirteen and twenty-six weeks ended February 26, 2022 excluded 0.3 million and 0.3 million shares of common stock issuable upon exercise of stock options, respectively, that would have been anti-dilutive.</w:t>
      </w:r>
    </w:p>
    <w:p>
      <w:pPr>
        <w:spacing w:after="0" w:line="207" w:lineRule="exact"/>
        <w:rPr>
          <w:sz w:val="20"/>
          <w:szCs w:val="20"/>
          <w:color w:val="auto"/>
        </w:rPr>
      </w:pPr>
    </w:p>
    <w:p>
      <w:pPr>
        <w:jc w:val="both"/>
        <w:ind w:firstLine="212"/>
        <w:spacing w:after="0" w:line="266"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twenty-six weeks ended February 25, 2023 excluded 0.1 million non-vested stock units and 0.1 million non-vested stock units, respectively, that would have been anti-dilutive. Diluted earnings per share calculations for the thirteen and twenty-six weeks ended February 26, 2022 excluded 0.1 million and 0.1 million of non-vested stock units, respectively, that would have been anti-dilutive.</w:t>
      </w:r>
    </w:p>
    <w:p>
      <w:pPr>
        <w:spacing w:after="0" w:line="203" w:lineRule="exact"/>
        <w:rPr>
          <w:sz w:val="20"/>
          <w:szCs w:val="20"/>
          <w:color w:val="auto"/>
        </w:rPr>
      </w:pPr>
    </w:p>
    <w:p>
      <w:pPr>
        <w:ind w:right="240" w:firstLine="177"/>
        <w:spacing w:after="0" w:line="282" w:lineRule="auto"/>
        <w:rPr>
          <w:sz w:val="20"/>
          <w:szCs w:val="20"/>
          <w:color w:val="auto"/>
        </w:rPr>
      </w:pPr>
      <w:r>
        <w:rPr>
          <w:rFonts w:ascii="Times New Roman" w:cs="Times New Roman" w:eastAsia="Times New Roman" w:hAnsi="Times New Roman"/>
          <w:sz w:val="18"/>
          <w:szCs w:val="18"/>
          <w:color w:val="auto"/>
        </w:rPr>
        <w:t>The diluted earnings per share calculations for the thirteen and twenty-six weeks ended February 26, 2022 excluded 0.9 million shares and 1.5 million shares issuable upon exercise of Private Warrants, respectively, that would have been anti-dilutive.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Omnibus Incentive Plan</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for equity-classified awards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w:t>
      </w:r>
      <w:r>
        <w:rPr>
          <w:rFonts w:ascii="Times New Roman" w:cs="Times New Roman" w:eastAsia="Times New Roman" w:hAnsi="Times New Roman"/>
          <w:sz w:val="18"/>
          <w:szCs w:val="18"/>
          <w:color w:val="auto"/>
        </w:rPr>
        <w:t>expense, which is the same financial statement caption where the recipient’s other compensation is reported.</w:t>
      </w:r>
    </w:p>
    <w:p>
      <w:pPr>
        <w:spacing w:after="0" w:line="207"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8"/>
          <w:szCs w:val="18"/>
          <w:color w:val="auto"/>
        </w:rPr>
        <w:t>The Company recorded stock-based compensation expense of $3.0 million and $3.1 million in the thirteen weeks ended February 25, 2023 and February 26, 2022, respectively, and $6.3 million and $5.7 million in the twenty-six weeks ended February 25, 2023 and February 26, 2022, respectively.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twenty-six weeks ended February 25, 2023:</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27,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2,776,551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18.04</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38.61</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(326,561)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14.67</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(20,009)</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31.33</w:t>
            </w:r>
          </w:p>
        </w:tc>
        <w:tc>
          <w:tcPr>
            <w:tcW w:w="14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February 25,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2,564,982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19.45</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February 25,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2,564,982</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19.45</w:t>
            </w:r>
          </w:p>
        </w:tc>
        <w:tc>
          <w:tcPr>
            <w:tcW w:w="14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February 25,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2,054,267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15.62</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8"/>
          <w:szCs w:val="18"/>
          <w:color w:val="auto"/>
        </w:rPr>
        <w:t>As of February 25, 2023, the Company had $5.0 million of total unrecognized compensation cost related to stock options that will be recognized over a weighted average period of 1.7 years. During the twenty-six weeks ended February 25, 2023 and February 26, 2022, the Company received $4.8 million and $1.5 million in cash from stock option exercises,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twenty-six weeks ended February 25, 2023:</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27,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453,003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264,992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(175,301)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February 25,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498,032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174"/>
        <w:spacing w:after="0" w:line="282" w:lineRule="auto"/>
        <w:rPr>
          <w:sz w:val="20"/>
          <w:szCs w:val="20"/>
          <w:color w:val="auto"/>
        </w:rPr>
      </w:pPr>
      <w:r>
        <w:rPr>
          <w:rFonts w:ascii="Times New Roman" w:cs="Times New Roman" w:eastAsia="Times New Roman" w:hAnsi="Times New Roman"/>
          <w:sz w:val="18"/>
          <w:szCs w:val="18"/>
          <w:color w:val="auto"/>
        </w:rPr>
        <w:t>As of February 25, 2023, the Company had $13.3 million of total unrecognized compensation cost related to restricted stock units that will be recognized over a weighted average period of 1.7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206"/>
        <w:spacing w:after="0" w:line="266" w:lineRule="auto"/>
        <w:rPr>
          <w:sz w:val="20"/>
          <w:szCs w:val="20"/>
          <w:color w:val="auto"/>
        </w:rPr>
      </w:pPr>
      <w:r>
        <w:rPr>
          <w:rFonts w:ascii="Times New Roman" w:cs="Times New Roman" w:eastAsia="Times New Roman" w:hAnsi="Times New Roman"/>
          <w:sz w:val="18"/>
          <w:szCs w:val="18"/>
          <w:color w:val="auto"/>
        </w:rPr>
        <w:t>During the twenty-six weeks ended February 25, 2023, the Company granted performance stock units under its equity compensation plan. Performance stock units vest in a range between 0% and 200% based upon certain performance criteria in a three-year period. Performance stock units were valued using a Monte Carlo simulation.</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twenty-six weeks ended February 25, 2023:</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27,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255,023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50,629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(72,452)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(37,241)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February 25,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195,959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278"/>
        <w:spacing w:after="0" w:line="282" w:lineRule="auto"/>
        <w:rPr>
          <w:sz w:val="20"/>
          <w:szCs w:val="20"/>
          <w:color w:val="auto"/>
        </w:rPr>
      </w:pPr>
      <w:r>
        <w:rPr>
          <w:rFonts w:ascii="Times New Roman" w:cs="Times New Roman" w:eastAsia="Times New Roman" w:hAnsi="Times New Roman"/>
          <w:sz w:val="18"/>
          <w:szCs w:val="18"/>
          <w:color w:val="auto"/>
        </w:rPr>
        <w:t>As of February 25, 2023, the Company had $5.0 million of total unrecognized compensation cost related to performance stock units that will be recognized over a weighted average period of 1.5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once the applicable vesting criteria have been met. The SARs outstanding as of February 25, 2023 cliff vest two years from the date of grant and must be exercised within five years.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SARs activity for the twenty-six weeks ended February 25, 2023:</w:t>
      </w:r>
    </w:p>
    <w:p>
      <w:pPr>
        <w:spacing w:after="0" w:line="275"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Shares underlying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SARs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27,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r>
      <w:tr>
        <w:trPr>
          <w:trHeight w:val="25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73"/>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r>
      <w:tr>
        <w:trPr>
          <w:trHeight w:val="267"/>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February 25,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bl>
    <w:p>
      <w:pPr>
        <w:spacing w:after="0" w:line="292" w:lineRule="exact"/>
        <w:rPr>
          <w:sz w:val="20"/>
          <w:szCs w:val="20"/>
          <w:color w:val="auto"/>
        </w:rPr>
      </w:pPr>
    </w:p>
    <w:p>
      <w:pPr>
        <w:jc w:val="both"/>
        <w:ind w:right="80" w:firstLine="177"/>
        <w:spacing w:after="0" w:line="250" w:lineRule="auto"/>
        <w:rPr>
          <w:sz w:val="20"/>
          <w:szCs w:val="20"/>
          <w:color w:val="auto"/>
        </w:rPr>
      </w:pPr>
      <w:r>
        <w:rPr>
          <w:rFonts w:ascii="Times New Roman" w:cs="Times New Roman" w:eastAsia="Times New Roman" w:hAnsi="Times New Roman"/>
          <w:sz w:val="18"/>
          <w:szCs w:val="18"/>
          <w:color w:val="auto"/>
        </w:rPr>
        <w:t>The SARs exercised in the twenty-six weeks ended February 25, 2023 resulted in a net issuance of 38,850 shares of the Company’s common stock. The SARs granted in the twenty-six weeks ended February 25, 2023 are liability-classified; therefore the related stock-based compensation expense is based on the vesting provisions and the fair value of the awards.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 and Related Charges</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In May 2020, the Company announced certain restructuring activities in conjunction with the implementation of the Company’s future-state organization design, which created a fully integrated organization with its completed acquisition of Quest Nutrition, LLC on November 7, 2019. The new organization design became effective on August 31, 2020. These restructuring plans primarily included workforce reductions, changes in management structure, and the relocation of business activities from one location to another.</w:t>
      </w:r>
    </w:p>
    <w:p>
      <w:pPr>
        <w:spacing w:after="0" w:line="207" w:lineRule="exact"/>
        <w:rPr>
          <w:sz w:val="20"/>
          <w:szCs w:val="20"/>
          <w:color w:val="auto"/>
        </w:rPr>
      </w:pPr>
    </w:p>
    <w:p>
      <w:pPr>
        <w:jc w:val="both"/>
        <w:ind w:firstLine="177"/>
        <w:spacing w:after="0" w:line="261" w:lineRule="auto"/>
        <w:rPr>
          <w:sz w:val="20"/>
          <w:szCs w:val="20"/>
          <w:color w:val="auto"/>
        </w:rPr>
      </w:pPr>
      <w:r>
        <w:rPr>
          <w:rFonts w:ascii="Times New Roman" w:cs="Times New Roman" w:eastAsia="Times New Roman" w:hAnsi="Times New Roman"/>
          <w:sz w:val="18"/>
          <w:szCs w:val="18"/>
          <w:color w:val="auto"/>
        </w:rPr>
        <w:t>The Company substantially completed its restructuring activities during the third quarter of fiscal 2022; therefore no restructuring or restructuring-related costs were incurred in the thirteen and twenty-six weeks ended February 25, 2023. In the thirteen and twenty-six weeks ended February 26, 2022, the Company incurred $0.1 million of restructuring and restructuring-related costs. Since the announcement of the restructuring activities in May 2020, the Company incurred aggregate restructuring and restructuring-related costs of $9.9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234"/>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our expectations regarding our supply chain, including but not limited to, raw materials and logistics costs, the effect of price increases, inflationary pressure on us and our contract manufacturers, and the unforeseen business disruptions or other effects due to current global geopolitical tensions, including relating to Ukraine.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212"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27, 2022 (“Annual Report”) and our unaudited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12" w:lineRule="exact"/>
        <w:rPr>
          <w:sz w:val="20"/>
          <w:szCs w:val="20"/>
          <w:color w:val="auto"/>
        </w:rPr>
      </w:pPr>
    </w:p>
    <w:p>
      <w:pPr>
        <w:ind w:right="6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89"/>
        <w:spacing w:after="0" w:line="241"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Atkins®, Atkins Endulge®, Quest® and Quest Hero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names. We believe Simply Good Foods is poised to expand its wellness platform through innovation and organic growth along with acquisition opportunities in the nutritional snacking space.</w:t>
      </w:r>
    </w:p>
    <w:p>
      <w:pPr>
        <w:spacing w:after="0" w:line="226"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206"/>
        <w:spacing w:after="0" w:line="255" w:lineRule="auto"/>
        <w:rPr>
          <w:sz w:val="20"/>
          <w:szCs w:val="20"/>
          <w:color w:val="auto"/>
        </w:rPr>
      </w:pPr>
      <w:r>
        <w:rPr>
          <w:rFonts w:ascii="Times New Roman" w:cs="Times New Roman" w:eastAsia="Times New Roman" w:hAnsi="Times New Roman"/>
          <w:sz w:val="18"/>
          <w:szCs w:val="18"/>
          <w:color w:val="auto"/>
        </w:rPr>
        <w:t>We continue to actively monitor the effect of the dynamic macroeconomic inflationary environment in the United States and elsewhere, elevated levels of supply chain costs, and the level of consumer mobility, which includes the rate at which consumers return to working outside the home. Current or future governmental policies may increase the risk of inflation and possible economic recession, which could further increase the costs of ingredients, packaging and finished goods for our business as well as negatively effect consumer behavior and demand for our products. Additionally, management is continuing to monitor the conflict in Ukraine, especially regarding the availability and cost of raw materials that are produced in this region and Europe in general. Management is also monitoring for signs of any expansion of economic or supply chain disruptions or broader supply chain inflationary costs resulting either directly or indirectly from the crisis in Eastern Europe.</w:t>
      </w:r>
    </w:p>
    <w:p>
      <w:pPr>
        <w:spacing w:after="0" w:line="216" w:lineRule="exact"/>
        <w:rPr>
          <w:sz w:val="20"/>
          <w:szCs w:val="20"/>
          <w:color w:val="auto"/>
        </w:rPr>
      </w:pPr>
    </w:p>
    <w:p>
      <w:pPr>
        <w:jc w:val="both"/>
        <w:ind w:firstLine="207"/>
        <w:spacing w:after="0" w:line="261" w:lineRule="auto"/>
        <w:rPr>
          <w:sz w:val="20"/>
          <w:szCs w:val="20"/>
          <w:color w:val="auto"/>
        </w:rPr>
      </w:pPr>
      <w:r>
        <w:rPr>
          <w:rFonts w:ascii="Times New Roman" w:cs="Times New Roman" w:eastAsia="Times New Roman" w:hAnsi="Times New Roman"/>
          <w:sz w:val="18"/>
          <w:szCs w:val="18"/>
          <w:color w:val="auto"/>
        </w:rPr>
        <w:t>During the thirteen and twenty-six weeks ended February 25, 2023, our business performance was affected by the corresponding unfavorable effects of higher raw material costs, higher co-manufacturing costs, and supply chain challenges, including supply chain disruptions resulting from labor shortages and disruptions in ingredients, and we expect on balance that these inflationary cost pressures and supply chain challenges to continue for the remainder of fiscal year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97"/>
        <w:spacing w:after="0" w:line="261" w:lineRule="auto"/>
        <w:rPr>
          <w:sz w:val="20"/>
          <w:szCs w:val="20"/>
          <w:color w:val="auto"/>
        </w:rPr>
      </w:pPr>
      <w:r>
        <w:rPr>
          <w:rFonts w:ascii="Times New Roman" w:cs="Times New Roman" w:eastAsia="Times New Roman" w:hAnsi="Times New Roman"/>
          <w:sz w:val="18"/>
          <w:szCs w:val="18"/>
          <w:color w:val="auto"/>
        </w:rPr>
        <w:t>We continue to proactively engage with our retail customers, contract manufacturers, and logistics and transportation providers, to meet demand for our products and to remain informed of any challenges within our business operations. Additionally, we instituted price increases effective in the first and fourth quarters of fiscal year 2022. Management believes these price increases and additional cost savings initiatives will partially offset the unfavorable effects of the supply chain cost pressures discussed above.</w:t>
      </w:r>
    </w:p>
    <w:p>
      <w:pPr>
        <w:spacing w:after="0" w:line="207" w:lineRule="exact"/>
        <w:rPr>
          <w:sz w:val="20"/>
          <w:szCs w:val="20"/>
          <w:color w:val="auto"/>
        </w:rPr>
      </w:pPr>
    </w:p>
    <w:p>
      <w:pPr>
        <w:jc w:val="both"/>
        <w:ind w:firstLine="188"/>
        <w:spacing w:after="0" w:line="282" w:lineRule="auto"/>
        <w:rPr>
          <w:sz w:val="20"/>
          <w:szCs w:val="20"/>
          <w:color w:val="auto"/>
        </w:rPr>
      </w:pPr>
      <w:r>
        <w:rPr>
          <w:rFonts w:ascii="Times New Roman" w:cs="Times New Roman" w:eastAsia="Times New Roman" w:hAnsi="Times New Roman"/>
          <w:sz w:val="18"/>
          <w:szCs w:val="18"/>
          <w:color w:val="auto"/>
        </w:rPr>
        <w:t>The ultimate effect the supply chain challenges, cost pressures, current high inflation environment, and the possible economic recession discussed above could have on consumer purchasing patterns and on our business continue to be not fully known.</w:t>
      </w:r>
    </w:p>
    <w:p>
      <w:pPr>
        <w:spacing w:after="0" w:line="189"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Based on information available to us as of the date of this Report, we believe we will be able to deliver products at acceptable levels to fulfill customer orders on a timely basis; therefore, we expect our products will continue to be available for purchase to meet consumer meal replacement and snacking needs for the foreseeable future. We continue to monitor customer and consumer demand along with our supply chain and logistics capabilities and intend to adapt our plans as needed to continue to drive our business and meet our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right="20"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and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The following is a brief description of the components of operating expenses:</w:t>
      </w:r>
    </w:p>
    <w:p>
      <w:pPr>
        <w:spacing w:after="0" w:line="18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comprise broker commissions, customer marketing, media and other marketing costs.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comprise expenses associated with corporate and administrative functions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our business, including employee compensation, stock-based compensation, professional services, integration costs,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costs consist of costs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182"/>
        <w:spacing w:after="0" w:line="255" w:lineRule="auto"/>
        <w:rPr>
          <w:sz w:val="20"/>
          <w:szCs w:val="20"/>
          <w:color w:val="auto"/>
        </w:rPr>
      </w:pPr>
      <w:r>
        <w:rPr>
          <w:rFonts w:ascii="Times New Roman" w:cs="Times New Roman" w:eastAsia="Times New Roman" w:hAnsi="Times New Roman"/>
          <w:sz w:val="18"/>
          <w:szCs w:val="18"/>
          <w:color w:val="auto"/>
        </w:rPr>
        <w:t>During the thirteen weeks ended February 25, 2023, our net sales were relatively flat at $296.6 million compared to $296.7 million for the thirteen weeks ended February 26, 2022. The positive effects of the price increase effective in the fourth quarter of fiscal year 2022, which drove a 0.3% increase in our North America net sales, were offset by a 10.8% decline in our international net sales and a 1.3% headwind to net sales growth related to our shift from direct sales to licensing the Quest® frozen pizza business in the third quarter of fiscal year 2022. Unfavorable effects of higher raw material, packaging, and co-manufacturing costs and supply chain challenges in the thirteen weeks ended February 25, 2023 resulted in decreased gross profit and gross profit margin as compared to the thirteen weeks ended February 26, 2022. As previously discussed above in “Business Trends,” we expect these inflationary cost pressures and supply chain challenges to continue for the remainder of fiscal year 2023.</w:t>
      </w:r>
    </w:p>
    <w:p>
      <w:pPr>
        <w:spacing w:after="0" w:line="216"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Thirteen Weeks Ended February 25, 2023 and the Thirteen Weeks Ended February 26, 2022</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257"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Thirteen Weeks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Thirteen Weeks</w:t>
            </w:r>
          </w:p>
        </w:tc>
        <w:tc>
          <w:tcPr>
            <w:tcW w:w="15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Ended</w:t>
            </w:r>
          </w:p>
        </w:tc>
        <w:tc>
          <w:tcPr>
            <w:tcW w:w="1500" w:type="dxa"/>
            <w:vAlign w:val="bottom"/>
          </w:tcPr>
          <w:p>
            <w:pPr>
              <w:spacing w:after="0"/>
              <w:rPr>
                <w:sz w:val="18"/>
                <w:szCs w:val="18"/>
                <w:color w:val="auto"/>
              </w:rPr>
            </w:pPr>
          </w:p>
        </w:tc>
      </w:tr>
      <w:tr>
        <w:trPr>
          <w:trHeight w:val="25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February 25, 2023</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296,584</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296,718</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67"/>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193,852</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65.4 %</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188,195</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102,732</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108,523</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29,948</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25,934</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26,288</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67"/>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60,227</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62,572</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42,505</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45,951</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70"/>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4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5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(8,465)</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(17,241)</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34,040</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28,710</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14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10,249</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2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3"/>
        </w:trPr>
        <w:tc>
          <w:tcPr>
            <w:tcW w:w="3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50,900</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r>
    </w:tbl>
    <w:p>
      <w:pPr>
        <w:ind w:left="700" w:right="720" w:hanging="80"/>
        <w:spacing w:after="0" w:line="228" w:lineRule="auto"/>
        <w:tabs>
          <w:tab w:leader="none" w:pos="76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-226695</wp:posOffset>
            </wp:positionV>
            <wp:extent cx="40030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302" w:lineRule="exact"/>
        <w:rPr>
          <w:sz w:val="20"/>
          <w:szCs w:val="20"/>
          <w:color w:val="auto"/>
        </w:rPr>
      </w:pPr>
    </w:p>
    <w:p>
      <w:pPr>
        <w:jc w:val="both"/>
        <w:ind w:firstLine="2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were relatively flat at $296.6 million for the thirteen weeks ended February 25, 2023 compared to $296.7 million for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26, 2022, representing a slight decrease of $0.1 million. The slight decrease was primarily attributable to the 10.8% decline in our international business and the 1.3% headwind to net sales growth related to our shift from direct sales to licensing the Quest® frozen pizza business in the third quarter of fiscal year 2022. These decreases were largely offset by the effects of the price increase effective in the fourth quarter of fiscal year 2022, which drove the 0.3% increase in our North America net sales in the thirteen weeks ended February 25, 2023 compared to the thirteen weeks ended February 26, 2022.</w:t>
      </w:r>
    </w:p>
    <w:p>
      <w:pPr>
        <w:spacing w:after="0" w:line="209" w:lineRule="exact"/>
        <w:rPr>
          <w:sz w:val="20"/>
          <w:szCs w:val="20"/>
          <w:color w:val="auto"/>
        </w:rPr>
      </w:pPr>
    </w:p>
    <w:p>
      <w:pPr>
        <w:jc w:val="both"/>
        <w:ind w:right="20" w:firstLine="19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$5.7 million, or 3.0%, for the thirteen weeks ended February 25, 2023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26, 2022. The cost of goods sold increase was primarily driven by higher raw material, packaging, and co-manufacturing costs and supply chain challenges in the thirteen weeks ended February 25, 2023. As previously discussed above in “Business Trends,” we expect these inflationary cost pressures and supply chain challenges to continue for the remainder of fiscal year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both"/>
        <w:ind w:firstLine="26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$5.8 million, or 5.3%, for the thirteen weeks ended February 25, 2023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26, 2022. Additionally, gross profit of $102.7 million, or 34.6% of net sales, for the thirteen weeks ended February 25, 2023 decreased 200 basis points from 36.6% of net sales for the thirteen weeks ended February 26, 2022. The decreases in gross profit and gross profit margin were primarily driven by the unfavorable effects of higher raw material, packaging, and co-manufacturing costs and supply chain challenges in the thirteen weeks ended February 25, 2023 as previously discussed. These decreases were partially offset by the favorable effects of the price increase which became effective in the fourth quarter of fiscal year 2022.</w:t>
      </w:r>
    </w:p>
    <w:p>
      <w:pPr>
        <w:spacing w:after="0" w:line="209" w:lineRule="exact"/>
        <w:rPr>
          <w:sz w:val="20"/>
          <w:szCs w:val="20"/>
          <w:color w:val="auto"/>
        </w:rPr>
      </w:pPr>
    </w:p>
    <w:p>
      <w:pPr>
        <w:jc w:val="both"/>
        <w:ind w:right="20" w:firstLine="19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decreased $2.3 million, or 3.7%, for the thirteen weeks ended February 25, 2023 and February 26, 2022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w:t>
      </w:r>
    </w:p>
    <w:p>
      <w:pPr>
        <w:spacing w:after="0" w:line="184" w:lineRule="exact"/>
        <w:rPr>
          <w:sz w:val="20"/>
          <w:szCs w:val="20"/>
          <w:color w:val="auto"/>
        </w:rPr>
      </w:pPr>
    </w:p>
    <w:p>
      <w:pPr>
        <w:ind w:left="66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$2.0 million, or 6.3%, for the thirteen weeks ended February 25, 2023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thirteen weeks ended February 26, 2022, primarily related to the timing of marketing spend.</w:t>
      </w:r>
    </w:p>
    <w:p>
      <w:pPr>
        <w:spacing w:after="0" w:line="50" w:lineRule="exact"/>
        <w:rPr>
          <w:rFonts w:ascii="Times New Roman" w:cs="Times New Roman" w:eastAsia="Times New Roman" w:hAnsi="Times New Roman"/>
          <w:sz w:val="18"/>
          <w:szCs w:val="18"/>
          <w:color w:val="auto"/>
        </w:rPr>
      </w:pPr>
    </w:p>
    <w:p>
      <w:pPr>
        <w:jc w:val="both"/>
        <w:ind w:left="660" w:hanging="247"/>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$0.4 million, or 1.3%, for the thirteen weeks ended February 25,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February 26, 2022. The decrease in general and administrative expenses was primarily attributable to a reduction in employee-related expenses and the discontinuation of costs related to business integration activities and restructuring charges in the thirteen weeks ended February 25, 2023 compared to costs totaling $0.3 million in the thirteen weeks ended February 26, 2022. These decreases were partially offset by the $0.4 million of executive officer transition costs incurred in the thirteen weeks ended February 25, 2023.</w:t>
      </w:r>
    </w:p>
    <w:p>
      <w:pPr>
        <w:spacing w:after="0" w:line="75"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$4.3 million for the thirteen weeks ended February 25,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26, 2022.</w:t>
      </w:r>
    </w:p>
    <w:p>
      <w:pPr>
        <w:spacing w:after="0" w:line="183" w:lineRule="exact"/>
        <w:rPr>
          <w:sz w:val="20"/>
          <w:szCs w:val="20"/>
          <w:color w:val="auto"/>
        </w:rPr>
      </w:pPr>
    </w:p>
    <w:p>
      <w:pPr>
        <w:jc w:val="both"/>
        <w:ind w:firstLine="28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increased $3.2 million for the thirteen weeks ended February 25, 2023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26, 2022, primarily due to the increase in interest rates on our Term Facility (as defined below) to 8.0% as of February 25, 2023 from 3.8% as of February 26, 2022. The increase was partially offset by the effect of principal payments reducing the outstanding balance of the Term Facility to $365.0 million as of February 25, 2023 from $431.5 million as of February 26, 2022. Additionally, interest expense related to the amortization of deferred financing costs and debt discount increased $0.2 million for the thirteen weeks ended February 25, 2023 compared to the thirteen weeks ended February 26, 2022.</w:t>
      </w:r>
    </w:p>
    <w:p>
      <w:pPr>
        <w:spacing w:after="0" w:line="209" w:lineRule="exact"/>
        <w:rPr>
          <w:sz w:val="20"/>
          <w:szCs w:val="20"/>
          <w:color w:val="auto"/>
        </w:rPr>
      </w:pPr>
    </w:p>
    <w:p>
      <w:pPr>
        <w:jc w:val="both"/>
        <w:ind w:firstLine="31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in fair value change of warrant liability. </w:t>
      </w:r>
      <w:r>
        <w:rPr>
          <w:rFonts w:ascii="Times New Roman" w:cs="Times New Roman" w:eastAsia="Times New Roman" w:hAnsi="Times New Roman"/>
          <w:sz w:val="18"/>
          <w:szCs w:val="18"/>
          <w:color w:val="auto"/>
        </w:rPr>
        <w:t>There were no outstanding liability-classified Private Warrants during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25, 2023. During thirteen weeks ended February 26, 2022, we recorded a non-cash loss of $12.7 million related to changes in valuation of our liability-classified warrants issued through a private placement (“Private Warrants”), which was primarily driven by movements in our stock price. On January 7, 2022, the Private Warrants were exercised on a cashless basis, resulting in a net issuance of 4,830,761 shares of common stock.</w:t>
      </w:r>
    </w:p>
    <w:p>
      <w:pPr>
        <w:spacing w:after="0" w:line="203" w:lineRule="exact"/>
        <w:rPr>
          <w:sz w:val="20"/>
          <w:szCs w:val="20"/>
          <w:color w:val="auto"/>
        </w:rPr>
      </w:pPr>
    </w:p>
    <w:p>
      <w:pPr>
        <w:jc w:val="both"/>
        <w:ind w:firstLine="19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gain on foreign currency transactions. </w:t>
      </w:r>
      <w:r>
        <w:rPr>
          <w:rFonts w:ascii="Times New Roman" w:cs="Times New Roman" w:eastAsia="Times New Roman" w:hAnsi="Times New Roman"/>
          <w:sz w:val="18"/>
          <w:szCs w:val="18"/>
          <w:color w:val="auto"/>
        </w:rPr>
        <w:t>Foreign currency transactions resulted in a loss of $0.2 million and a gain of $0.8 million for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25, 2023 and February 26, 2022, respectively. During the thirteen weeks ended February 26, 2022, we recognized a foreign currency translation gain of $1.1 million related to the liquidation of a foreign subsidiary. The remaining variance is attributable to changes in foreign currency rates related to our international operations.</w:t>
      </w:r>
    </w:p>
    <w:p>
      <w:pPr>
        <w:spacing w:after="0" w:line="203"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$1.9 million for the thirteen weeks ended February 25, 2023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26, 2022. The decrease in our income tax expense was primarily driven by lower income from operations and changes in permanent differences.</w:t>
      </w:r>
    </w:p>
    <w:p>
      <w:pPr>
        <w:spacing w:after="0" w:line="182" w:lineRule="exact"/>
        <w:rPr>
          <w:sz w:val="20"/>
          <w:szCs w:val="20"/>
          <w:color w:val="auto"/>
        </w:rPr>
      </w:pPr>
    </w:p>
    <w:p>
      <w:pPr>
        <w:jc w:val="both"/>
        <w:ind w:firstLine="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$25.6 million for the thirteen weeks ended February 25, 2023, an increase of $7.2 million compared to net income of $18.5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thirteen weeks ended February 26, 2022. The increase was primarily driven by the $12.7 million non-cash fair value loss incurred in the thirteen weeks ended February 26, 2022 related to the measurement of our liability-classified Private Warrants. The increase in net income was partially offset by a $3.4 million decrease in income from operations, driven by the unfavorable effects of higher raw material and co-manufacturing costs and supply chain challenges, and the $3.2 million increase in interest expense in the thirteen weeks ended February 25, 2023 as discussed above.</w:t>
      </w:r>
    </w:p>
    <w:p>
      <w:pPr>
        <w:spacing w:after="0" w:line="206" w:lineRule="exact"/>
        <w:rPr>
          <w:sz w:val="20"/>
          <w:szCs w:val="20"/>
          <w:color w:val="auto"/>
        </w:rPr>
      </w:pPr>
    </w:p>
    <w:p>
      <w:pPr>
        <w:jc w:val="both"/>
        <w:ind w:firstLine="19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decreased $3.3 million, or 6.1% for the thirteen weeks ended February 25, 2023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26, 2022, driven primarily by the $3.4 million decrease in income from operations as a result of the unfavorable effects of higher raw material and co-manufacturing costs and supply chain challenges in the thirteen weeks ended February 25, 2023 as discussed above.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Twenty-Six Weeks Ended February 25, 2023 and the Twenty-Six Weeks Ended February 26, 2022</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109"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Twenty-Six Weeks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Twenty-Six Weeks</w:t>
            </w:r>
          </w:p>
        </w:tc>
        <w:tc>
          <w:tcPr>
            <w:tcW w:w="15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Ended</w:t>
            </w:r>
          </w:p>
        </w:tc>
        <w:tc>
          <w:tcPr>
            <w:tcW w:w="1500" w:type="dxa"/>
            <w:vAlign w:val="bottom"/>
          </w:tcPr>
          <w:p>
            <w:pPr>
              <w:spacing w:after="0"/>
              <w:rPr>
                <w:sz w:val="18"/>
                <w:szCs w:val="18"/>
                <w:color w:val="auto"/>
              </w:rPr>
            </w:pPr>
          </w:p>
        </w:tc>
      </w:tr>
      <w:tr>
        <w:trPr>
          <w:trHeight w:val="25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February 25, 2023</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597,462</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577,983</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67"/>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383,738</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64.2 %</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352,905</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213,724</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225,078</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58,482</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62,482</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51,575</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49,990</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67"/>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8,672</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118,729</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121,121</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94,995</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103,957</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(15,552)</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(11,647)</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3"/>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(15,399)</w:t>
            </w:r>
          </w:p>
        </w:tc>
        <w:tc>
          <w:tcPr>
            <w:tcW w:w="14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(41,272)</w:t>
            </w:r>
          </w:p>
        </w:tc>
        <w:tc>
          <w:tcPr>
            <w:tcW w:w="12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79,596</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62,685</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267"/>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18,094</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23,072</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51"/>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111,666</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119,795</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20.7 %</w:t>
            </w:r>
          </w:p>
        </w:tc>
      </w:tr>
    </w:tbl>
    <w:p>
      <w:pPr>
        <w:spacing w:after="0" w:line="13" w:lineRule="exact"/>
        <w:rPr>
          <w:sz w:val="20"/>
          <w:szCs w:val="20"/>
          <w:color w:val="auto"/>
        </w:rPr>
      </w:pPr>
    </w:p>
    <w:p>
      <w:pPr>
        <w:ind w:left="700" w:right="720" w:hanging="80"/>
        <w:spacing w:after="0" w:line="228" w:lineRule="auto"/>
        <w:tabs>
          <w:tab w:leader="none" w:pos="768"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-226695</wp:posOffset>
            </wp:positionV>
            <wp:extent cx="40030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89"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of $597.5 million represented an increase of $19.5 million, or 3.4%, for the twenty-six weeks ended February 25, 2023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twenty-six weeks ended February 26, 2022. The increase was primarily attributable to the price increase effective in the fourth quarter of fiscal year 2022, which drove the 3.9% increase in our North America net sales in the twenty-six weeks ended February 25, 2023 compared to the twenty-six weeks ended February 26, 2022. The increase in North America net sales was partially offset by a 13.8% decline in our international business and a 1.2% headwind to net sales growth related to our shift from direct sales to licensing the Quest® frozen pizza business in the third quarter of fiscal year 2022.</w:t>
      </w:r>
    </w:p>
    <w:p>
      <w:pPr>
        <w:spacing w:after="0" w:line="206" w:lineRule="exact"/>
        <w:rPr>
          <w:sz w:val="20"/>
          <w:szCs w:val="20"/>
          <w:color w:val="auto"/>
        </w:rPr>
      </w:pPr>
    </w:p>
    <w:p>
      <w:pPr>
        <w:jc w:val="both"/>
        <w:ind w:firstLine="19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$30.8 million, or 8.7%, for the twenty-six weeks ended February 25, 2023 compared to the twenty-six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26, 2022. The cost of goods sold increase was primarily driven by higher raw material, packaging, and co-manufacturing costs and supply chain challenges in the twenty-six weeks ended February 25, 2023. As previously discussed above in “Business Trends,” we continue to expect these inflationary cost pressures and supply chain challenges to continue for the remainder of fiscal year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both"/>
        <w:ind w:firstLine="19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$11.4 million, or 5.0%, for the twenty-six weeks ended February 25, 2023 compared to the twenty-six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26, 2022. Additionally, gross profit of $213.7 million, or 35.8% of net sales, for the twenty-six weeks ended February 25, 2023 decreased 310 basis points from 38.9% of net sales for the twenty-six weeks ended February 26, 2022. The decreases in gross profit and gross profit margin were primarily driven by the unfavorable effects of higher raw material, packaging, and co-manufacturing costs and supply chain challenges in the twenty-six weeks ended February 25, 2023 as previously discussed. These decreases were partially offset by the favorable effects of the price increase which became effective in the fourth quarter of fiscal year 2022.</w:t>
      </w:r>
    </w:p>
    <w:p>
      <w:pPr>
        <w:spacing w:after="0" w:line="209" w:lineRule="exact"/>
        <w:rPr>
          <w:sz w:val="20"/>
          <w:szCs w:val="20"/>
          <w:color w:val="auto"/>
        </w:rPr>
      </w:pPr>
    </w:p>
    <w:p>
      <w:pPr>
        <w:jc w:val="both"/>
        <w:ind w:right="20" w:firstLine="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decreased $2.4 million, or 2.0%, for the twenty-six weeks ended February 25, 2023 compared to the twenty-six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26, 2022 due to the following:</w:t>
      </w:r>
    </w:p>
    <w:p>
      <w:pPr>
        <w:spacing w:after="0" w:line="184" w:lineRule="exact"/>
        <w:rPr>
          <w:sz w:val="20"/>
          <w:szCs w:val="20"/>
          <w:color w:val="auto"/>
        </w:rPr>
      </w:pPr>
    </w:p>
    <w:p>
      <w:pPr>
        <w:ind w:left="660" w:right="20" w:hanging="247"/>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$4.0 million, or 6.4%, for the twenty-six weeks ended February 25,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twenty-six weeks ended February 26, 2022, primarily related to the timing of marketing spend.</w:t>
      </w:r>
    </w:p>
    <w:p>
      <w:pPr>
        <w:spacing w:after="0" w:line="50" w:lineRule="exact"/>
        <w:rPr>
          <w:rFonts w:ascii="Times New Roman" w:cs="Times New Roman" w:eastAsia="Times New Roman" w:hAnsi="Times New Roman"/>
          <w:sz w:val="18"/>
          <w:szCs w:val="18"/>
          <w:i w:val="1"/>
          <w:iCs w:val="1"/>
          <w:color w:val="auto"/>
        </w:rPr>
      </w:pPr>
    </w:p>
    <w:p>
      <w:pPr>
        <w:jc w:val="both"/>
        <w:ind w:left="660" w:hanging="247"/>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$1.6 million, or 3.2%, for the twenty-six weeks ended February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compared to the twenty-six weeks ended February 26, 2022. The increase in general and administrative expense was primarily attributable to a $0.6 million increase in stock-based compensation, increased corporate expenses, and $0.4 million of executive officer transition costs incurred in the twenty-six weeks ended February 25, 2023. These increases were partially offset by a reduction in employee-related expenses and the discontinuation of costs related to business integration activities and restructuring charges in the twenty-six weeks ended February 25, 2023 compared to costs totaling $0.4 million in the twenty-six weeks ended February 26, 2022.</w:t>
      </w:r>
    </w:p>
    <w:p>
      <w:pPr>
        <w:spacing w:after="0" w:line="74" w:lineRule="exact"/>
        <w:rPr>
          <w:rFonts w:ascii="Times New Roman" w:cs="Times New Roman" w:eastAsia="Times New Roman" w:hAnsi="Times New Roman"/>
          <w:sz w:val="18"/>
          <w:szCs w:val="18"/>
          <w:color w:val="auto"/>
        </w:rPr>
      </w:pPr>
    </w:p>
    <w:p>
      <w:pPr>
        <w:ind w:left="660" w:right="20" w:hanging="247"/>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$8.7 million and $8.6 million for the twenty-six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25, 2023 compared to the twenty-six weeks ended February 26, 2022, respectively.</w:t>
      </w:r>
    </w:p>
    <w:p>
      <w:pPr>
        <w:spacing w:after="0" w:line="183" w:lineRule="exact"/>
        <w:rPr>
          <w:sz w:val="20"/>
          <w:szCs w:val="20"/>
          <w:color w:val="auto"/>
        </w:rPr>
      </w:pPr>
    </w:p>
    <w:p>
      <w:pPr>
        <w:jc w:val="both"/>
        <w:ind w:firstLine="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increased $3.9 million for the twenty-six weeks ended February 25, 2023 compared to the twenty-six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26, 2022, primarily due to the increase in interest rates on our Term Facility (as defined below) to 8.0% as of February 25, 2023 from 3.8% as of February 26, 2022. Interest expense related to the amortization of deferred financing costs and debt discount decreased $0.1 million for the twenty-six weeks ended February 25, 2023 compared to the twenty-six weeks ended February 26, 2022.</w:t>
      </w:r>
    </w:p>
    <w:p>
      <w:pPr>
        <w:spacing w:after="0" w:line="203" w:lineRule="exact"/>
        <w:rPr>
          <w:sz w:val="20"/>
          <w:szCs w:val="20"/>
          <w:color w:val="auto"/>
        </w:rPr>
      </w:pPr>
    </w:p>
    <w:p>
      <w:pPr>
        <w:jc w:val="both"/>
        <w:ind w:firstLine="2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Loss in fair value change of warrant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were no outstanding liability-classified Private Warrants during the twenty-six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25, 2023. During the twenty-six weeks ended February 26, 2022, we recorded a non-cash loss of $30.1 million related to changes in valuation of our Private Warrants, which was primarily driven by movements in our stock price. On January 7, 2022, the Private Warrants were exercised on a cashless basis, resulting in a net issuance of 4,830,761 shares of common stock.</w:t>
      </w:r>
    </w:p>
    <w:p>
      <w:pPr>
        <w:spacing w:after="0" w:line="203" w:lineRule="exact"/>
        <w:rPr>
          <w:sz w:val="20"/>
          <w:szCs w:val="20"/>
          <w:color w:val="auto"/>
        </w:rPr>
      </w:pPr>
    </w:p>
    <w:p>
      <w:pPr>
        <w:jc w:val="both"/>
        <w:ind w:firstLine="19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gain on foreign currency transactions. </w:t>
      </w:r>
      <w:r>
        <w:rPr>
          <w:rFonts w:ascii="Times New Roman" w:cs="Times New Roman" w:eastAsia="Times New Roman" w:hAnsi="Times New Roman"/>
          <w:sz w:val="18"/>
          <w:szCs w:val="18"/>
          <w:color w:val="auto"/>
        </w:rPr>
        <w:t>Foreign currency transactions resulted in a loss of $0.1 million and a gain of $0.4 million for the twenty-six weeks ended February 25, 2023 and February 26, 2022, respectively. During the twenty-six weeks ended February 26, 2022, we recognized a foreign currency translation gain of $1.1 million related to the liquidation of a foreign subsidiary. The remaining variance is attributable to changes in foreign currency rates related to our international operations.</w:t>
      </w:r>
    </w:p>
    <w:p>
      <w:pPr>
        <w:spacing w:after="0" w:line="203" w:lineRule="exact"/>
        <w:rPr>
          <w:sz w:val="20"/>
          <w:szCs w:val="20"/>
          <w:color w:val="auto"/>
        </w:rPr>
      </w:pPr>
    </w:p>
    <w:p>
      <w:pPr>
        <w:jc w:val="both"/>
        <w:ind w:firstLine="20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$5.0 million for the twenty-six weeks ended February 25, 2023 compared to the twenty-six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26, 2022. The decrease in our income tax expense is primarily driven by lower income from operations and changes in permanent differences.</w:t>
      </w:r>
    </w:p>
    <w:p>
      <w:pPr>
        <w:spacing w:after="0" w:line="198" w:lineRule="exact"/>
        <w:rPr>
          <w:sz w:val="20"/>
          <w:szCs w:val="20"/>
          <w:color w:val="auto"/>
        </w:rPr>
      </w:pPr>
    </w:p>
    <w:p>
      <w:pPr>
        <w:jc w:val="both"/>
        <w:ind w:firstLine="20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was $61.5 million for the twenty-six weeks ended February 25, 2023, an increase of $21.9 million compared to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$39.6 million for the twenty-six weeks ended February 26, 2022. The increase was primarily driven by the $30.1 million non-cash fair value loss incurred in the twenty-six weeks ended February 26, 2022 related to the measurement of our liability-classified Private Warrants. The increase in net income was partially offset by a $9.0 million decrease in income from operations, driven by the unfavorable effects of higher raw material and co-manufacturing costs and supply chain challenges in the twenty-six weeks ended February 25, 2023 as discussed above.</w:t>
      </w:r>
    </w:p>
    <w:p>
      <w:pPr>
        <w:spacing w:after="0" w:line="206" w:lineRule="exact"/>
        <w:rPr>
          <w:sz w:val="20"/>
          <w:szCs w:val="20"/>
          <w:color w:val="auto"/>
        </w:rPr>
      </w:pPr>
    </w:p>
    <w:p>
      <w:pPr>
        <w:jc w:val="both"/>
        <w:ind w:firstLine="20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decreased $8.1 million, or 6.8% for the twenty-six weeks ended February 25, 2023 compared to the twenty-six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26, 2022, driven primarily by the $9.0 million decrease in income from operations as a result of the unfavorable effects of higher raw material and co-manufacturing costs and supply chain challenges in the twenty-six weeks ended February 25, 2023 as discussed above. For a reconciliation of Adjusted EBITDA to its most directly comparable GAAP measure, see “Reconciliation of EBITDA and Adjusted EBITDA” below.</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The Company defines EBITDA as net income or loss before interest income, interest expense, income tax expense, depreciation and amortization, and Adjusted EBITDA as further adjusted to exclude the following items: stock-based compensation expense, executive transition costs, integration costs, restructuring costs, loss in fair value change of warrant liability,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17" w:lineRule="exact"/>
        <w:rPr>
          <w:sz w:val="20"/>
          <w:szCs w:val="20"/>
          <w:color w:val="auto"/>
        </w:rPr>
      </w:pPr>
    </w:p>
    <w:p>
      <w:pPr>
        <w:jc w:val="both"/>
        <w:ind w:firstLine="183"/>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and twenty-six weeks ended February 25, 2023 and February 26, 2022:</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Thirteen Weeks Ended</w:t>
            </w:r>
          </w:p>
        </w:tc>
        <w:tc>
          <w:tcPr>
            <w:tcW w:w="100" w:type="dxa"/>
            <w:vAlign w:val="bottom"/>
          </w:tcPr>
          <w:p>
            <w:pPr>
              <w:spacing w:after="0"/>
              <w:rPr>
                <w:sz w:val="18"/>
                <w:szCs w:val="18"/>
                <w:color w:val="auto"/>
              </w:rPr>
            </w:pPr>
          </w:p>
        </w:tc>
        <w:tc>
          <w:tcPr>
            <w:tcW w:w="298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25, 2023</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26, 2022</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25, 2023</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26, 2022</w:t>
            </w:r>
          </w:p>
        </w:tc>
      </w:tr>
      <w:tr>
        <w:trPr>
          <w:trHeight w:val="25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39,613</w:t>
            </w:r>
          </w:p>
        </w:tc>
      </w:tr>
      <w:tr>
        <w:trPr>
          <w:trHeight w:val="26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7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11,647</w:t>
            </w:r>
          </w:p>
        </w:tc>
      </w:tr>
      <w:tr>
        <w:trPr>
          <w:trHeight w:val="26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23,072</w:t>
            </w: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9,572</w:t>
            </w:r>
          </w:p>
        </w:tc>
      </w:tr>
      <w:tr>
        <w:trPr>
          <w:trHeight w:val="25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104,799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83,903</w:t>
            </w:r>
          </w:p>
        </w:tc>
      </w:tr>
      <w:tr>
        <w:trPr>
          <w:trHeight w:val="273"/>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5,697</w:t>
            </w:r>
          </w:p>
        </w:tc>
      </w:tr>
      <w:tr>
        <w:trPr>
          <w:trHeight w:val="267"/>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transition costs</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Integration of Quest</w:t>
            </w: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293</w:t>
            </w:r>
          </w:p>
        </w:tc>
      </w:tr>
      <w:tr>
        <w:trPr>
          <w:trHeight w:val="267"/>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r>
      <w:tr>
        <w:trPr>
          <w:trHeight w:val="273"/>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30,062</w:t>
            </w:r>
          </w:p>
        </w:tc>
      </w:tr>
      <w:tr>
        <w:trPr>
          <w:trHeight w:val="270"/>
        </w:trPr>
        <w:tc>
          <w:tcPr>
            <w:tcW w:w="38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48"/>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111,666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119,795</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760" w:hanging="154"/>
        <w:spacing w:after="0"/>
        <w:tabs>
          <w:tab w:leader="none" w:pos="7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items consist principally of exchange impact of foreign currency transactions and other expenses.</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76"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right="20" w:firstLine="196"/>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75" w:lineRule="exact"/>
        <w:rPr>
          <w:sz w:val="20"/>
          <w:szCs w:val="20"/>
          <w:color w:val="auto"/>
        </w:rPr>
      </w:pPr>
    </w:p>
    <w:p>
      <w:pPr>
        <w:jc w:val="both"/>
        <w:ind w:firstLine="272"/>
        <w:spacing w:after="0" w:line="245" w:lineRule="auto"/>
        <w:rPr>
          <w:sz w:val="20"/>
          <w:szCs w:val="20"/>
          <w:color w:val="auto"/>
        </w:rPr>
      </w:pPr>
      <w:r>
        <w:rPr>
          <w:rFonts w:ascii="Times New Roman" w:cs="Times New Roman" w:eastAsia="Times New Roman" w:hAnsi="Times New Roman"/>
          <w:sz w:val="18"/>
          <w:szCs w:val="18"/>
          <w:color w:val="auto"/>
        </w:rPr>
        <w:t>We had $63.2 million in cash as of February 25, 2023.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2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5, Long-Term Debt and Line of Credit, and Note 8, Leases, of the Notes to Unaudited Consolidated Financial Statements in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191"/>
        <w:spacing w:after="0" w:line="258" w:lineRule="auto"/>
        <w:rPr>
          <w:sz w:val="20"/>
          <w:szCs w:val="20"/>
          <w:color w:val="auto"/>
        </w:rPr>
      </w:pPr>
      <w:r>
        <w:rPr>
          <w:rFonts w:ascii="Times New Roman" w:cs="Times New Roman" w:eastAsia="Times New Roman" w:hAnsi="Times New Roman"/>
          <w:sz w:val="18"/>
          <w:szCs w:val="18"/>
          <w:color w:val="auto"/>
        </w:rPr>
        <w:t>On July 7, 2017, we (through certain of our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189" w:lineRule="exact"/>
        <w:rPr>
          <w:sz w:val="20"/>
          <w:szCs w:val="20"/>
          <w:color w:val="auto"/>
        </w:rPr>
      </w:pPr>
    </w:p>
    <w:p>
      <w:pPr>
        <w:jc w:val="both"/>
        <w:ind w:firstLine="295"/>
        <w:spacing w:after="0" w:line="239" w:lineRule="auto"/>
        <w:rPr>
          <w:sz w:val="20"/>
          <w:szCs w:val="20"/>
          <w:color w:val="auto"/>
        </w:rPr>
      </w:pPr>
      <w:r>
        <w:rPr>
          <w:rFonts w:ascii="Times New Roman" w:cs="Times New Roman" w:eastAsia="Times New Roman" w:hAnsi="Times New Roman"/>
          <w:sz w:val="18"/>
          <w:szCs w:val="18"/>
          <w:color w:val="auto"/>
        </w:rPr>
        <w:t>On January 21, 2022, we entered into a repricing amendment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the Secured Overnight Financing Rate (“SOFR”) and related replacement provisions for the London Interbank Offered Rate (“LIBOR”).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2022 Repricing Amendment dated January 21, 2022, the interest rate per annum is based on either:</w:t>
      </w:r>
    </w:p>
    <w:p>
      <w:pPr>
        <w:spacing w:after="0" w:line="104" w:lineRule="exact"/>
        <w:rPr>
          <w:sz w:val="20"/>
          <w:szCs w:val="20"/>
          <w:color w:val="auto"/>
        </w:rPr>
      </w:pPr>
    </w:p>
    <w:p>
      <w:pPr>
        <w:jc w:val="both"/>
        <w:ind w:left="660" w:hanging="328"/>
        <w:spacing w:after="0" w:line="266" w:lineRule="auto"/>
        <w:tabs>
          <w:tab w:leader="none" w:pos="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2.25% margin for the Term Loan or (y) 2.00% margin for the Revolving Credit Facility; or</w:t>
      </w:r>
    </w:p>
    <w:p>
      <w:pPr>
        <w:spacing w:after="0" w:line="5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3.25% margin for the Term Loan or (y) 3.00% margin for the Revolving Credit Facility.</w:t>
      </w:r>
    </w:p>
    <w:p>
      <w:pPr>
        <w:spacing w:after="0" w:line="18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95"/>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covenants as of February 25, 2023 and August 27, 2022, respectively.</w:t>
      </w:r>
    </w:p>
    <w:p>
      <w:pPr>
        <w:spacing w:after="0" w:line="216"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At February 25, 2023, the outstanding balance of the Term Facility was $365.0 million. We are not required to make principal payments on the Term Facility over the twelve months following the period ended February 25, 2023. The outstanding balance of the Term Facility is due upon its maturity in July 2024. As of February 25, 2023,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color w:val="auto"/>
        </w:rPr>
        <w:t>On October 21, 2022, we announced that our Board of Directors had approved the addition of $50.0 million to our stock repurchase program, resulting in authorized stock repurchases of up to an aggregate of $150.0 million. During the twenty-six weeks ended February 25, 2023, we repurchased 546,346 shares of common stock for $16.4 million, averaging a purchase price per share of $30.11. We did not repurchase any shares of common stock during the thirteen weeks ended February 25, 2023. During the thirteen and twenty-six weeks ended February 26, 2022, we repurchased 571,271 shares of common stock for $20.4 million, averaging a purchase price per share of $35.68.</w:t>
      </w:r>
    </w:p>
    <w:p>
      <w:pPr>
        <w:spacing w:after="0" w:line="210" w:lineRule="exact"/>
        <w:rPr>
          <w:sz w:val="20"/>
          <w:szCs w:val="20"/>
          <w:color w:val="auto"/>
        </w:rPr>
      </w:pPr>
    </w:p>
    <w:p>
      <w:pPr>
        <w:jc w:val="both"/>
        <w:ind w:firstLine="197"/>
        <w:spacing w:after="0" w:line="266" w:lineRule="auto"/>
        <w:rPr>
          <w:sz w:val="20"/>
          <w:szCs w:val="20"/>
          <w:color w:val="auto"/>
        </w:rPr>
      </w:pPr>
      <w:r>
        <w:rPr>
          <w:rFonts w:ascii="Times New Roman" w:cs="Times New Roman" w:eastAsia="Times New Roman" w:hAnsi="Times New Roman"/>
          <w:sz w:val="18"/>
          <w:szCs w:val="18"/>
          <w:color w:val="auto"/>
        </w:rPr>
        <w:t>As of February 25, 2023, approximately $71.5 million remained available for repurchases under our $150.0 million stock repurchase program. Refer to Note 10, Stockholders’ Equity, of the Notes to Unaudited Consolidated Financial Statements in this Report for additional information related to our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37"/>
        </w:trPr>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25, 2023</w:t>
            </w:r>
          </w:p>
        </w:tc>
        <w:tc>
          <w:tcPr>
            <w:tcW w:w="1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26, 2022</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53,346</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30,323</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(47,910)</w:t>
            </w:r>
          </w:p>
        </w:tc>
      </w:tr>
    </w:tbl>
    <w:p>
      <w:pPr>
        <w:spacing w:after="0" w:line="30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increased $23.0 million to $53.3 million for the twenty-six weeks ended February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compared to $30.3 million for the twenty-six weeks ended February 26, 2022. The increase in cash provided by operating activities was primarily attributable to the $17.4 million decrease in cash paid for taxes and changes in working capital for the twenty-six weeks ended February 25, 2023 as compared to the twenty-six weeks ended February 26, 2022. Changes in working capital, comprised of changes in accounts receivable, net, inventories, prepaid expenses, accounts payable, and accrued expenses and other current liabilities, which are driven by the timing of payments and receipts and seasonal building of inventory, consumed cash of $28.9 million in the twenty-six weeks ended February 25, 2023 compared to $38.8 million of cash consumed in the twenty-six weeks ended February 26, 2022. These increases in cash provided by operating activities were partially offset by the $9.0 million decrease in income from operations to $95.0 million for the twenty-six weeks ended February 25, 2023 as compared to $104.0 million for the twenty-six weeks ended February 26, 2022, primarily driven by the unfavorable effects of higher raw material and co-manufacturing costs and supply chain challenges as discussed in “Results of Operations” above. Additionally, cash paid for interest was $14.3 million in the twenty-six weeks ended February 25, 2023, which was an increase of $4.1 million as compared to the $10.2 million paid for interest in the twenty-six weeks ended February 26, 2022.</w:t>
      </w:r>
    </w:p>
    <w:p>
      <w:pPr>
        <w:spacing w:after="0" w:line="219" w:lineRule="exact"/>
        <w:rPr>
          <w:sz w:val="20"/>
          <w:szCs w:val="20"/>
          <w:color w:val="auto"/>
        </w:rPr>
      </w:pPr>
    </w:p>
    <w:p>
      <w:pPr>
        <w:jc w:val="both"/>
        <w:ind w:firstLine="261"/>
        <w:spacing w:after="0" w:line="261"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was $1.9 million for the twenty-six weeks ended February 25, 2023 compared to $6.0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twenty-six weeks ended February 26, 2022. Our net cash used in investing activities for the twenty-six weeks ended February 25, 2023 primarily comprised $1.7 million of purchases of property and equipment. The $6.0 million of net cash used in investing activities for the twenty-six weeks ended February 26, 2022 primarily comprised $4.3 million of purchases of property and equipment and the issuance of a $1.5 million note receivable.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ind w:firstLine="207"/>
        <w:spacing w:after="0" w:line="256"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used in financing activities was $55.7 million for the twenty-six weeks ended February 25, 2023 compared to $47.9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twenty-six weeks ended February 26, 2022. Net cash used in financing activities for the twenty-six weeks ended February 25, 2023 primarily consisted of $16.4 million of repurchases in common stock, $41.5 million in principal payments on the Term Facility, and $2.4 million in tax payments related to issuance of restricted stock units and performance stock units, partially offset by $4.8 million of cash proceeds received from option exercises. Net cash used in financing activities for the twenty-six weeks ended February 26, 2022 primarily consisted of $20.4 million in repurchases of common stock, $25.0 million in principal payments on the Term Facility, and $3.3 million in tax payments related to issuance of restricted stock units and performance stock units, partially offset by $1.5 million of cash proceeds received from option exercises.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our unaudited interim consolidated financial statements in this Report for further information regarding recently issued accounting standards.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281"/>
        <w:spacing w:after="0" w:line="254" w:lineRule="auto"/>
        <w:rPr>
          <w:sz w:val="20"/>
          <w:szCs w:val="20"/>
          <w:color w:val="auto"/>
        </w:rPr>
      </w:pPr>
      <w:r>
        <w:rPr>
          <w:rFonts w:ascii="Times New Roman" w:cs="Times New Roman" w:eastAsia="Times New Roman" w:hAnsi="Times New Roman"/>
          <w:sz w:val="18"/>
          <w:szCs w:val="18"/>
          <w:color w:val="auto"/>
        </w:rPr>
        <w:t>There were no material changes in our market risk exposure during the thirteen week period ended February 25, 2023. We continue to expect to experience logistics challenges in our supply chain as well as on balance higher raw material, packaging, and co-manufacturing costs and supply chain challenges in fiscal year 2023. In addition, current or future governmental policies may increase the risk of inflation and possible economic recession, which could further increase the costs of ingredients, packaging and finished goods for our business as well as negatively effect consumer behavior and demand for our products. As a result, we instituted price increases effective in the first and fourth quarters of fiscal year 2022. However, there can be no assurance that the price increases will fully offset the effects of higher raw material and supply and distribution costs on our results of operations and financial condition. For a discussion of our market risks, see “Quantitative and Qualitative Disclosures About Market Risk” in Part II, Item 7A of our Annual Report.</w:t>
      </w: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February 25, 2023, the Company’s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03"/>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February 25, 2023 that have materially affected, or are reasonably likely to materially affect, our internal controls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23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269"/>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63"/>
        <w:spacing w:after="0" w:line="261" w:lineRule="auto"/>
        <w:rPr>
          <w:sz w:val="20"/>
          <w:szCs w:val="20"/>
          <w:color w:val="auto"/>
        </w:rPr>
      </w:pPr>
      <w:r>
        <w:rPr>
          <w:rFonts w:ascii="Times New Roman" w:cs="Times New Roman" w:eastAsia="Times New Roman" w:hAnsi="Times New Roman"/>
          <w:sz w:val="18"/>
          <w:szCs w:val="18"/>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11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888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72"/>
        </w:trPr>
        <w:tc>
          <w:tcPr>
            <w:tcW w:w="300" w:type="dxa"/>
            <w:vAlign w:val="bottom"/>
            <w:tcBorders>
              <w:top w:val="single" w:sz="8" w:color="auto"/>
            </w:tcBorders>
            <w:gridSpan w:val="3"/>
            <w:shd w:val="clear" w:color="auto" w:fill="CCEEFF"/>
          </w:tcPr>
          <w:p>
            <w:pPr>
              <w:ind w:left="20"/>
              <w:spacing w:after="0" w:line="172" w:lineRule="exact"/>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1</w:t>
              </w:r>
            </w:hyperlink>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880" w:type="dxa"/>
            <w:vAlign w:val="bottom"/>
            <w:tcBorders>
              <w:top w:val="single" w:sz="8" w:color="auto"/>
            </w:tcBorders>
            <w:gridSpan w:val="10"/>
            <w:shd w:val="clear" w:color="auto" w:fill="CCEEFF"/>
          </w:tcPr>
          <w:p>
            <w:pPr>
              <w:spacing w:after="0" w:line="172" w:lineRule="exact"/>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Third Amended and Restated Certificate of Incorporation of The Simply Good Foods Company (incorporated by reference to Exhibit</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84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41">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our Current Report on Form 8-K filed on January 25, 2023)</w:t>
              </w:r>
              <w:r>
                <w:rPr>
                  <w:rFonts w:ascii="Times New Roman" w:cs="Times New Roman" w:eastAsia="Times New Roman" w:hAnsi="Times New Roman"/>
                  <w:sz w:val="16"/>
                  <w:szCs w:val="16"/>
                  <w:u w:val="single" w:color="auto"/>
                  <w:color w:val="0000FF"/>
                </w:rPr>
                <w:t>.</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gridSpan w:val="5"/>
          </w:tcPr>
          <w:p>
            <w:pPr>
              <w:ind w:left="20"/>
              <w:spacing w:after="0" w:line="175"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hyperlink>
            <w:r>
              <w:rPr>
                <w:rFonts w:ascii="Times New Roman" w:cs="Times New Roman" w:eastAsia="Times New Roman" w:hAnsi="Times New Roman"/>
                <w:sz w:val="16"/>
                <w:szCs w:val="16"/>
                <w:color w:val="000000"/>
              </w:rPr>
              <w:t>†</w:t>
            </w:r>
          </w:p>
        </w:tc>
        <w:tc>
          <w:tcPr>
            <w:tcW w:w="20" w:type="dxa"/>
            <w:vAlign w:val="bottom"/>
          </w:tcPr>
          <w:p>
            <w:pPr>
              <w:spacing w:after="0"/>
              <w:rPr>
                <w:sz w:val="15"/>
                <w:szCs w:val="15"/>
                <w:color w:val="auto"/>
              </w:rPr>
            </w:pPr>
          </w:p>
        </w:tc>
        <w:tc>
          <w:tcPr>
            <w:tcW w:w="8880" w:type="dxa"/>
            <w:vAlign w:val="bottom"/>
            <w:gridSpan w:val="10"/>
          </w:tcPr>
          <w:p>
            <w:pPr>
              <w:spacing w:after="0" w:line="175"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Offer Letter, dated January 27, 2023, between The Simply Good Foods Company and Geoff Tanner (incorporated by reference to</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6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Exhibit 10.1 to our Current Report on Form 8-K filed on January 30, 2023)</w:t>
              </w:r>
              <w:r>
                <w:rPr>
                  <w:rFonts w:ascii="Times New Roman" w:cs="Times New Roman" w:eastAsia="Times New Roman" w:hAnsi="Times New Roman"/>
                  <w:sz w:val="16"/>
                  <w:szCs w:val="16"/>
                  <w:u w:val="single" w:color="auto"/>
                  <w:color w:val="0000FF"/>
                </w:rPr>
                <w:t>.</w:t>
              </w:r>
            </w:hyperlink>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00" w:type="dxa"/>
            <w:vAlign w:val="bottom"/>
            <w:gridSpan w:val="5"/>
            <w:shd w:val="clear" w:color="auto" w:fill="CCEEFF"/>
          </w:tcPr>
          <w:p>
            <w:pPr>
              <w:ind w:left="20"/>
              <w:spacing w:after="0" w:line="175"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hyperlink>
            <w:r>
              <w:rPr>
                <w:rFonts w:ascii="Times New Roman" w:cs="Times New Roman" w:eastAsia="Times New Roman" w:hAnsi="Times New Roman"/>
                <w:sz w:val="16"/>
                <w:szCs w:val="16"/>
                <w:color w:val="000000"/>
              </w:rPr>
              <w:t>†</w:t>
            </w:r>
          </w:p>
        </w:tc>
        <w:tc>
          <w:tcPr>
            <w:tcW w:w="20" w:type="dxa"/>
            <w:vAlign w:val="bottom"/>
            <w:shd w:val="clear" w:color="auto" w:fill="CCEEFF"/>
          </w:tcPr>
          <w:p>
            <w:pPr>
              <w:spacing w:after="0"/>
              <w:rPr>
                <w:sz w:val="15"/>
                <w:szCs w:val="15"/>
                <w:color w:val="auto"/>
              </w:rPr>
            </w:pPr>
          </w:p>
        </w:tc>
        <w:tc>
          <w:tcPr>
            <w:tcW w:w="8880" w:type="dxa"/>
            <w:vAlign w:val="bottom"/>
            <w:gridSpan w:val="10"/>
            <w:shd w:val="clear" w:color="auto" w:fill="CCEEFF"/>
          </w:tcPr>
          <w:p>
            <w:pPr>
              <w:spacing w:after="0" w:line="175"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Transition Agreement, dated January 27, 2023, by and between The Simply Good Foods Company and Joseph E. Scalzo (incorporated</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20" w:type="dxa"/>
            <w:vAlign w:val="bottom"/>
            <w:tcBorders>
              <w:top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by reference to Exhibit 10.2 to our Current Report on Form 8-K filed on January 30, 2023)</w:t>
              </w:r>
              <w:r>
                <w:rPr>
                  <w:rFonts w:ascii="Times New Roman" w:cs="Times New Roman" w:eastAsia="Times New Roman" w:hAnsi="Times New Roman"/>
                  <w:sz w:val="16"/>
                  <w:szCs w:val="16"/>
                  <w:u w:val="single" w:color="auto"/>
                  <w:color w:val="0000FF"/>
                </w:rPr>
                <w:t>.</w:t>
              </w:r>
            </w:hyperlink>
          </w:p>
        </w:tc>
        <w:tc>
          <w:tcPr>
            <w:tcW w:w="60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8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60" w:type="dxa"/>
            <w:vAlign w:val="bottom"/>
            <w:gridSpan w:val="4"/>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00"/>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8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8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100" w:type="dxa"/>
            <w:vAlign w:val="bottom"/>
            <w:gridSpan w:val="5"/>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4"/>
                <w:szCs w:val="14"/>
                <w:color w:val="auto"/>
              </w:rPr>
            </w:pPr>
          </w:p>
        </w:tc>
        <w:tc>
          <w:tcPr>
            <w:tcW w:w="8880" w:type="dxa"/>
            <w:vAlign w:val="bottom"/>
            <w:gridSpan w:val="10"/>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(the instance document does not appear on the Interactive Data File because the XBRL tags are embedded</w:t>
            </w:r>
          </w:p>
        </w:tc>
      </w:tr>
      <w:tr>
        <w:trPr>
          <w:trHeight w:val="216"/>
        </w:trPr>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r>
      <w:tr>
        <w:trPr>
          <w:trHeight w:val="213"/>
        </w:trPr>
        <w:tc>
          <w:tcPr>
            <w:tcW w:w="1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8"/>
                <w:szCs w:val="18"/>
                <w:color w:val="auto"/>
              </w:rPr>
            </w:pPr>
          </w:p>
        </w:tc>
        <w:tc>
          <w:tcPr>
            <w:tcW w:w="88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9"/>
        </w:trPr>
        <w:tc>
          <w:tcPr>
            <w:tcW w:w="1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19"/>
                <w:szCs w:val="19"/>
                <w:color w:val="auto"/>
              </w:rPr>
            </w:pPr>
          </w:p>
        </w:tc>
        <w:tc>
          <w:tcPr>
            <w:tcW w:w="88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3"/>
        </w:trPr>
        <w:tc>
          <w:tcPr>
            <w:tcW w:w="1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8"/>
                <w:szCs w:val="18"/>
                <w:color w:val="auto"/>
              </w:rPr>
            </w:pPr>
          </w:p>
        </w:tc>
        <w:tc>
          <w:tcPr>
            <w:tcW w:w="88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9"/>
        </w:trPr>
        <w:tc>
          <w:tcPr>
            <w:tcW w:w="1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19"/>
                <w:szCs w:val="19"/>
                <w:color w:val="auto"/>
              </w:rPr>
            </w:pPr>
          </w:p>
        </w:tc>
        <w:tc>
          <w:tcPr>
            <w:tcW w:w="88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0"/>
        </w:trPr>
        <w:tc>
          <w:tcPr>
            <w:tcW w:w="1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88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5" w:lineRule="exact"/>
        <w:rPr>
          <w:sz w:val="20"/>
          <w:szCs w:val="20"/>
          <w:color w:val="auto"/>
        </w:rPr>
      </w:pPr>
    </w:p>
    <w:p>
      <w:pPr>
        <w:ind w:left="660" w:right="1720" w:hanging="6"/>
        <w:spacing w:after="0" w:line="281" w:lineRule="auto"/>
        <w:tabs>
          <w:tab w:leader="none" w:pos="175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 * Filed herewith.</w:t>
      </w:r>
    </w:p>
    <w:p>
      <w:pPr>
        <w:spacing w:after="0" w:line="1"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32"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-527685</wp:posOffset>
            </wp:positionV>
            <wp:extent cx="63347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3347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By: /s/ Timothy A. Matthews</w:t>
      </w:r>
    </w:p>
    <w:p>
      <w:pPr>
        <w:spacing w:after="0" w:line="26" w:lineRule="exact"/>
        <w:rPr>
          <w:sz w:val="20"/>
          <w:szCs w:val="20"/>
          <w:color w:val="auto"/>
        </w:rPr>
      </w:pPr>
    </w:p>
    <w:p>
      <w:pPr>
        <w:ind w:left="1660"/>
        <w:spacing w:after="0"/>
        <w:tabs>
          <w:tab w:leader="none" w:pos="2240" w:val="left"/>
          <w:tab w:leader="none" w:pos="4720" w:val="left"/>
        </w:tabs>
        <w:rPr>
          <w:sz w:val="20"/>
          <w:szCs w:val="20"/>
          <w:color w:val="auto"/>
        </w:rPr>
      </w:pPr>
      <w:r>
        <w:rPr>
          <w:rFonts w:ascii="Times New Roman" w:cs="Times New Roman" w:eastAsia="Times New Roman" w:hAnsi="Times New Roman"/>
          <w:sz w:val="16"/>
          <w:szCs w:val="16"/>
          <w:color w:val="auto"/>
        </w:rPr>
        <w:t>Date:</w:t>
        <w:tab/>
        <w:t>April 5, 2023</w:t>
      </w:r>
      <w:r>
        <w:rPr>
          <w:sz w:val="20"/>
          <w:szCs w:val="20"/>
          <w:color w:val="auto"/>
        </w:rPr>
        <w:tab/>
      </w:r>
      <w:r>
        <w:rPr>
          <w:rFonts w:ascii="Times New Roman" w:cs="Times New Roman" w:eastAsia="Times New Roman" w:hAnsi="Times New Roman"/>
          <w:sz w:val="17"/>
          <w:szCs w:val="17"/>
          <w:color w:val="auto"/>
          <w:vertAlign w:val="subscript"/>
        </w:rPr>
        <w:t xml:space="preserve">Name: </w:t>
      </w:r>
      <w:r>
        <w:rPr>
          <w:rFonts w:ascii="Times New Roman" w:cs="Times New Roman" w:eastAsia="Times New Roman" w:hAnsi="Times New Roman"/>
          <w:sz w:val="17"/>
          <w:szCs w:val="17"/>
          <w:color w:val="auto"/>
        </w:rPr>
        <w:t>Timothy 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802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32"/>
          <w:szCs w:val="32"/>
          <w:color w:val="auto"/>
          <w:vertAlign w:val="subscript"/>
        </w:rPr>
        <w:t>Title:</w:t>
      </w:r>
      <w:r>
        <w:rPr>
          <w:rFonts w:ascii="Times New Roman" w:cs="Times New Roman" w:eastAsia="Times New Roman" w:hAnsi="Times New Roman"/>
          <w:sz w:val="16"/>
          <w:szCs w:val="16"/>
          <w:color w:val="auto"/>
        </w:rPr>
        <w:t xml:space="preserve"> Vice President, Controller, and Chief Accounting Officer</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i w:val="1"/>
          <w:i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460"/>
          </w:cols>
          <w:pgMar w:left="320" w:top="121" w:right="11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5, 2023</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Shaun Mara, certify that:</w:t>
      </w:r>
    </w:p>
    <w:p>
      <w:pPr>
        <w:spacing w:after="0" w:line="225" w:lineRule="exact"/>
        <w:rPr>
          <w:sz w:val="20"/>
          <w:szCs w:val="20"/>
          <w:color w:val="auto"/>
        </w:rPr>
      </w:pPr>
    </w:p>
    <w:p>
      <w:pPr>
        <w:ind w:left="420" w:hanging="23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5, 2023</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Shaun Mara</w:t>
            </w:r>
          </w:p>
        </w:tc>
        <w:tc>
          <w:tcPr>
            <w:tcW w:w="0" w:type="dxa"/>
            <w:vAlign w:val="bottom"/>
          </w:tcPr>
          <w:p>
            <w:pPr>
              <w:spacing w:after="0"/>
              <w:rPr>
                <w:sz w:val="1"/>
                <w:szCs w:val="1"/>
                <w:color w:val="auto"/>
              </w:rPr>
            </w:pPr>
          </w:p>
        </w:tc>
      </w:tr>
      <w:tr>
        <w:trPr>
          <w:trHeight w:val="59"/>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Mara</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Simply Good Foods Company (the “Company”) on Form 10-Q for the fiscal period ended February 25, 2023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5, 2023</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5, 2023</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Shaun Mara</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Mara</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lowerRoman"/>
      <w:start w:val="1"/>
    </w:lvl>
  </w:abstractNum>
  <w:abstractNum w:abstractNumId="4">
    <w:nsid w:val="140E0F76"/>
    <w:multiLevelType w:val="hybridMultilevel"/>
    <w:lvl w:ilvl="0">
      <w:lvlJc w:val="left"/>
      <w:lvlText w:val="%1."/>
      <w:numFmt w:val="decimal"/>
      <w:start w:val="7"/>
    </w:lvl>
  </w:abstractNum>
  <w:abstractNum w:abstractNumId="5">
    <w:nsid w:val="3352255A"/>
    <w:multiLevelType w:val="hybridMultilevel"/>
    <w:lvl w:ilvl="0">
      <w:lvlJc w:val="left"/>
      <w:lvlText w:val="%1."/>
      <w:numFmt w:val="decimal"/>
      <w:start w:val="8"/>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Roman"/>
      <w:start w:val="1"/>
    </w:lvl>
  </w:abstractNum>
  <w:abstractNum w:abstractNumId="14">
    <w:nsid w:val="519B500D"/>
    <w:multiLevelType w:val="hybridMultilevel"/>
    <w:lvl w:ilvl="0">
      <w:lvlJc w:val="left"/>
      <w:lvlText w:val="%1"/>
      <w:numFmt w:val="decimal"/>
      <w:start w:val="104"/>
    </w:lvl>
  </w:abstractNum>
  <w:abstractNum w:abstractNumId="15">
    <w:nsid w:val="431BD7B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6">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7">
    <w:nsid w:val="7C83E4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8">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9">
    <w:nsid w:val="62BBD95A"/>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1" Type="http://schemas.openxmlformats.org/officeDocument/2006/relationships/hyperlink" Target="https://www.sec.gov/ix?doc=/Archives/edgar/data/1702744/000110465923006556/tm234352d1_8k.htm" TargetMode="External"/><Relationship Id="rId42" Type="http://schemas.openxmlformats.org/officeDocument/2006/relationships/hyperlink" Target="https://www.sec.gov/Archives/edgar/data/1702744/000110465923007982/tm234709d1_ex10-1.htm" TargetMode="External"/><Relationship Id="rId43" Type="http://schemas.openxmlformats.org/officeDocument/2006/relationships/hyperlink" Target="https://www.sec.gov/Archives/edgar/data/1702744/000110465923007982/tm234709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2023-04-05T14:50:44Z</dcterms:created>
  <dcterms:modified xsi:type="dcterms:W3CDTF">2023-04-05T14:50:44Z</dcterms:modified>
</cp:coreProperties>
</file>