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26"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7" w:lineRule="exact"/>
        <w:rPr>
          <w:sz w:val="24"/>
          <w:szCs w:val="24"/>
          <w:color w:val="auto"/>
        </w:rPr>
      </w:pPr>
    </w:p>
    <w:p>
      <w:pPr>
        <w:ind w:left="2220" w:right="860" w:hanging="774"/>
        <w:spacing w:after="0" w:line="235" w:lineRule="auto"/>
        <w:tabs>
          <w:tab w:leader="none" w:pos="22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March 1, 2025</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3" w:lineRule="exact"/>
        <w:rPr>
          <w:sz w:val="24"/>
          <w:szCs w:val="24"/>
          <w:color w:val="auto"/>
        </w:rPr>
      </w:pPr>
    </w:p>
    <w:p>
      <w:pPr>
        <w:ind w:left="2220" w:right="860" w:hanging="741"/>
        <w:spacing w:after="0" w:line="245" w:lineRule="auto"/>
        <w:tabs>
          <w:tab w:leader="none" w:pos="22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001-38115</w:t>
      </w:r>
    </w:p>
    <w:p>
      <w:pPr>
        <w:spacing w:after="0" w:line="30"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85725</wp:posOffset>
            </wp:positionV>
            <wp:extent cx="1645920" cy="1268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1268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148" w:lineRule="exact"/>
        <w:rPr>
          <w:sz w:val="24"/>
          <w:szCs w:val="24"/>
          <w:color w:val="auto"/>
        </w:rPr>
      </w:pPr>
    </w:p>
    <w:p>
      <w:pPr>
        <w:ind w:left="1720"/>
        <w:spacing w:after="0"/>
        <w:tabs>
          <w:tab w:leader="none" w:pos="856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82-1038121</w:t>
      </w:r>
    </w:p>
    <w:p>
      <w:pPr>
        <w:spacing w:after="0" w:line="63" w:lineRule="exact"/>
        <w:rPr>
          <w:sz w:val="24"/>
          <w:szCs w:val="24"/>
          <w:color w:val="auto"/>
        </w:rPr>
      </w:pPr>
    </w:p>
    <w:tbl>
      <w:tblPr>
        <w:tblLayout w:type="fixed"/>
        <w:tblInd w:w="1100" w:type="dxa"/>
        <w:tblCellMar>
          <w:top w:w="0" w:type="dxa"/>
          <w:left w:w="0" w:type="dxa"/>
          <w:bottom w:w="0" w:type="dxa"/>
          <w:right w:w="0" w:type="dxa"/>
        </w:tblCellMar>
      </w:tblPr>
      <w:tr>
        <w:trPr>
          <w:trHeight w:val="184"/>
        </w:trPr>
        <w:tc>
          <w:tcPr>
            <w:tcW w:w="4340" w:type="dxa"/>
            <w:vAlign w:val="bottom"/>
          </w:tcPr>
          <w:p>
            <w:pPr>
              <w:jc w:val="center"/>
              <w:ind w:right="22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760" w:type="dxa"/>
            <w:vAlign w:val="bottom"/>
            <w:vMerge w:val="restart"/>
          </w:tcPr>
          <w:p>
            <w:pPr>
              <w:ind w:left="240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102"/>
        </w:trPr>
        <w:tc>
          <w:tcPr>
            <w:tcW w:w="4340" w:type="dxa"/>
            <w:vAlign w:val="bottom"/>
            <w:vMerge w:val="restart"/>
          </w:tcPr>
          <w:p>
            <w:pPr>
              <w:jc w:val="center"/>
              <w:ind w:right="23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4" w:lineRule="exact"/>
        <w:rPr>
          <w:sz w:val="24"/>
          <w:szCs w:val="24"/>
          <w:color w:val="auto"/>
        </w:rPr>
      </w:pPr>
    </w:p>
    <w:tbl>
      <w:tblPr>
        <w:tblLayout w:type="fixed"/>
        <w:tblInd w:w="1000" w:type="dxa"/>
        <w:tblCellMar>
          <w:top w:w="0" w:type="dxa"/>
          <w:left w:w="0" w:type="dxa"/>
          <w:bottom w:w="0" w:type="dxa"/>
          <w:right w:w="0" w:type="dxa"/>
        </w:tblCellMar>
      </w:tblPr>
      <w:tr>
        <w:trPr>
          <w:trHeight w:val="210"/>
        </w:trPr>
        <w:tc>
          <w:tcPr>
            <w:tcW w:w="3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Title of each class</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Trading symbol</w:t>
            </w: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3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04"/>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SMPL</w:t>
            </w:r>
          </w:p>
        </w:tc>
        <w:tc>
          <w:tcPr>
            <w:tcW w:w="14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3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695" w:right="339" w:bottom="18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5" w:right="339" w:bottom="182" w:gutter="0" w:footer="0" w:header="0"/>
          <w:type w:val="continuous"/>
        </w:sectPr>
      </w:pPr>
    </w:p>
    <w:bookmarkStart w:id="1" w:name="page2"/>
    <w:bookmarkEnd w:id="1"/>
    <w:p>
      <w:pPr>
        <w:spacing w:after="0" w:line="5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7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ind w:left="680"/>
        <w:spacing w:after="0" w:line="16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119"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6"/>
          <w:szCs w:val="16"/>
          <w:color w:val="auto"/>
        </w:rPr>
        <w:t>☐</w:t>
      </w:r>
    </w:p>
    <w:p>
      <w:pPr>
        <w:spacing w:after="0" w:line="7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080" w:space="540"/>
            <w:col w:w="1060" w:space="720"/>
            <w:col w:w="48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 2025, there were 101,017,731 shares of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QUARTER ENDED MARCH 1,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412"/>
        </w:trPr>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b w:val="1"/>
                <w:bCs w:val="1"/>
                <w:color w:val="0000FF"/>
                <w:w w:val="99"/>
              </w:rPr>
              <w:t>PART I. Financial Information</w:t>
            </w:r>
          </w:p>
        </w:tc>
        <w:tc>
          <w:tcPr>
            <w:tcW w:w="252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9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300" w:type="dxa"/>
            <w:vAlign w:val="bottom"/>
          </w:tcPr>
          <w:p>
            <w:pPr>
              <w:spacing w:after="0"/>
              <w:rPr>
                <w:sz w:val="20"/>
                <w:szCs w:val="20"/>
                <w:color w:val="auto"/>
              </w:rPr>
            </w:pPr>
          </w:p>
        </w:tc>
        <w:tc>
          <w:tcPr>
            <w:tcW w:w="4120" w:type="dxa"/>
            <w:vAlign w:val="bottom"/>
            <w:gridSpan w:val="8"/>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Operations and Comprehensive Income</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4</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800" w:type="dxa"/>
            <w:vAlign w:val="bottom"/>
            <w:gridSpan w:val="5"/>
          </w:tcPr>
          <w:p>
            <w:pPr>
              <w:spacing w:after="0"/>
              <w:rPr>
                <w:sz w:val="20"/>
                <w:szCs w:val="20"/>
                <w:color w:val="auto"/>
              </w:rPr>
            </w:pPr>
          </w:p>
        </w:tc>
        <w:tc>
          <w:tcPr>
            <w:tcW w:w="1920" w:type="dxa"/>
            <w:vAlign w:val="bottom"/>
            <w:gridSpan w:val="2"/>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5</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7</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8</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21</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31</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7"/>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31</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1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960" w:type="dxa"/>
            <w:vAlign w:val="bottom"/>
            <w:tcBorders>
              <w:top w:val="single" w:sz="8" w:color="0000FF"/>
            </w:tcBorders>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32</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1A</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32</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1360" w:type="dxa"/>
            <w:vAlign w:val="bottom"/>
          </w:tcPr>
          <w:p>
            <w:pPr>
              <w:spacing w:after="0"/>
              <w:rPr>
                <w:sz w:val="20"/>
                <w:szCs w:val="20"/>
                <w:color w:val="auto"/>
              </w:rPr>
            </w:pP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33</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33</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33</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5</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33</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6</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Exhibits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34</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4720" w:type="dxa"/>
            <w:vAlign w:val="bottom"/>
            <w:gridSpan w:val="8"/>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35</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684" w:right="1440" w:bottom="1440" w:gutter="0" w:footer="0" w:header="0"/>
        </w:sectPr>
      </w:pPr>
    </w:p>
    <w:bookmarkStart w:id="3" w:name="page4"/>
    <w:bookmarkEnd w:id="3"/>
    <w:p>
      <w:pPr>
        <w:ind w:left="44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92"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March 1, 2025</w:t>
            </w:r>
          </w:p>
        </w:tc>
        <w:tc>
          <w:tcPr>
            <w:tcW w:w="18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103,682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132,530</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157,145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150,721</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142,107</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9,192</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440,280</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24,830</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1,329,451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1,336,466</w:t>
            </w:r>
          </w:p>
        </w:tc>
        <w:tc>
          <w:tcPr>
            <w:tcW w:w="0" w:type="dxa"/>
            <w:vAlign w:val="bottom"/>
          </w:tcPr>
          <w:p>
            <w:pPr>
              <w:spacing w:after="0"/>
              <w:rPr>
                <w:sz w:val="1"/>
                <w:szCs w:val="1"/>
                <w:color w:val="auto"/>
              </w:rPr>
            </w:pPr>
          </w:p>
        </w:tc>
      </w:tr>
      <w:tr>
        <w:trPr>
          <w:trHeight w:val="23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591,687</w:t>
            </w:r>
          </w:p>
        </w:tc>
        <w:tc>
          <w:tcPr>
            <w:tcW w:w="0" w:type="dxa"/>
            <w:vAlign w:val="bottom"/>
          </w:tcPr>
          <w:p>
            <w:pPr>
              <w:spacing w:after="0"/>
              <w:rPr>
                <w:sz w:val="1"/>
                <w:szCs w:val="1"/>
                <w:color w:val="auto"/>
              </w:rPr>
            </w:pPr>
          </w:p>
        </w:tc>
      </w:tr>
      <w:tr>
        <w:trPr>
          <w:trHeight w:val="22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42,881</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2,427,180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2,436,144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75,065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58,559</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29,026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49,791</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108,615</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397,485</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166,012</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34,284</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36,546</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609,423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708,658</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See commitments and contingencies (Note 10)</w:t>
            </w: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w:t>
            </w:r>
          </w:p>
        </w:tc>
        <w:tc>
          <w:tcPr>
            <w:tcW w:w="18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$0.01 par value, 600,000,000 shares authorized, 103,415,302 and 102,515,315</w:t>
            </w:r>
          </w:p>
        </w:tc>
        <w:tc>
          <w:tcPr>
            <w:tcW w:w="1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shares issued at March 1, 2025, and August 31, 2024, respectively</w:t>
            </w: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8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Treasury stock, 2,365,100 shares and 2,365,100 shares at cost at March 1, 2025, and August 31,</w:t>
            </w: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2024, respectively</w:t>
            </w: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1,335,892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1,319,686</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562,134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487,265</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1,817,757</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1,727,486</w:t>
            </w:r>
          </w:p>
        </w:tc>
        <w:tc>
          <w:tcPr>
            <w:tcW w:w="0" w:type="dxa"/>
            <w:vAlign w:val="bottom"/>
          </w:tcPr>
          <w:p>
            <w:pPr>
              <w:spacing w:after="0"/>
              <w:rPr>
                <w:sz w:val="1"/>
                <w:szCs w:val="1"/>
                <w:color w:val="auto"/>
              </w:rPr>
            </w:pP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2,427,180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2,436,144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ectPr>
          <w:pgSz w:w="11900" w:h="16838" w:orient="portrait"/>
          <w:cols w:equalWidth="0" w:num="1">
            <w:col w:w="10640"/>
          </w:cols>
          <w:pgMar w:left="320" w:top="684" w:right="939" w:bottom="1440" w:gutter="0" w:footer="0" w:header="0"/>
        </w:sectPr>
      </w:pP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84" w:right="9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79"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40" w:type="dxa"/>
            <w:vAlign w:val="bottom"/>
            <w:gridSpan w:val="5"/>
          </w:tcPr>
          <w:p>
            <w:pPr>
              <w:ind w:left="660"/>
              <w:spacing w:after="0"/>
              <w:rPr>
                <w:sz w:val="20"/>
                <w:szCs w:val="20"/>
                <w:color w:val="auto"/>
              </w:rPr>
            </w:pPr>
            <w:r>
              <w:rPr>
                <w:rFonts w:ascii="Times New Roman" w:cs="Times New Roman" w:eastAsia="Times New Roman" w:hAnsi="Times New Roman"/>
                <w:sz w:val="16"/>
                <w:szCs w:val="16"/>
                <w:color w:val="auto"/>
              </w:rPr>
              <w:t>Thirteen Weeks Ended</w:t>
            </w:r>
          </w:p>
        </w:tc>
        <w:tc>
          <w:tcPr>
            <w:tcW w:w="180" w:type="dxa"/>
            <w:vAlign w:val="bottom"/>
          </w:tcPr>
          <w:p>
            <w:pPr>
              <w:spacing w:after="0"/>
              <w:rPr>
                <w:sz w:val="18"/>
                <w:szCs w:val="18"/>
                <w:color w:val="auto"/>
              </w:rPr>
            </w:pPr>
          </w:p>
        </w:tc>
        <w:tc>
          <w:tcPr>
            <w:tcW w:w="304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color w:val="auto"/>
              </w:rPr>
              <w:t>Twenty-Six Weeks Ended</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March 1, 2025</w:t>
            </w: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February 24, 2024</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March 1, 2025</w:t>
            </w: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February 24, 2024</w:t>
            </w:r>
          </w:p>
        </w:tc>
        <w:tc>
          <w:tcPr>
            <w:tcW w:w="0" w:type="dxa"/>
            <w:vAlign w:val="bottom"/>
          </w:tcPr>
          <w:p>
            <w:pPr>
              <w:spacing w:after="0"/>
              <w:rPr>
                <w:sz w:val="1"/>
                <w:szCs w:val="1"/>
                <w:color w:val="auto"/>
              </w:rPr>
            </w:pPr>
          </w:p>
        </w:tc>
      </w:tr>
      <w:tr>
        <w:trPr>
          <w:trHeight w:val="239"/>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359,655</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312,199</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700,923</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620,877</w:t>
            </w:r>
          </w:p>
        </w:tc>
        <w:tc>
          <w:tcPr>
            <w:tcW w:w="0" w:type="dxa"/>
            <w:vAlign w:val="bottom"/>
          </w:tcPr>
          <w:p>
            <w:pPr>
              <w:spacing w:after="0"/>
              <w:rPr>
                <w:sz w:val="1"/>
                <w:szCs w:val="1"/>
                <w:color w:val="auto"/>
              </w:rPr>
            </w:pPr>
          </w:p>
        </w:tc>
      </w:tr>
      <w:tr>
        <w:trPr>
          <w:trHeight w:val="25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229,518</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195,329</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440,300</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388,889</w:t>
            </w:r>
          </w:p>
        </w:tc>
        <w:tc>
          <w:tcPr>
            <w:tcW w:w="0" w:type="dxa"/>
            <w:vAlign w:val="bottom"/>
          </w:tcPr>
          <w:p>
            <w:pPr>
              <w:spacing w:after="0"/>
              <w:rPr>
                <w:sz w:val="1"/>
                <w:szCs w:val="1"/>
                <w:color w:val="auto"/>
              </w:rPr>
            </w:pPr>
          </w:p>
        </w:tc>
      </w:tr>
      <w:tr>
        <w:trPr>
          <w:trHeight w:val="23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130,137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116,870</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260,623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231,988</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34,643</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68,072</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66,633</w:t>
            </w:r>
          </w:p>
        </w:tc>
        <w:tc>
          <w:tcPr>
            <w:tcW w:w="0" w:type="dxa"/>
            <w:vAlign w:val="bottom"/>
          </w:tcPr>
          <w:p>
            <w:pPr>
              <w:spacing w:after="0"/>
              <w:rPr>
                <w:sz w:val="1"/>
                <w:szCs w:val="1"/>
                <w:color w:val="auto"/>
              </w:rPr>
            </w:pPr>
          </w:p>
        </w:tc>
      </w:tr>
      <w:tr>
        <w:trPr>
          <w:trHeight w:val="25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56,883</w:t>
            </w:r>
          </w:p>
        </w:tc>
        <w:tc>
          <w:tcPr>
            <w:tcW w:w="0" w:type="dxa"/>
            <w:vAlign w:val="bottom"/>
          </w:tcPr>
          <w:p>
            <w:pPr>
              <w:spacing w:after="0"/>
              <w:rPr>
                <w:sz w:val="1"/>
                <w:szCs w:val="1"/>
                <w:color w:val="auto"/>
              </w:rPr>
            </w:pPr>
          </w:p>
        </w:tc>
      </w:tr>
      <w:tr>
        <w:trPr>
          <w:trHeight w:val="253"/>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8,308</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8,569</w:t>
            </w: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75,416</w:t>
            </w: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68,787</w:t>
            </w: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151,277</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132,085</w:t>
            </w:r>
          </w:p>
        </w:tc>
        <w:tc>
          <w:tcPr>
            <w:tcW w:w="0" w:type="dxa"/>
            <w:vAlign w:val="bottom"/>
          </w:tcPr>
          <w:p>
            <w:pPr>
              <w:spacing w:after="0"/>
              <w:rPr>
                <w:sz w:val="1"/>
                <w:szCs w:val="1"/>
                <w:color w:val="auto"/>
              </w:rPr>
            </w:pPr>
          </w:p>
        </w:tc>
      </w:tr>
      <w:tr>
        <w:trPr>
          <w:trHeight w:val="259"/>
        </w:trPr>
        <w:tc>
          <w:tcPr>
            <w:tcW w:w="3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54,721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48,083</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109,346</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99,903</w:t>
            </w:r>
          </w:p>
        </w:tc>
        <w:tc>
          <w:tcPr>
            <w:tcW w:w="0" w:type="dxa"/>
            <w:vAlign w:val="bottom"/>
          </w:tcPr>
          <w:p>
            <w:pPr>
              <w:spacing w:after="0"/>
              <w:rPr>
                <w:sz w:val="1"/>
                <w:szCs w:val="1"/>
                <w:color w:val="auto"/>
              </w:rPr>
            </w:pPr>
          </w:p>
        </w:tc>
      </w:tr>
      <w:tr>
        <w:trPr>
          <w:trHeight w:val="259"/>
        </w:trPr>
        <w:tc>
          <w:tcPr>
            <w:tcW w:w="33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2,014</w:t>
            </w:r>
          </w:p>
        </w:tc>
        <w:tc>
          <w:tcPr>
            <w:tcW w:w="0" w:type="dxa"/>
            <w:vAlign w:val="bottom"/>
          </w:tcPr>
          <w:p>
            <w:pPr>
              <w:spacing w:after="0"/>
              <w:rPr>
                <w:sz w:val="1"/>
                <w:szCs w:val="1"/>
                <w:color w:val="auto"/>
              </w:rPr>
            </w:pPr>
          </w:p>
        </w:tc>
      </w:tr>
      <w:tr>
        <w:trPr>
          <w:trHeight w:val="253"/>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(11,630)</w:t>
            </w:r>
          </w:p>
        </w:tc>
        <w:tc>
          <w:tcPr>
            <w:tcW w:w="0" w:type="dxa"/>
            <w:vAlign w:val="bottom"/>
          </w:tcPr>
          <w:p>
            <w:pPr>
              <w:spacing w:after="0"/>
              <w:rPr>
                <w:sz w:val="1"/>
                <w:szCs w:val="1"/>
                <w:color w:val="auto"/>
              </w:rPr>
            </w:pPr>
          </w:p>
        </w:tc>
      </w:tr>
      <w:tr>
        <w:trPr>
          <w:trHeight w:val="260"/>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gain on foreign currency transactions</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253"/>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40"/>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1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(4,695)</w:t>
            </w: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(12,693)</w:t>
            </w: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(9,407)</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48,978</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43,388</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96,653</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90,496</w:t>
            </w:r>
          </w:p>
        </w:tc>
        <w:tc>
          <w:tcPr>
            <w:tcW w:w="0" w:type="dxa"/>
            <w:vAlign w:val="bottom"/>
          </w:tcPr>
          <w:p>
            <w:pPr>
              <w:spacing w:after="0"/>
              <w:rPr>
                <w:sz w:val="1"/>
                <w:szCs w:val="1"/>
                <w:color w:val="auto"/>
              </w:rPr>
            </w:pPr>
          </w:p>
        </w:tc>
      </w:tr>
      <w:tr>
        <w:trPr>
          <w:trHeight w:val="253"/>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12,231</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21,784</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21,812</w:t>
            </w:r>
          </w:p>
        </w:tc>
        <w:tc>
          <w:tcPr>
            <w:tcW w:w="0" w:type="dxa"/>
            <w:vAlign w:val="bottom"/>
          </w:tcPr>
          <w:p>
            <w:pPr>
              <w:spacing w:after="0"/>
              <w:rPr>
                <w:sz w:val="1"/>
                <w:szCs w:val="1"/>
                <w:color w:val="auto"/>
              </w:rPr>
            </w:pPr>
          </w:p>
        </w:tc>
      </w:tr>
      <w:tr>
        <w:trPr>
          <w:trHeight w:val="24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74,869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68,684</w:t>
            </w:r>
          </w:p>
        </w:tc>
        <w:tc>
          <w:tcPr>
            <w:tcW w:w="0" w:type="dxa"/>
            <w:vAlign w:val="bottom"/>
          </w:tcPr>
          <w:p>
            <w:pPr>
              <w:spacing w:after="0"/>
              <w:rPr>
                <w:sz w:val="1"/>
                <w:szCs w:val="1"/>
                <w:color w:val="auto"/>
              </w:rPr>
            </w:pPr>
          </w:p>
        </w:tc>
      </w:tr>
      <w:tr>
        <w:trPr>
          <w:trHeight w:val="257"/>
        </w:trPr>
        <w:tc>
          <w:tcPr>
            <w:tcW w:w="3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3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 translation, net of</w:t>
            </w:r>
          </w:p>
        </w:tc>
        <w:tc>
          <w:tcPr>
            <w:tcW w:w="2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213"/>
        </w:trPr>
        <w:tc>
          <w:tcPr>
            <w:tcW w:w="3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reclassification adjustments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36,321</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33,108</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74,056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68,941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 from net income:</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4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0.69</w:t>
            </w:r>
          </w:p>
        </w:tc>
        <w:tc>
          <w:tcPr>
            <w:tcW w:w="0" w:type="dxa"/>
            <w:vAlign w:val="bottom"/>
          </w:tcPr>
          <w:p>
            <w:pPr>
              <w:spacing w:after="0"/>
              <w:rPr>
                <w:sz w:val="1"/>
                <w:szCs w:val="1"/>
                <w:color w:val="auto"/>
              </w:rPr>
            </w:pPr>
          </w:p>
        </w:tc>
      </w:tr>
      <w:tr>
        <w:trPr>
          <w:trHeight w:val="259"/>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0.74</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0.68</w:t>
            </w:r>
          </w:p>
        </w:tc>
        <w:tc>
          <w:tcPr>
            <w:tcW w:w="0" w:type="dxa"/>
            <w:vAlign w:val="bottom"/>
          </w:tcPr>
          <w:p>
            <w:pPr>
              <w:spacing w:after="0"/>
              <w:rPr>
                <w:sz w:val="1"/>
                <w:szCs w:val="1"/>
                <w:color w:val="auto"/>
              </w:rPr>
            </w:pPr>
          </w:p>
        </w:tc>
      </w:tr>
      <w:tr>
        <w:trPr>
          <w:trHeight w:val="25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101,040,501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99,905,643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100,724,155</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99,767,769</w:t>
            </w:r>
          </w:p>
        </w:tc>
        <w:tc>
          <w:tcPr>
            <w:tcW w:w="0" w:type="dxa"/>
            <w:vAlign w:val="bottom"/>
          </w:tcPr>
          <w:p>
            <w:pPr>
              <w:spacing w:after="0"/>
              <w:rPr>
                <w:sz w:val="1"/>
                <w:szCs w:val="1"/>
                <w:color w:val="auto"/>
              </w:rPr>
            </w:pPr>
          </w:p>
        </w:tc>
      </w:tr>
      <w:tr>
        <w:trPr>
          <w:trHeight w:val="250"/>
        </w:trPr>
        <w:tc>
          <w:tcPr>
            <w:tcW w:w="3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101,821,229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101,276,575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101,674,934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101,212,408</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i w:val="1"/>
          <w:iCs w:val="1"/>
          <w:color w:val="auto"/>
        </w:rPr>
        <w:t>(Unaudited, dollars in thousands)</w:t>
      </w:r>
    </w:p>
    <w:p>
      <w:pPr>
        <w:spacing w:after="0" w:line="333" w:lineRule="exact"/>
        <w:rPr>
          <w:sz w:val="20"/>
          <w:szCs w:val="20"/>
          <w:color w:val="auto"/>
        </w:rPr>
      </w:pPr>
    </w:p>
    <w:tbl>
      <w:tblPr>
        <w:tblLayout w:type="fixed"/>
        <w:tblInd w:w="70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0"/>
        </w:trPr>
        <w:tc>
          <w:tcPr>
            <w:tcW w:w="6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March 1, 2025</w:t>
            </w:r>
          </w:p>
        </w:tc>
        <w:tc>
          <w:tcPr>
            <w:tcW w:w="120" w:type="dxa"/>
            <w:vAlign w:val="bottom"/>
          </w:tcPr>
          <w:p>
            <w:pPr>
              <w:spacing w:after="0"/>
              <w:rPr>
                <w:sz w:val="18"/>
                <w:szCs w:val="18"/>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February 24, 2024</w:t>
            </w:r>
          </w:p>
        </w:tc>
      </w:tr>
      <w:tr>
        <w:trPr>
          <w:trHeight w:val="19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74,869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68,684</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10,792</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992</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8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8,736</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Estimated credit losses (gains)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gain (loss) on foreign currency transactions</w:t>
            </w:r>
          </w:p>
        </w:tc>
        <w:tc>
          <w:tcPr>
            <w:tcW w:w="18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6,440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7,722</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18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3,489</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820</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(5,447)</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(9,220)</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16,566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2,399</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interest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11,076</w:t>
            </w:r>
          </w:p>
        </w:tc>
      </w:tr>
      <w:tr>
        <w:trPr>
          <w:trHeight w:val="213"/>
        </w:trPr>
        <w:tc>
          <w:tcPr>
            <w:tcW w:w="66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(2,682)</w:t>
            </w: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63,267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93,991</w:t>
            </w:r>
          </w:p>
        </w:tc>
      </w:tr>
      <w:tr>
        <w:trPr>
          <w:trHeight w:val="199"/>
        </w:trPr>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r>
      <w:tr>
        <w:trPr>
          <w:trHeight w:val="21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Investments in intangible and other assets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r>
      <w:tr>
        <w:trPr>
          <w:trHeight w:val="199"/>
        </w:trPr>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18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10,136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3,015</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payments related to issuance of restricted stock units and performance stock units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(3,750)</w:t>
            </w: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8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received on repayment of note receivable</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1,200</w:t>
            </w:r>
          </w:p>
        </w:tc>
      </w:tr>
      <w:tr>
        <w:trPr>
          <w:trHeight w:val="213"/>
        </w:trPr>
        <w:tc>
          <w:tcPr>
            <w:tcW w:w="6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(45,000)</w:t>
            </w: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(92,386)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(44,656)</w:t>
            </w:r>
          </w:p>
        </w:tc>
      </w:tr>
      <w:tr>
        <w:trPr>
          <w:trHeight w:val="199"/>
        </w:trPr>
        <w:tc>
          <w:tcPr>
            <w:tcW w:w="6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48,057</w:t>
            </w:r>
          </w:p>
        </w:tc>
      </w:tr>
      <w:tr>
        <w:trPr>
          <w:trHeight w:val="21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w:t>
            </w:r>
          </w:p>
        </w:tc>
      </w:tr>
      <w:tr>
        <w:trPr>
          <w:trHeight w:val="213"/>
        </w:trPr>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132,530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87,715</w:t>
            </w:r>
          </w:p>
        </w:tc>
      </w:tr>
      <w:tr>
        <w:trPr>
          <w:trHeight w:val="23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103,682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135,876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0"/>
        </w:trPr>
        <w:tc>
          <w:tcPr>
            <w:tcW w:w="6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March 1, 2025</w:t>
            </w:r>
          </w:p>
        </w:tc>
        <w:tc>
          <w:tcPr>
            <w:tcW w:w="14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February 24, 2024</w:t>
            </w:r>
          </w:p>
        </w:tc>
      </w:tr>
      <w:tr>
        <w:trPr>
          <w:trHeight w:val="253"/>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0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r>
      <w:tr>
        <w:trPr>
          <w:trHeight w:val="267"/>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13,454</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11,202</w:t>
            </w:r>
          </w:p>
        </w:tc>
      </w:tr>
      <w:tr>
        <w:trPr>
          <w:trHeight w:val="27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14,884</w:t>
            </w:r>
          </w:p>
        </w:tc>
      </w:tr>
      <w:tr>
        <w:trPr>
          <w:trHeight w:val="26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credits for repayment of note receivable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r>
      <w:tr>
        <w:trPr>
          <w:trHeight w:val="267"/>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additions to property and equipment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7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additions to intangible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data)</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gridSpan w:val="8"/>
            <w:vMerge w:val="restart"/>
          </w:tcPr>
          <w:p>
            <w:pPr>
              <w:ind w:left="360"/>
              <w:spacing w:after="0"/>
              <w:rPr>
                <w:sz w:val="20"/>
                <w:szCs w:val="20"/>
                <w:color w:val="auto"/>
              </w:rPr>
            </w:pPr>
            <w:r>
              <w:rPr>
                <w:rFonts w:ascii="Times New Roman" w:cs="Times New Roman" w:eastAsia="Times New Roman" w:hAnsi="Times New Roman"/>
                <w:sz w:val="16"/>
                <w:szCs w:val="16"/>
                <w:color w:val="auto"/>
              </w:rPr>
              <w:t>Common Stock</w:t>
            </w:r>
          </w:p>
        </w:tc>
        <w:tc>
          <w:tcPr>
            <w:tcW w:w="20" w:type="dxa"/>
            <w:vAlign w:val="bottom"/>
          </w:tcPr>
          <w:p>
            <w:pPr>
              <w:spacing w:after="0"/>
              <w:rPr>
                <w:sz w:val="16"/>
                <w:szCs w:val="16"/>
                <w:color w:val="auto"/>
              </w:rPr>
            </w:pPr>
          </w:p>
        </w:tc>
        <w:tc>
          <w:tcPr>
            <w:tcW w:w="1820" w:type="dxa"/>
            <w:vAlign w:val="bottom"/>
            <w:gridSpan w:val="7"/>
            <w:vMerge w:val="restart"/>
          </w:tcPr>
          <w:p>
            <w:pPr>
              <w:ind w:left="340"/>
              <w:spacing w:after="0"/>
              <w:rPr>
                <w:sz w:val="20"/>
                <w:szCs w:val="20"/>
                <w:color w:val="auto"/>
              </w:rPr>
            </w:pPr>
            <w:r>
              <w:rPr>
                <w:rFonts w:ascii="Times New Roman" w:cs="Times New Roman" w:eastAsia="Times New Roman" w:hAnsi="Times New Roman"/>
                <w:sz w:val="16"/>
                <w:szCs w:val="16"/>
                <w:color w:val="auto"/>
              </w:rPr>
              <w:t>Treasury Stock</w:t>
            </w:r>
          </w:p>
        </w:tc>
        <w:tc>
          <w:tcPr>
            <w:tcW w:w="120" w:type="dxa"/>
            <w:vAlign w:val="bottom"/>
          </w:tcPr>
          <w:p>
            <w:pPr>
              <w:spacing w:after="0"/>
              <w:rPr>
                <w:sz w:val="16"/>
                <w:szCs w:val="16"/>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w w:val="99"/>
              </w:rPr>
              <w:t>Additional</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Retained</w:t>
            </w:r>
          </w:p>
        </w:tc>
        <w:tc>
          <w:tcPr>
            <w:tcW w:w="20" w:type="dxa"/>
            <w:vAlign w:val="bottom"/>
          </w:tcPr>
          <w:p>
            <w:pPr>
              <w:spacing w:after="0"/>
              <w:rPr>
                <w:sz w:val="16"/>
                <w:szCs w:val="16"/>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Accumulated Other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900" w:type="dxa"/>
            <w:vAlign w:val="bottom"/>
            <w:gridSpan w:val="8"/>
            <w:vMerge w:val="continue"/>
          </w:tcPr>
          <w:p>
            <w:pPr>
              <w:spacing w:after="0"/>
              <w:rPr>
                <w:sz w:val="7"/>
                <w:szCs w:val="7"/>
                <w:color w:val="auto"/>
              </w:rPr>
            </w:pPr>
          </w:p>
        </w:tc>
        <w:tc>
          <w:tcPr>
            <w:tcW w:w="20" w:type="dxa"/>
            <w:vAlign w:val="bottom"/>
          </w:tcPr>
          <w:p>
            <w:pPr>
              <w:spacing w:after="0"/>
              <w:rPr>
                <w:sz w:val="7"/>
                <w:szCs w:val="7"/>
                <w:color w:val="auto"/>
              </w:rPr>
            </w:pPr>
          </w:p>
        </w:tc>
        <w:tc>
          <w:tcPr>
            <w:tcW w:w="1820" w:type="dxa"/>
            <w:vAlign w:val="bottom"/>
            <w:gridSpan w:val="7"/>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3"/>
            <w:vMerge w:val="restart"/>
          </w:tcPr>
          <w:p>
            <w:pPr>
              <w:jc w:val="center"/>
              <w:ind w:right="260"/>
              <w:spacing w:after="0" w:line="142" w:lineRule="exact"/>
              <w:rPr>
                <w:sz w:val="20"/>
                <w:szCs w:val="20"/>
                <w:color w:val="auto"/>
              </w:rPr>
            </w:pPr>
            <w:r>
              <w:rPr>
                <w:rFonts w:ascii="Times New Roman" w:cs="Times New Roman" w:eastAsia="Times New Roman" w:hAnsi="Times New Roman"/>
                <w:sz w:val="16"/>
                <w:szCs w:val="16"/>
                <w:color w:val="auto"/>
              </w:rPr>
              <w:t>Paid-In</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3"/>
            <w:vMerge w:val="restart"/>
          </w:tcPr>
          <w:p>
            <w:pPr>
              <w:jc w:val="center"/>
              <w:ind w:right="28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restart"/>
          </w:tcPr>
          <w:p>
            <w:pPr>
              <w:jc w:val="right"/>
              <w:ind w:right="239"/>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Earnings</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6"/>
                <w:szCs w:val="16"/>
                <w:color w:val="auto"/>
              </w:rPr>
              <w:t>Shares</w:t>
            </w:r>
          </w:p>
        </w:tc>
        <w:tc>
          <w:tcPr>
            <w:tcW w:w="20" w:type="dxa"/>
            <w:vAlign w:val="bottom"/>
          </w:tcPr>
          <w:p>
            <w:pPr>
              <w:spacing w:after="0"/>
              <w:rPr>
                <w:sz w:val="9"/>
                <w:szCs w:val="9"/>
                <w:color w:val="auto"/>
              </w:rPr>
            </w:pPr>
          </w:p>
        </w:tc>
        <w:tc>
          <w:tcPr>
            <w:tcW w:w="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auto"/>
              </w:rPr>
              <w:t>Amount</w:t>
            </w:r>
          </w:p>
        </w:tc>
        <w:tc>
          <w:tcPr>
            <w:tcW w:w="20" w:type="dxa"/>
            <w:vAlign w:val="bottom"/>
          </w:tcPr>
          <w:p>
            <w:pPr>
              <w:spacing w:after="0"/>
              <w:rPr>
                <w:sz w:val="9"/>
                <w:szCs w:val="9"/>
                <w:color w:val="auto"/>
              </w:rPr>
            </w:pPr>
          </w:p>
        </w:tc>
        <w:tc>
          <w:tcPr>
            <w:tcW w:w="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tcPr>
          <w:p>
            <w:pPr>
              <w:spacing w:after="0"/>
              <w:rPr>
                <w:sz w:val="9"/>
                <w:szCs w:val="9"/>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9"/>
                <w:szCs w:val="9"/>
                <w:color w:val="auto"/>
              </w:rPr>
            </w:pPr>
          </w:p>
        </w:tc>
        <w:tc>
          <w:tcPr>
            <w:tcW w:w="9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Capital</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w w:val="99"/>
              </w:rPr>
              <w:t>Loss</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72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August 31,</w:t>
            </w:r>
          </w:p>
        </w:tc>
        <w:tc>
          <w:tcPr>
            <w:tcW w:w="9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102,515,315</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1,319,686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487,265</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1,727,486</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94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20" w:type="dxa"/>
            <w:vAlign w:val="bottom"/>
            <w:tcBorders>
              <w:top w:val="single" w:sz="8" w:color="CCEEFF"/>
            </w:tcBorders>
            <w:vMerge w:val="continue"/>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38,122</w:t>
            </w: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2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20" w:type="dxa"/>
            <w:vAlign w:val="bottom"/>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20" w:type="dxa"/>
            <w:vAlign w:val="bottom"/>
          </w:tcPr>
          <w:p>
            <w:pPr>
              <w:spacing w:after="0"/>
              <w:rPr>
                <w:sz w:val="14"/>
                <w:szCs w:val="14"/>
                <w:color w:val="auto"/>
              </w:rPr>
            </w:pPr>
          </w:p>
        </w:tc>
        <w:tc>
          <w:tcPr>
            <w:tcW w:w="10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2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164,093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(2,315)</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options to</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713,751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9,977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9,984</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72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November</w:t>
            </w:r>
          </w:p>
        </w:tc>
        <w:tc>
          <w:tcPr>
            <w:tcW w:w="9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103,393,159</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1,331,000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525,387</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1,776,544</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30, 2024</w:t>
            </w:r>
          </w:p>
        </w:tc>
        <w:tc>
          <w:tcPr>
            <w:tcW w:w="94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20" w:type="dxa"/>
            <w:vAlign w:val="bottom"/>
            <w:tcBorders>
              <w:top w:val="single" w:sz="8" w:color="CCEEFF"/>
            </w:tcBorders>
            <w:vMerge w:val="continue"/>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2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4,947</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20" w:type="dxa"/>
            <w:vAlign w:val="bottom"/>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20" w:type="dxa"/>
            <w:vAlign w:val="bottom"/>
          </w:tcPr>
          <w:p>
            <w:pPr>
              <w:spacing w:after="0"/>
              <w:rPr>
                <w:sz w:val="14"/>
                <w:szCs w:val="14"/>
                <w:color w:val="auto"/>
              </w:rPr>
            </w:pPr>
          </w:p>
        </w:tc>
        <w:tc>
          <w:tcPr>
            <w:tcW w:w="10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2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18,229</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options to</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3,914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72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March 1,</w:t>
            </w:r>
          </w:p>
        </w:tc>
        <w:tc>
          <w:tcPr>
            <w:tcW w:w="94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103,415,302</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1,335,892</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562,134</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1,817,757</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94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gridSpan w:val="2"/>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gridSpan w:val="8"/>
            <w:vMerge w:val="restart"/>
          </w:tcPr>
          <w:p>
            <w:pPr>
              <w:ind w:left="380"/>
              <w:spacing w:after="0"/>
              <w:rPr>
                <w:sz w:val="20"/>
                <w:szCs w:val="20"/>
                <w:color w:val="auto"/>
              </w:rPr>
            </w:pPr>
            <w:r>
              <w:rPr>
                <w:rFonts w:ascii="Times New Roman" w:cs="Times New Roman" w:eastAsia="Times New Roman" w:hAnsi="Times New Roman"/>
                <w:sz w:val="16"/>
                <w:szCs w:val="16"/>
                <w:color w:val="auto"/>
              </w:rPr>
              <w:t>Common Stock</w:t>
            </w:r>
          </w:p>
        </w:tc>
        <w:tc>
          <w:tcPr>
            <w:tcW w:w="20" w:type="dxa"/>
            <w:vAlign w:val="bottom"/>
          </w:tcPr>
          <w:p>
            <w:pPr>
              <w:spacing w:after="0"/>
              <w:rPr>
                <w:sz w:val="24"/>
                <w:szCs w:val="24"/>
                <w:color w:val="auto"/>
              </w:rPr>
            </w:pPr>
          </w:p>
        </w:tc>
        <w:tc>
          <w:tcPr>
            <w:tcW w:w="1820" w:type="dxa"/>
            <w:vAlign w:val="bottom"/>
            <w:gridSpan w:val="7"/>
            <w:vMerge w:val="restart"/>
          </w:tcPr>
          <w:p>
            <w:pPr>
              <w:ind w:left="340"/>
              <w:spacing w:after="0"/>
              <w:rPr>
                <w:sz w:val="20"/>
                <w:szCs w:val="20"/>
                <w:color w:val="auto"/>
              </w:rPr>
            </w:pPr>
            <w:r>
              <w:rPr>
                <w:rFonts w:ascii="Times New Roman" w:cs="Times New Roman" w:eastAsia="Times New Roman" w:hAnsi="Times New Roman"/>
                <w:sz w:val="16"/>
                <w:szCs w:val="16"/>
                <w:color w:val="auto"/>
              </w:rPr>
              <w:t>Treasury Stock</w:t>
            </w:r>
          </w:p>
        </w:tc>
        <w:tc>
          <w:tcPr>
            <w:tcW w:w="120" w:type="dxa"/>
            <w:vAlign w:val="bottom"/>
          </w:tcPr>
          <w:p>
            <w:pPr>
              <w:spacing w:after="0"/>
              <w:rPr>
                <w:sz w:val="24"/>
                <w:szCs w:val="24"/>
                <w:color w:val="auto"/>
              </w:rPr>
            </w:pPr>
          </w:p>
        </w:tc>
        <w:tc>
          <w:tcPr>
            <w:tcW w:w="9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Additional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Retained</w:t>
            </w:r>
          </w:p>
        </w:tc>
        <w:tc>
          <w:tcPr>
            <w:tcW w:w="20" w:type="dxa"/>
            <w:vAlign w:val="bottom"/>
          </w:tcPr>
          <w:p>
            <w:pPr>
              <w:spacing w:after="0"/>
              <w:rPr>
                <w:sz w:val="24"/>
                <w:szCs w:val="24"/>
                <w:color w:val="auto"/>
              </w:rPr>
            </w:pP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Accumulated Other</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900" w:type="dxa"/>
            <w:vAlign w:val="bottom"/>
            <w:gridSpan w:val="8"/>
            <w:vMerge w:val="continue"/>
          </w:tcPr>
          <w:p>
            <w:pPr>
              <w:spacing w:after="0"/>
              <w:rPr>
                <w:sz w:val="7"/>
                <w:szCs w:val="7"/>
                <w:color w:val="auto"/>
              </w:rPr>
            </w:pPr>
          </w:p>
        </w:tc>
        <w:tc>
          <w:tcPr>
            <w:tcW w:w="20" w:type="dxa"/>
            <w:vAlign w:val="bottom"/>
          </w:tcPr>
          <w:p>
            <w:pPr>
              <w:spacing w:after="0"/>
              <w:rPr>
                <w:sz w:val="7"/>
                <w:szCs w:val="7"/>
                <w:color w:val="auto"/>
              </w:rPr>
            </w:pPr>
          </w:p>
        </w:tc>
        <w:tc>
          <w:tcPr>
            <w:tcW w:w="1820" w:type="dxa"/>
            <w:vAlign w:val="bottom"/>
            <w:gridSpan w:val="7"/>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3"/>
            <w:vMerge w:val="restart"/>
          </w:tcPr>
          <w:p>
            <w:pPr>
              <w:jc w:val="center"/>
              <w:ind w:right="260"/>
              <w:spacing w:after="0" w:line="142" w:lineRule="exact"/>
              <w:rPr>
                <w:sz w:val="20"/>
                <w:szCs w:val="20"/>
                <w:color w:val="auto"/>
              </w:rPr>
            </w:pPr>
            <w:r>
              <w:rPr>
                <w:rFonts w:ascii="Times New Roman" w:cs="Times New Roman" w:eastAsia="Times New Roman" w:hAnsi="Times New Roman"/>
                <w:sz w:val="16"/>
                <w:szCs w:val="16"/>
                <w:color w:val="auto"/>
              </w:rPr>
              <w:t>Paid-In</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3"/>
            <w:vMerge w:val="restart"/>
          </w:tcPr>
          <w:p>
            <w:pPr>
              <w:jc w:val="center"/>
              <w:ind w:right="260"/>
              <w:spacing w:after="0" w:line="142" w:lineRule="exact"/>
              <w:rPr>
                <w:sz w:val="20"/>
                <w:szCs w:val="20"/>
                <w:color w:val="auto"/>
              </w:rPr>
            </w:pPr>
            <w:r>
              <w:rPr>
                <w:rFonts w:ascii="Times New Roman" w:cs="Times New Roman" w:eastAsia="Times New Roman" w:hAnsi="Times New Roman"/>
                <w:sz w:val="16"/>
                <w:szCs w:val="16"/>
                <w:color w:val="auto"/>
                <w:w w:val="99"/>
              </w:rPr>
              <w:t>Comprehensive</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restart"/>
          </w:tcPr>
          <w:p>
            <w:pPr>
              <w:jc w:val="right"/>
              <w:ind w:right="239"/>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Earnings</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2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120" w:type="dxa"/>
            <w:vAlign w:val="bottom"/>
            <w:vMerge w:val="restart"/>
          </w:tcPr>
          <w:p>
            <w:pPr>
              <w:spacing w:after="0"/>
              <w:rPr>
                <w:sz w:val="9"/>
                <w:szCs w:val="9"/>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color w:val="auto"/>
                <w:w w:val="99"/>
              </w:rPr>
              <w:t>Capital</w:t>
            </w:r>
          </w:p>
        </w:tc>
        <w:tc>
          <w:tcPr>
            <w:tcW w:w="1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940" w:type="dxa"/>
            <w:vAlign w:val="bottom"/>
            <w:tcBorders>
              <w:bottom w:val="single" w:sz="8" w:color="auto"/>
            </w:tcBorders>
            <w:gridSpan w:val="2"/>
            <w:vMerge w:val="continue"/>
          </w:tcPr>
          <w:p>
            <w:pPr>
              <w:spacing w:after="0"/>
              <w:rPr>
                <w:sz w:val="8"/>
                <w:szCs w:val="8"/>
                <w:color w:val="auto"/>
              </w:rPr>
            </w:pPr>
          </w:p>
        </w:tc>
        <w:tc>
          <w:tcPr>
            <w:tcW w:w="100" w:type="dxa"/>
            <w:vAlign w:val="bottom"/>
            <w:tcBorders>
              <w:bottom w:val="single" w:sz="8" w:color="CCEEFF"/>
            </w:tcBorders>
            <w:vMerge w:val="continue"/>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gridSpan w:val="3"/>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780" w:type="dxa"/>
            <w:vAlign w:val="bottom"/>
            <w:tcBorders>
              <w:bottom w:val="single" w:sz="8" w:color="auto"/>
            </w:tcBorders>
            <w:gridSpan w:val="2"/>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800" w:type="dxa"/>
            <w:vAlign w:val="bottom"/>
            <w:tcBorders>
              <w:bottom w:val="single" w:sz="8" w:color="auto"/>
            </w:tcBorders>
            <w:gridSpan w:val="3"/>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gridSpan w:val="2"/>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gridSpan w:val="2"/>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7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Balance at August 26,</w:t>
            </w:r>
          </w:p>
        </w:tc>
        <w:tc>
          <w:tcPr>
            <w:tcW w:w="20" w:type="dxa"/>
            <w:vAlign w:val="bottom"/>
            <w:vMerge w:val="restart"/>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101,929,868</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1,303,168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1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347,956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vMerge w:val="restart"/>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1,571,099</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2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20" w:type="dxa"/>
            <w:vAlign w:val="bottom"/>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20" w:type="dxa"/>
            <w:vAlign w:val="bottom"/>
          </w:tcPr>
          <w:p>
            <w:pPr>
              <w:spacing w:after="0"/>
              <w:rPr>
                <w:sz w:val="14"/>
                <w:szCs w:val="14"/>
                <w:color w:val="auto"/>
              </w:rPr>
            </w:pPr>
          </w:p>
        </w:tc>
        <w:tc>
          <w:tcPr>
            <w:tcW w:w="10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3"/>
        </w:trPr>
        <w:tc>
          <w:tcPr>
            <w:tcW w:w="1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2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20" w:type="dxa"/>
            <w:vAlign w:val="bottom"/>
            <w:vMerge w:val="restart"/>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245,365</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units</w:t>
            </w:r>
          </w:p>
        </w:tc>
        <w:tc>
          <w:tcPr>
            <w:tcW w:w="20" w:type="dxa"/>
            <w:vAlign w:val="bottom"/>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Balance at November</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102,175,233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1,303,411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383,517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1,607,178</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25, 2023</w:t>
            </w:r>
          </w:p>
        </w:tc>
        <w:tc>
          <w:tcPr>
            <w:tcW w:w="9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0" w:type="dxa"/>
            <w:vAlign w:val="bottom"/>
          </w:tcPr>
          <w:p>
            <w:pPr>
              <w:spacing w:after="0"/>
              <w:rPr>
                <w:sz w:val="1"/>
                <w:szCs w:val="1"/>
                <w:color w:val="auto"/>
              </w:rPr>
            </w:pPr>
          </w:p>
        </w:tc>
      </w:tr>
      <w:tr>
        <w:trPr>
          <w:trHeight w:val="162"/>
        </w:trPr>
        <w:tc>
          <w:tcPr>
            <w:tcW w:w="17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Stock-based</w:t>
            </w:r>
          </w:p>
        </w:tc>
        <w:tc>
          <w:tcPr>
            <w:tcW w:w="20" w:type="dxa"/>
            <w:vAlign w:val="bottom"/>
          </w:tcPr>
          <w:p>
            <w:pPr>
              <w:spacing w:after="0"/>
              <w:rPr>
                <w:sz w:val="14"/>
                <w:szCs w:val="14"/>
                <w:color w:val="auto"/>
              </w:rPr>
            </w:pPr>
          </w:p>
        </w:tc>
        <w:tc>
          <w:tcPr>
            <w:tcW w:w="10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0" w:type="dxa"/>
            <w:vAlign w:val="bottom"/>
          </w:tcPr>
          <w:p>
            <w:pPr>
              <w:spacing w:after="0"/>
              <w:rPr>
                <w:sz w:val="1"/>
                <w:szCs w:val="1"/>
                <w:color w:val="auto"/>
              </w:rPr>
            </w:pPr>
          </w:p>
        </w:tc>
      </w:tr>
      <w:tr>
        <w:trPr>
          <w:trHeight w:val="213"/>
        </w:trPr>
        <w:tc>
          <w:tcPr>
            <w:tcW w:w="1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2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Foreign currency</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20" w:type="dxa"/>
            <w:vAlign w:val="bottom"/>
            <w:shd w:val="clear" w:color="auto" w:fill="CCEEFF"/>
          </w:tcPr>
          <w:p>
            <w:pPr>
              <w:spacing w:after="0"/>
              <w:rPr>
                <w:sz w:val="14"/>
                <w:szCs w:val="14"/>
                <w:color w:val="auto"/>
              </w:rPr>
            </w:pPr>
          </w:p>
        </w:tc>
        <w:tc>
          <w:tcPr>
            <w:tcW w:w="10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9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w:t>
            </w:r>
          </w:p>
        </w:tc>
        <w:tc>
          <w:tcPr>
            <w:tcW w:w="20" w:type="dxa"/>
            <w:vAlign w:val="bottom"/>
            <w:shd w:val="clear" w:color="auto" w:fill="CCEEFF"/>
          </w:tcPr>
          <w:p>
            <w:pPr>
              <w:spacing w:after="0"/>
              <w:rPr>
                <w:sz w:val="18"/>
                <w:szCs w:val="18"/>
                <w:color w:val="auto"/>
              </w:rPr>
            </w:pPr>
          </w:p>
        </w:tc>
        <w:tc>
          <w:tcPr>
            <w:tcW w:w="104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5,285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3"/>
        </w:trPr>
        <w:tc>
          <w:tcPr>
            <w:tcW w:w="17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Exercise of options to</w:t>
            </w:r>
          </w:p>
        </w:tc>
        <w:tc>
          <w:tcPr>
            <w:tcW w:w="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20" w:type="dxa"/>
            <w:vAlign w:val="bottom"/>
            <w:vMerge w:val="restart"/>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173,100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w:t>
            </w:r>
          </w:p>
        </w:tc>
        <w:tc>
          <w:tcPr>
            <w:tcW w:w="20" w:type="dxa"/>
            <w:vAlign w:val="bottom"/>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Balance at February 24,</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102,353,618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1,310,605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416,640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1,647,482</w:t>
            </w:r>
          </w:p>
        </w:tc>
        <w:tc>
          <w:tcPr>
            <w:tcW w:w="0" w:type="dxa"/>
            <w:vAlign w:val="bottom"/>
          </w:tcPr>
          <w:p>
            <w:pPr>
              <w:spacing w:after="0"/>
              <w:rPr>
                <w:sz w:val="1"/>
                <w:szCs w:val="1"/>
                <w:color w:val="auto"/>
              </w:rPr>
            </w:pPr>
          </w:p>
        </w:tc>
      </w:tr>
      <w:tr>
        <w:trPr>
          <w:trHeight w:val="189"/>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9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ectPr>
          <w:pgSz w:w="11900" w:h="16838" w:orient="portrait"/>
          <w:cols w:equalWidth="0" w:num="1">
            <w:col w:w="10800"/>
          </w:cols>
          <w:pgMar w:left="320" w:top="121" w:right="779" w:bottom="538" w:gutter="0" w:footer="0" w:header="0"/>
        </w:sectPr>
      </w:pPr>
    </w:p>
    <w:p>
      <w:pPr>
        <w:spacing w:after="0" w:line="35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21" w:right="779" w:bottom="538"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Principles of Consolidation</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Simply Good Foods Company (“Simply Good Foods” or the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the Company develops, markets and sells consists primarily of protein bars, ready-to-drink (“RTD”) shakes, sweet and salty snacks and confectionery products marketed under the Quest, Atkins, and OWYN brand names.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29, 2024, the Company entered into a stock purchase agreement (the “Purchase Agreement”) to acquire Only What You Need, Inc. (“OWYN”), a plant-based protein food company (the “OWYN Acquisition”), for approximately $280.0 million. On June 13, 2024, pursuant to the Purchase Agreement, the Company completed the OWYN Acquisition by acquiring 100% of the equity interests for a cash purchase price at closing of $281.9 million, subject to certain customary post-closing adjustments.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that also limit sugars and simple carbohydrates.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common stock of Simply Good Foods is listed on the Nasdaq Capital Market under the symbol “SMPL.”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Consolidated Financial Statements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unaudited interim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 In context, “Quest” may also refer to the Quest brand, “Atkins” may also refer to the Atkins brand, and “OWYN” may also refer to the OWYN brand. Atkins, Atkins Endulge, Quest, OWYN, and the Simply Good logo are either registered trademarks or trademarks of the Company’s wholly owned subsidiary Simply Good Foods USA, Inc. or one of its affiliates in the United States and elsewhere. All rights are reserved.</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maintains its accounting records on a 52/53-week fiscal year, ending on the last Saturday in August of each year.</w:t>
      </w:r>
    </w:p>
    <w:p>
      <w:pPr>
        <w:spacing w:after="0" w:line="25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and related notes of the Company and its subsidiaries are unaudited. The unaudited interim consolidated financial statements have been prepared in accordance with U.S. Generally Accepted Accounting Principles (“GAAP”) and the rules and regulations of the Securities and Exchange Commission (the “SEC”). The unaudited interim consolidated financial statements reflect all adjustments and disclosures which are, in the Company’s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consolidated financial statements are not necessarily indicative of the results that may be reported for the entire fiscal year and should be read in conjunction with the Company’s consolidated financial statements for the fiscal year ended August 31, 2024, included in the Company’s Annual Report on Form 10-K (“Annual Report”) filed with the SEC on October 29,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6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Annual Report for a description of significant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The Company is currently evaluating the provisions of the amendments and the effect on its future consolidated financial statements.</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updates disclosures required in the footnotes to the financial statements to further aid investors in understanding how to analyze income tax reporting. The amendments are effective for fiscal years beginning after December 15, 2024. Early adoption is permitted for annual financial statements that have not yet been issued or made available. The amendments should be applied on a prospective basis; however, retrospective application is permitted. The Company is currently evaluating the provisions of the amendments and the effect on its future consolidated financial statements.</w:t>
      </w:r>
    </w:p>
    <w:p>
      <w:pPr>
        <w:spacing w:after="0" w:line="21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(“ASU 2024-03”), which will improve the disclosures about a public business entity’s expenses and address requests from investors for more detailed information about the types of expenses in commonly presented expense captions such as cost of sales, SG&amp;A, and R&amp;D. The amendments are effective for fiscal years beginning after December 15, 2026, and for interim periods within fiscal years beginning after December 15, 2027. Early adoption is permitted for annual financial statements that have not yet been issued or made available. The amendments should be applied on either (1) prospectively to financial statements issued for reporting periods after the effective date or (2) retrospectively to any or all prior periods presented in the financial statements. The Company is currently evaluating the provisions of the amendments and the effect on its future consolidated financial statements.</w:t>
      </w:r>
    </w:p>
    <w:p>
      <w:pPr>
        <w:spacing w:after="0" w:line="205"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effect on the Company’s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29, 2024, the Company’s wholly owned subsidiary, Simply Good Foods, USA, Inc. entered into a Purchase Agreement to acquire OWYN, a plant-based protein food company, for approximately $280.0 million. On June 13, 2024, pursuant to the Purchase Agreement, the Company completed the OWYN Acquisition by acquiring 100% of the equity interests for a cash purchase price at closing of $281.9 million, subject to certain customary post-closing adjustments. We acquired OWYN as a part of our vision to lead the nutritious snacking movement with trusted brands that offer a variety of convenient, innovative, great-tasting, better-for-you snacks and meal replacements that will now offer plant-based products to a wider market of consumers.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OWYN Acquisition was funded through a combination of incremental borrowings under our outstanding Term Facility, as defined below, totaling $250.0 million and cash on hand. During the thirteen weeks ended March 1, 2025, the Company received a post-closing release from escrow of approximately $1.7 million related to net working capital adjustments, resulting in a total net consideration paid of $280.2 million as of March 1, 2025. Business transaction costs within the Consolidated Statements of Operations and Comprehensive Income for the twenty-six weeks ended March 1, 2025, were $0.8 million, which consisted of legal, accounting, and other costs.</w:t>
      </w:r>
    </w:p>
    <w:p>
      <w:pPr>
        <w:spacing w:after="0" w:line="21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OWYN Acquisition was accounted for as a business combination under ASC 805, Business Combinations (“ASC 805”), which requires, among other things, assets acquired and liabilities assumed to be measured at their acquisition date fair value. The following table sets forth the preliminary purchase price allocation of the OWYN Acquisition to the estimated fair value of the net assets acquired at the date of the Acquisition, in thousands. The preliminary purchase price allocation may be adjusted as a result of the finalization of the Company’s purchase price allocation procedures related to the assets acquired and liabilities assumed; including, but not limited to, certain customary post-closing adjustments such as the finalization of working capital, tax return finalization, and other adjustments.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preliminary June 13, 2024, fair value is as follows:</w:t>
      </w:r>
    </w:p>
    <w:p>
      <w:pPr>
        <w:spacing w:after="0" w:line="351" w:lineRule="exact"/>
        <w:rPr>
          <w:sz w:val="20"/>
          <w:szCs w:val="20"/>
          <w:color w:val="auto"/>
        </w:rPr>
      </w:pPr>
    </w:p>
    <w:tbl>
      <w:tblPr>
        <w:tblLayout w:type="fixed"/>
        <w:tblInd w:w="940" w:type="dxa"/>
        <w:tblCellMar>
          <w:top w:w="0" w:type="dxa"/>
          <w:left w:w="0" w:type="dxa"/>
          <w:bottom w:w="0" w:type="dxa"/>
          <w:right w:w="0" w:type="dxa"/>
        </w:tblCellMar>
      </w:tblPr>
      <w:tr>
        <w:trPr>
          <w:trHeight w:val="21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acquired:</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w:t>
            </w:r>
          </w:p>
        </w:tc>
      </w:tr>
      <w:tr>
        <w:trPr>
          <w:trHeight w:val="26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14,214</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r>
              <w:rPr>
                <w:rFonts w:ascii="Times New Roman" w:cs="Times New Roman" w:eastAsia="Times New Roman" w:hAnsi="Times New Roman"/>
                <w:sz w:val="21"/>
                <w:szCs w:val="21"/>
                <w:color w:val="auto"/>
                <w:vertAlign w:val="superscript"/>
              </w:rPr>
              <w:t>(1)</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38,955</w:t>
            </w:r>
          </w:p>
        </w:tc>
      </w:tr>
      <w:tr>
        <w:trPr>
          <w:trHeight w:val="26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assets</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70"/>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r>
              <w:rPr>
                <w:rFonts w:ascii="Times New Roman" w:cs="Times New Roman" w:eastAsia="Times New Roman" w:hAnsi="Times New Roman"/>
                <w:sz w:val="21"/>
                <w:szCs w:val="21"/>
                <w:color w:val="auto"/>
                <w:vertAlign w:val="superscript"/>
              </w:rPr>
              <w:t>(2)</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243,626</w:t>
            </w:r>
          </w:p>
        </w:tc>
      </w:tr>
      <w:tr>
        <w:trPr>
          <w:trHeight w:val="27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assets</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6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assumed:</w:t>
            </w: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20,378</w:t>
            </w:r>
          </w:p>
        </w:tc>
      </w:tr>
      <w:tr>
        <w:trPr>
          <w:trHeight w:val="267"/>
        </w:trPr>
        <w:tc>
          <w:tcPr>
            <w:tcW w:w="8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5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liability</w:t>
            </w:r>
            <w:r>
              <w:rPr>
                <w:rFonts w:ascii="Times New Roman" w:cs="Times New Roman" w:eastAsia="Times New Roman" w:hAnsi="Times New Roman"/>
                <w:sz w:val="21"/>
                <w:szCs w:val="21"/>
                <w:color w:val="auto"/>
                <w:vertAlign w:val="superscript"/>
              </w:rPr>
              <w:t>(3)</w:t>
            </w:r>
          </w:p>
        </w:tc>
        <w:tc>
          <w:tcPr>
            <w:tcW w:w="5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41,513</w:t>
            </w:r>
          </w:p>
        </w:tc>
      </w:tr>
      <w:tr>
        <w:trPr>
          <w:trHeight w:val="247"/>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identifiable net assets</w:t>
            </w:r>
          </w:p>
        </w:tc>
        <w:tc>
          <w:tcPr>
            <w:tcW w:w="5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233,332</w:t>
            </w:r>
          </w:p>
        </w:tc>
      </w:tr>
      <w:tr>
        <w:trPr>
          <w:trHeight w:val="27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r>
              <w:rPr>
                <w:rFonts w:ascii="Times New Roman" w:cs="Times New Roman" w:eastAsia="Times New Roman" w:hAnsi="Times New Roman"/>
                <w:sz w:val="21"/>
                <w:szCs w:val="21"/>
                <w:color w:val="auto"/>
                <w:vertAlign w:val="superscript"/>
              </w:rPr>
              <w:t>(4)</w:t>
            </w: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46,840</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 and liabilities assumed</w:t>
            </w:r>
          </w:p>
        </w:tc>
        <w:tc>
          <w:tcPr>
            <w:tcW w:w="5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280,172</w:t>
            </w:r>
          </w:p>
        </w:tc>
      </w:tr>
      <w:tr>
        <w:trPr>
          <w:trHeight w:val="21"/>
        </w:trPr>
        <w:tc>
          <w:tcPr>
            <w:tcW w:w="8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4" w:lineRule="exact"/>
        <w:rPr>
          <w:sz w:val="20"/>
          <w:szCs w:val="20"/>
          <w:color w:val="auto"/>
        </w:rPr>
      </w:pPr>
    </w:p>
    <w:p>
      <w:pPr>
        <w:ind w:left="340" w:hanging="332"/>
        <w:spacing w:after="0" w:line="280" w:lineRule="auto"/>
        <w:tabs>
          <w:tab w:leader="none" w:pos="35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Inventory was estimated using the comparative sales method, which quantifies the fair value of inventory based on the expected sales price of the subject inventory, reduced for: (i) all costs expected to be incurred in its completion/disposition efforts; and (ii) a profit on those costs.</w:t>
      </w:r>
    </w:p>
    <w:p>
      <w:pPr>
        <w:spacing w:after="0" w:line="191" w:lineRule="exact"/>
        <w:rPr>
          <w:rFonts w:ascii="Times New Roman" w:cs="Times New Roman" w:eastAsia="Times New Roman" w:hAnsi="Times New Roman"/>
          <w:sz w:val="16"/>
          <w:szCs w:val="16"/>
          <w:color w:val="auto"/>
        </w:rPr>
      </w:pPr>
    </w:p>
    <w:p>
      <w:pPr>
        <w:jc w:val="both"/>
        <w:ind w:left="340" w:hanging="332"/>
        <w:spacing w:after="0" w:line="263" w:lineRule="auto"/>
        <w:tabs>
          <w:tab w:leader="none" w:pos="35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Intangible assets were recorded at fair value consistent with ASC 820 as a result of the OWYN Acquisition. Intangible assets consisted of $223.0 million of brand and $20.5 million of customer relationships. The useful lives of the intangible assets are disclosed in Note 5 of the Consolidated Financial Statements. The fair value measurement of the assets and liabilities was based on significant inputs not observable in the market and thus represent Level 3 measurements within the fair value measurement hierarchy. Level 3 fair market values were determined using a variety of information, including estimated future cash flows and market comparable data and companies.</w:t>
      </w:r>
    </w:p>
    <w:p>
      <w:pPr>
        <w:spacing w:after="0" w:line="206" w:lineRule="exact"/>
        <w:rPr>
          <w:rFonts w:ascii="Times New Roman" w:cs="Times New Roman" w:eastAsia="Times New Roman" w:hAnsi="Times New Roman"/>
          <w:sz w:val="16"/>
          <w:szCs w:val="16"/>
          <w:color w:val="auto"/>
        </w:rPr>
      </w:pPr>
    </w:p>
    <w:p>
      <w:pPr>
        <w:ind w:left="340"/>
        <w:spacing w:after="0" w:line="29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indefinite-lived brand asset was estimated using the multi-period excess earnings method of the income approach, wherein the net earnings attributable to the asset are isolated from other “contributory assets” in order to estimate the cash flows solely attributable to the asset over its remaining economic life.</w:t>
      </w:r>
    </w:p>
    <w:p>
      <w:pPr>
        <w:spacing w:after="0" w:line="177" w:lineRule="exact"/>
        <w:rPr>
          <w:rFonts w:ascii="Times New Roman" w:cs="Times New Roman" w:eastAsia="Times New Roman" w:hAnsi="Times New Roman"/>
          <w:sz w:val="16"/>
          <w:szCs w:val="16"/>
          <w:color w:val="auto"/>
        </w:rPr>
      </w:pPr>
    </w:p>
    <w:p>
      <w:pPr>
        <w:jc w:val="both"/>
        <w:ind w:left="340"/>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customer relationship intangible asset was estimated using the with/without method of the income approach, wherein the value is estimated by comparing the overall business cash flows with the customer relationships in place to the cash flows in a hypothetical scenario where the customer relationships are not in place. The significant assumptions used in estimating the fair value under the with/without method include the time to recreate the asset, profitability under both scenarios, and the estimated discount rate.</w:t>
      </w:r>
    </w:p>
    <w:p>
      <w:pPr>
        <w:spacing w:after="0" w:line="219"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as a result of the fair value attributable to the identifiable intangible assets, the deferred income tax liability was $41.5 million.</w:t>
      </w:r>
    </w:p>
    <w:p>
      <w:pPr>
        <w:spacing w:after="0" w:line="248" w:lineRule="exact"/>
        <w:rPr>
          <w:rFonts w:ascii="Times New Roman" w:cs="Times New Roman" w:eastAsia="Times New Roman" w:hAnsi="Times New Roman"/>
          <w:sz w:val="16"/>
          <w:szCs w:val="16"/>
          <w:color w:val="auto"/>
        </w:rPr>
      </w:pPr>
    </w:p>
    <w:p>
      <w:pPr>
        <w:jc w:val="both"/>
        <w:ind w:left="340" w:hanging="332"/>
        <w:spacing w:after="0" w:line="272" w:lineRule="auto"/>
        <w:tabs>
          <w:tab w:leader="none" w:pos="353"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was recorded at fair value consistent with ASC 820 as a result of the OWYN Acquisition. Amounts recorded for goodwill created in an acquisition structured as a stock purchase for tax are generally not expected to be deductible for tax purposes. As such, the acquired goodwill is not expected to be deductible for tax purposes. Goodwill represents the future economic benefits arising from other assets acquired that could not be individually identified and separately recognized.</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final determination of the fair value of the assets acquired and liabilities assumed is expected to be completed in the fourth fiscal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Measurement period adjustments are recognized in the reporting period in which the adjustments are determined and calculated as if the accounting had been completed at the acquisition date. During the thirteen weeks ended March 1, 2025, a measurement period adjustment of $1.7 million was recorded to goodwill. The final fair value determination of the assets acquired and liabilities assumed will be completed prior to one year from the transaction completion, consistent with ASC 805.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of OWYN’s operations have been included in the Simply Good Foods’ Consolidated Financial Statements since the acquisition date. The Company has not disclosed earnings from the acquired OWYN business as they are immaterial. The following table provides net sales from the acquired OWYN business included in the Company’s results:</w:t>
      </w:r>
    </w:p>
    <w:p>
      <w:pPr>
        <w:spacing w:after="0" w:line="383" w:lineRule="exact"/>
        <w:rPr>
          <w:sz w:val="20"/>
          <w:szCs w:val="20"/>
          <w:color w:val="auto"/>
        </w:rPr>
      </w:pPr>
    </w:p>
    <w:tbl>
      <w:tblPr>
        <w:tblLayout w:type="fixed"/>
        <w:tblInd w:w="2620" w:type="dxa"/>
        <w:tblCellMar>
          <w:top w:w="0" w:type="dxa"/>
          <w:left w:w="0" w:type="dxa"/>
          <w:bottom w:w="0" w:type="dxa"/>
          <w:right w:w="0" w:type="dxa"/>
        </w:tblCellMar>
      </w:tblPr>
      <w:tr>
        <w:trPr>
          <w:trHeight w:val="210"/>
        </w:trPr>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Thirteen Weeks Ended</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59"/>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2"/>
                <w:szCs w:val="22"/>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March 1, 2025</w:t>
            </w:r>
          </w:p>
        </w:tc>
        <w:tc>
          <w:tcPr>
            <w:tcW w:w="280" w:type="dxa"/>
            <w:vAlign w:val="bottom"/>
          </w:tcPr>
          <w:p>
            <w:pPr>
              <w:spacing w:after="0"/>
              <w:rPr>
                <w:sz w:val="22"/>
                <w:szCs w:val="22"/>
                <w:color w:val="auto"/>
              </w:rPr>
            </w:pPr>
          </w:p>
        </w:tc>
        <w:tc>
          <w:tcPr>
            <w:tcW w:w="156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March 1, 2025</w:t>
            </w:r>
          </w:p>
        </w:tc>
      </w:tr>
      <w:tr>
        <w:trPr>
          <w:trHeight w:val="213"/>
        </w:trPr>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33,806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66,060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Financial Information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 forma financial information is not intended to represent or be indicative of the actual results of operations of the combined business that would have been reported had the OWYN Acquisition been completed at the beginning of the fiscal year 2024, nor is it representative of future operating results of the Company.</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unaudited pro forma combined financial information is prepared based on ASC 805 period end guidance. The Company and the legacy OWYN entity have different fiscal year ends, with Simply Good Foods’ fiscal year being the last Saturday of August while the legacy OWYN business fiscal year was December 31. Because the year ends differ by more than 93 days, OWYN’s financial information is required to be adjusted to a period within 93 days of Simply Good Foods’ fiscal period end. In addition to these period end adjustments, the pro forma results include certain nonrecurring adjustments that were directly related to the business combination, including business transaction costs, as disclosed above.</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combined financial information presents combined results of the Company assuming the OWYN Acquisition occurred at the beginning of fiscal year 2024:</w:t>
      </w:r>
    </w:p>
    <w:p>
      <w:pPr>
        <w:spacing w:after="0" w:line="234" w:lineRule="exact"/>
        <w:rPr>
          <w:sz w:val="20"/>
          <w:szCs w:val="20"/>
          <w:color w:val="auto"/>
        </w:rPr>
      </w:pPr>
    </w:p>
    <w:tbl>
      <w:tblPr>
        <w:tblLayout w:type="fixed"/>
        <w:tblInd w:w="192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Thirteen Weeks Ended</w:t>
            </w:r>
          </w:p>
        </w:tc>
        <w:tc>
          <w:tcPr>
            <w:tcW w:w="140" w:type="dxa"/>
            <w:vAlign w:val="bottom"/>
          </w:tcPr>
          <w:p>
            <w:pPr>
              <w:spacing w:after="0"/>
              <w:rPr>
                <w:sz w:val="18"/>
                <w:szCs w:val="18"/>
                <w:color w:val="auto"/>
              </w:rPr>
            </w:pPr>
          </w:p>
        </w:tc>
        <w:tc>
          <w:tcPr>
            <w:tcW w:w="1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Twenty-Six Weeks Ended</w:t>
            </w:r>
          </w:p>
        </w:tc>
      </w:tr>
      <w:tr>
        <w:trPr>
          <w:trHeight w:val="229"/>
        </w:trPr>
        <w:tc>
          <w:tcPr>
            <w:tcW w:w="3240" w:type="dxa"/>
            <w:vAlign w:val="bottom"/>
            <w:gridSpan w:val="2"/>
          </w:tcPr>
          <w:p>
            <w:pPr>
              <w:ind w:left="6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9"/>
                <w:szCs w:val="19"/>
                <w:color w:val="auto"/>
              </w:rPr>
            </w:pP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February 24, 2024</w:t>
            </w:r>
          </w:p>
        </w:tc>
        <w:tc>
          <w:tcPr>
            <w:tcW w:w="140" w:type="dxa"/>
            <w:vAlign w:val="bottom"/>
          </w:tcPr>
          <w:p>
            <w:pPr>
              <w:spacing w:after="0"/>
              <w:rPr>
                <w:sz w:val="19"/>
                <w:szCs w:val="19"/>
                <w:color w:val="auto"/>
              </w:rPr>
            </w:pPr>
          </w:p>
        </w:tc>
        <w:tc>
          <w:tcPr>
            <w:tcW w:w="190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February 24, 2024</w:t>
            </w:r>
          </w:p>
        </w:tc>
      </w:tr>
      <w:tr>
        <w:trPr>
          <w:trHeight w:val="229"/>
        </w:trPr>
        <w:tc>
          <w:tcPr>
            <w:tcW w:w="31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sales</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338,851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669,508</w:t>
            </w:r>
          </w:p>
        </w:tc>
      </w:tr>
      <w:tr>
        <w:trPr>
          <w:trHeight w:val="210"/>
        </w:trPr>
        <w:tc>
          <w:tcPr>
            <w:tcW w:w="32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57,172</w:t>
            </w:r>
          </w:p>
        </w:tc>
      </w:tr>
    </w:tbl>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Revenue from transactions with external customers for each of the Company’s products would be impracticable to disclose and management does not view its business by product line. The following is a summary of revenue disaggregated by geographic area and brands:</w:t>
      </w:r>
    </w:p>
    <w:p>
      <w:pPr>
        <w:spacing w:after="0" w:line="288"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color w:val="auto"/>
              </w:rPr>
              <w:t>Thirteen Weeks Ended</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53"/>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March 1, 2025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24, 2024</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March 1, 2025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24, 2024</w:t>
            </w:r>
          </w:p>
        </w:tc>
      </w:tr>
      <w:tr>
        <w:trPr>
          <w:trHeight w:val="253"/>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7"/>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Atkins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108,650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122,755</w:t>
            </w:r>
          </w:p>
        </w:tc>
        <w:tc>
          <w:tcPr>
            <w:tcW w:w="14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216,818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242,253</w:t>
            </w:r>
          </w:p>
        </w:tc>
      </w:tr>
      <w:tr>
        <w:trPr>
          <w:trHeight w:val="273"/>
        </w:trPr>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Quest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210,771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180,874</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402,708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362,337</w:t>
            </w:r>
          </w:p>
        </w:tc>
      </w:tr>
      <w:tr>
        <w:trPr>
          <w:trHeight w:val="267"/>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OWYN</w:t>
            </w: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33,806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36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North America</w:t>
            </w:r>
          </w:p>
        </w:tc>
        <w:tc>
          <w:tcPr>
            <w:tcW w:w="18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353,227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303,629</w:t>
            </w:r>
          </w:p>
        </w:tc>
        <w:tc>
          <w:tcPr>
            <w:tcW w:w="1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685,586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604,590</w:t>
            </w:r>
          </w:p>
        </w:tc>
      </w:tr>
      <w:tr>
        <w:trPr>
          <w:trHeight w:val="267"/>
        </w:trPr>
        <w:tc>
          <w:tcPr>
            <w:tcW w:w="3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6,428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8,570</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15,337</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16,287</w:t>
            </w:r>
          </w:p>
        </w:tc>
      </w:tr>
      <w:tr>
        <w:trPr>
          <w:trHeight w:val="251"/>
        </w:trPr>
        <w:tc>
          <w:tcPr>
            <w:tcW w:w="36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net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359,655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312,199</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620,877</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780" w:right="700" w:hanging="86"/>
        <w:spacing w:after="0" w:line="228" w:lineRule="auto"/>
        <w:tabs>
          <w:tab w:leader="none" w:pos="848"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32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Charges related to credit losses on accounts receivable from transactions with external customers were $(0.6) million and $0.1 million for the thirteen and twenty-six weeks ended March 1, 2025, respectively. Charges related to credit losses on accounts receivable from transactions with external customers were $(0.2) million and $(0.1) million for the thirteen and twenty-six weeks ended February 24, 2024, respectively. As of March 1, 2025, and August 31, 2024, the allowance for credit losses related to accounts receivable were $1.2 million and $0.7 million,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Intangibles</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Changes to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during the twenty-six weeks ended March 1, 2025, were as follows:</w:t>
      </w:r>
    </w:p>
    <w:p>
      <w:pPr>
        <w:spacing w:after="0" w:line="297" w:lineRule="exact"/>
        <w:rPr>
          <w:sz w:val="20"/>
          <w:szCs w:val="20"/>
          <w:color w:val="auto"/>
        </w:rPr>
      </w:pPr>
    </w:p>
    <w:tbl>
      <w:tblPr>
        <w:tblLayout w:type="fixed"/>
        <w:tblInd w:w="3000" w:type="dxa"/>
        <w:tblCellMar>
          <w:top w:w="0" w:type="dxa"/>
          <w:left w:w="0" w:type="dxa"/>
          <w:bottom w:w="0" w:type="dxa"/>
          <w:right w:w="0" w:type="dxa"/>
        </w:tblCellMar>
      </w:tblPr>
      <w:tr>
        <w:trPr>
          <w:trHeight w:val="215"/>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8"/>
                <w:szCs w:val="18"/>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Goodwill</w:t>
            </w:r>
          </w:p>
        </w:tc>
      </w:tr>
      <w:tr>
        <w:trPr>
          <w:trHeight w:val="212"/>
        </w:trPr>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August 31, 2024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591,687</w:t>
            </w:r>
          </w:p>
        </w:tc>
      </w:tr>
      <w:tr>
        <w:trPr>
          <w:trHeight w:val="213"/>
        </w:trPr>
        <w:tc>
          <w:tcPr>
            <w:tcW w:w="3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of business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r>
      <w:tr>
        <w:trPr>
          <w:trHeight w:val="244"/>
        </w:trPr>
        <w:tc>
          <w:tcPr>
            <w:tcW w:w="3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March 1, 2025</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589,974</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change in the Company's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from August 31, 2024, to March 1, 2025, is the result of the acquisition method of accounting related to the OWYN Acquisition, as described in Note 3. There were no impairment charges related to goodwill during the thirteen and twenty-six weeks ended March 1, 2025, or since the inception of the Company.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Intangible assets, net </w:t>
      </w:r>
      <w:r>
        <w:rPr>
          <w:rFonts w:ascii="Times New Roman" w:cs="Times New Roman" w:eastAsia="Times New Roman" w:hAnsi="Times New Roman"/>
          <w:sz w:val="18"/>
          <w:szCs w:val="18"/>
          <w:color w:val="auto"/>
        </w:rPr>
        <w:t>in the Consolidated Balance Sheets consists of the following:</w:t>
      </w:r>
    </w:p>
    <w:p>
      <w:pPr>
        <w:spacing w:after="0" w:line="178" w:lineRule="exact"/>
        <w:rPr>
          <w:sz w:val="20"/>
          <w:szCs w:val="20"/>
          <w:color w:val="auto"/>
        </w:rPr>
      </w:pPr>
    </w:p>
    <w:tbl>
      <w:tblPr>
        <w:tblLayout w:type="fixed"/>
        <w:tblInd w:w="90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March 1, 2025</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7"/>
                <w:szCs w:val="17"/>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1,197,000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71,655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122,845</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13,374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8,626</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4,939</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1,426,419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96,968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1,329,451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August 31, 2024</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4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1,197,000</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65,171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129,329</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12,415</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9,585</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4,921</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1,425,973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89,507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1,336,466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Changes in </w:t>
      </w: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 xml:space="preserve"> during the twenty-six weeks ended March 1, 2025, were primarily related to recurring amortization expense. Amortization expense related to intangible assets was $3.7 million and $3.8 million for the thirteen weeks ended March 1, 2025, and February 24, 2024, respectively, and $7.5 million and $7.7 million for the twenty-six weeks ended March 1, 2025, and February 24, 2024, respectively. There were no impairment charges related to its finite-lived intangible assets during the thirteen and twenty-six weeks ended March 1, 2025, and February 24, 2024.</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Estimated future amortization for each of the next five fiscal years and thereafter is as follows:</w:t>
      </w:r>
    </w:p>
    <w:p>
      <w:pPr>
        <w:spacing w:after="0" w:line="336" w:lineRule="exact"/>
        <w:rPr>
          <w:sz w:val="20"/>
          <w:szCs w:val="20"/>
          <w:color w:val="auto"/>
        </w:rPr>
      </w:pPr>
    </w:p>
    <w:tbl>
      <w:tblPr>
        <w:tblLayout w:type="fixed"/>
        <w:tblInd w:w="2940" w:type="dxa"/>
        <w:tblCellMar>
          <w:top w:w="0" w:type="dxa"/>
          <w:left w:w="0" w:type="dxa"/>
          <w:bottom w:w="0" w:type="dxa"/>
          <w:right w:w="0" w:type="dxa"/>
        </w:tblCellMar>
      </w:tblPr>
      <w:tr>
        <w:trPr>
          <w:trHeight w:val="21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Amortization</w:t>
            </w:r>
          </w:p>
        </w:tc>
      </w:tr>
      <w:tr>
        <w:trPr>
          <w:trHeight w:val="25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Remainder of 2025</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7,456</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14,891</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14,891</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14,891</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14,891</w:t>
            </w:r>
          </w:p>
        </w:tc>
      </w:tr>
      <w:tr>
        <w:trPr>
          <w:trHeight w:val="267"/>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2030 and 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64,546</w:t>
            </w:r>
          </w:p>
        </w:tc>
      </w:tr>
      <w:tr>
        <w:trPr>
          <w:trHeight w:val="251"/>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131,566</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Long-Term Debt and Line of Credit</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7, 2017, the Company (through certain of its subsidiaries) entered into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729"/>
        <w:spacing w:after="0" w:line="258" w:lineRule="auto"/>
        <w:rPr>
          <w:sz w:val="20"/>
          <w:szCs w:val="20"/>
          <w:color w:val="auto"/>
        </w:rPr>
      </w:pPr>
      <w:r>
        <w:rPr>
          <w:rFonts w:ascii="Times New Roman" w:cs="Times New Roman" w:eastAsia="Times New Roman" w:hAnsi="Times New Roman"/>
          <w:sz w:val="18"/>
          <w:szCs w:val="18"/>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31, 2025, the Company entered into a seventh amendment (the “2025 Repricing Amendment”) to the Credit Agreement to reduce the interest rate per annum applicable to the Initial Term Loans outstanding under the Credit Agreement immediately prior to the effective date of the 2025 Repricing Amendment.</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Effective as of the 2025 Repricing Amendment, the interest rate per annum for the Initial Term Loans is based on either:</w:t>
      </w:r>
    </w:p>
    <w:p>
      <w:pPr>
        <w:spacing w:after="0" w:line="90" w:lineRule="exact"/>
        <w:rPr>
          <w:sz w:val="20"/>
          <w:szCs w:val="20"/>
          <w:color w:val="auto"/>
        </w:rPr>
      </w:pPr>
    </w:p>
    <w:p>
      <w:pPr>
        <w:jc w:val="both"/>
        <w:ind w:left="660" w:hanging="328"/>
        <w:spacing w:after="0" w:line="266" w:lineRule="auto"/>
        <w:tabs>
          <w:tab w:leader="none" w:pos="6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1.00% margin for the Term Loan or (y) 2.00% margin for the Revolving Credit Facility; or</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subject to a floor of 0.50%, plus (x) 2.00% margin for the Term Loan or (y) 3.00% margin for the Revolving Credit Facility.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connection with the closing of the 2025 Repricing Amendment, the Company expensed $0.7 million of non-deferrable third-party costs through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covenants as of March 1, 2025, and August 31, 2024, respectively.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47" w:lineRule="exact"/>
        <w:rPr>
          <w:sz w:val="20"/>
          <w:szCs w:val="20"/>
          <w:color w:val="auto"/>
        </w:rPr>
      </w:pPr>
    </w:p>
    <w:tbl>
      <w:tblPr>
        <w:tblLayout w:type="fixed"/>
        <w:tblInd w:w="1380" w:type="dxa"/>
        <w:tblCellMar>
          <w:top w:w="0" w:type="dxa"/>
          <w:left w:w="0" w:type="dxa"/>
          <w:bottom w:w="0" w:type="dxa"/>
          <w:right w:w="0" w:type="dxa"/>
        </w:tblCellMar>
      </w:tblPr>
      <w:tr>
        <w:trPr>
          <w:trHeight w:val="215"/>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March 1, 2025</w:t>
            </w:r>
          </w:p>
        </w:tc>
        <w:tc>
          <w:tcPr>
            <w:tcW w:w="140" w:type="dxa"/>
            <w:vAlign w:val="bottom"/>
          </w:tcPr>
          <w:p>
            <w:pPr>
              <w:spacing w:after="0"/>
              <w:rPr>
                <w:sz w:val="18"/>
                <w:szCs w:val="18"/>
                <w:color w:val="auto"/>
              </w:rPr>
            </w:pP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31, 2024</w:t>
            </w:r>
          </w:p>
        </w:tc>
      </w:tr>
      <w:tr>
        <w:trPr>
          <w:trHeight w:val="213"/>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Facility (effective rate of 6.3% at March 1, 2025)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400,000</w:t>
            </w:r>
          </w:p>
        </w:tc>
      </w:tr>
      <w:tr>
        <w:trPr>
          <w:trHeight w:val="213"/>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Deferred financing fees</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2,515</w:t>
            </w:r>
          </w:p>
        </w:tc>
      </w:tr>
      <w:tr>
        <w:trPr>
          <w:trHeight w:val="237"/>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fees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298,537</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397,485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not required to make principal payments on the Term Facility over the twelve months following the period ended March 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of the Term Facility is due upon its maturity in March 2027.</w:t>
      </w:r>
    </w:p>
    <w:p>
      <w:pPr>
        <w:spacing w:after="0" w:line="2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1, 2025, the Company had letters of credit in the amount of $0.9 million outstanding. These letters of credit offset against the $75.0 million availability of the Revolving Credit Facility and exist to support two of the Company’s leased buildings. No amounts were drawn against these letters of credit as of March 1, 2025.</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March 1, 2025, and August 31, 2024, the book value of the Company’s debt approximated fair value. The estimated fair value of the Term Loan is valued based on observable inputs and classified as Level 2 in the fair value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of Financial Instruments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11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the balance sheet such as accounts receivable, cash and cash equivalents, and others approximate fair value as of March 1, 2025.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expense and the effective tax rate resulting from operations were as follows:</w:t>
      </w:r>
    </w:p>
    <w:p>
      <w:pPr>
        <w:spacing w:after="0" w:line="95" w:lineRule="exact"/>
        <w:rPr>
          <w:sz w:val="20"/>
          <w:szCs w:val="20"/>
          <w:color w:val="auto"/>
        </w:rPr>
      </w:pPr>
    </w:p>
    <w:tbl>
      <w:tblPr>
        <w:tblLayout w:type="fixed"/>
        <w:tblInd w:w="200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39"/>
        </w:trPr>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March 1, 2025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February 24, 2024</w:t>
            </w:r>
          </w:p>
        </w:tc>
      </w:tr>
      <w:tr>
        <w:trPr>
          <w:trHeight w:val="253"/>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96,653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90,496</w:t>
            </w:r>
          </w:p>
        </w:tc>
      </w:tr>
      <w:tr>
        <w:trPr>
          <w:trHeight w:val="267"/>
        </w:trPr>
        <w:tc>
          <w:tcPr>
            <w:tcW w:w="3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21,784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21,812</w:t>
            </w:r>
          </w:p>
        </w:tc>
      </w:tr>
      <w:tr>
        <w:trPr>
          <w:trHeight w:val="273"/>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24.1 %</w:t>
            </w:r>
          </w:p>
        </w:tc>
      </w:tr>
    </w:tbl>
    <w:p>
      <w:pPr>
        <w:spacing w:after="0" w:line="3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effective tax rate for the twenty-six weeks ended March 1, 2025, was 1.6% lower than the effective tax rate for the twenty-six weeks ended February 24, 2024, which was primarily driven by permanent differences, principally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54"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Thirteen Weeks Ended</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Twenty-Six Weeks Ended</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60" w:type="dxa"/>
            <w:vAlign w:val="bottom"/>
            <w:gridSpan w:val="2"/>
          </w:tcPr>
          <w:p>
            <w:pPr>
              <w:spacing w:after="0" w:line="148" w:lineRule="exact"/>
              <w:rPr>
                <w:sz w:val="20"/>
                <w:szCs w:val="20"/>
                <w:color w:val="auto"/>
              </w:rPr>
            </w:pPr>
            <w:r>
              <w:rPr>
                <w:rFonts w:ascii="Times New Roman" w:cs="Times New Roman" w:eastAsia="Times New Roman" w:hAnsi="Times New Roman"/>
                <w:sz w:val="16"/>
                <w:szCs w:val="16"/>
                <w:color w:val="auto"/>
              </w:rPr>
              <w:t>Statements of Operations</w:t>
            </w:r>
          </w:p>
        </w:tc>
        <w:tc>
          <w:tcPr>
            <w:tcW w:w="14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auto"/>
              </w:rPr>
              <w:t>March 1, 2025</w:t>
            </w:r>
          </w:p>
        </w:tc>
        <w:tc>
          <w:tcPr>
            <w:tcW w:w="100" w:type="dxa"/>
            <w:vAlign w:val="bottom"/>
          </w:tcPr>
          <w:p>
            <w:pPr>
              <w:spacing w:after="0"/>
              <w:rPr>
                <w:sz w:val="12"/>
                <w:szCs w:val="12"/>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February 24, 2024</w:t>
            </w:r>
          </w:p>
        </w:tc>
        <w:tc>
          <w:tcPr>
            <w:tcW w:w="14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March 1, 2025</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February 24, 2024</w:t>
            </w:r>
          </w:p>
        </w:tc>
        <w:tc>
          <w:tcPr>
            <w:tcW w:w="0" w:type="dxa"/>
            <w:vAlign w:val="bottom"/>
          </w:tcPr>
          <w:p>
            <w:pPr>
              <w:spacing w:after="0"/>
              <w:rPr>
                <w:sz w:val="1"/>
                <w:szCs w:val="1"/>
                <w:color w:val="auto"/>
              </w:rPr>
            </w:pPr>
          </w:p>
        </w:tc>
      </w:tr>
      <w:tr>
        <w:trPr>
          <w:trHeight w:val="213"/>
        </w:trPr>
        <w:tc>
          <w:tcPr>
            <w:tcW w:w="2080" w:type="dxa"/>
            <w:vAlign w:val="bottom"/>
            <w:gridSpan w:val="2"/>
            <w:vMerge w:val="continue"/>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Caption</w:t>
            </w: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Lease cost</w:t>
            </w:r>
          </w:p>
        </w:tc>
        <w:tc>
          <w:tcPr>
            <w:tcW w:w="226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i w:val="1"/>
                <w:iCs w:val="1"/>
                <w:color w:val="auto"/>
              </w:rPr>
              <w:t>Cost of goods sold and General</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1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4,419</w:t>
            </w:r>
          </w:p>
        </w:tc>
        <w:tc>
          <w:tcPr>
            <w:tcW w:w="120" w:type="dxa"/>
            <w:vAlign w:val="bottom"/>
          </w:tcPr>
          <w:p>
            <w:pPr>
              <w:spacing w:after="0"/>
              <w:rPr>
                <w:sz w:val="14"/>
                <w:szCs w:val="14"/>
                <w:color w:val="auto"/>
              </w:rPr>
            </w:pPr>
          </w:p>
        </w:tc>
        <w:tc>
          <w:tcPr>
            <w:tcW w:w="82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4,514</w:t>
            </w:r>
          </w:p>
        </w:tc>
        <w:tc>
          <w:tcPr>
            <w:tcW w:w="0" w:type="dxa"/>
            <w:vAlign w:val="bottom"/>
          </w:tcPr>
          <w:p>
            <w:pPr>
              <w:spacing w:after="0"/>
              <w:rPr>
                <w:sz w:val="1"/>
                <w:szCs w:val="1"/>
                <w:color w:val="auto"/>
              </w:rPr>
            </w:pPr>
          </w:p>
        </w:tc>
      </w:tr>
      <w:tr>
        <w:trPr>
          <w:trHeight w:val="214"/>
        </w:trPr>
        <w:tc>
          <w:tcPr>
            <w:tcW w:w="2080" w:type="dxa"/>
            <w:vAlign w:val="bottom"/>
            <w:gridSpan w:val="2"/>
            <w:vMerge w:val="continue"/>
          </w:tcPr>
          <w:p>
            <w:pPr>
              <w:spacing w:after="0"/>
              <w:rPr>
                <w:sz w:val="18"/>
                <w:szCs w:val="18"/>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and administrative</w:t>
            </w:r>
          </w:p>
        </w:tc>
        <w:tc>
          <w:tcPr>
            <w:tcW w:w="1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Variable lease cost </w:t>
            </w:r>
            <w:r>
              <w:rPr>
                <w:rFonts w:ascii="Times New Roman" w:cs="Times New Roman" w:eastAsia="Times New Roman" w:hAnsi="Times New Roman"/>
                <w:sz w:val="21"/>
                <w:szCs w:val="21"/>
                <w:color w:val="auto"/>
                <w:vertAlign w:val="superscript"/>
              </w:rPr>
              <w:t>(1)</w:t>
            </w:r>
          </w:p>
        </w:tc>
        <w:tc>
          <w:tcPr>
            <w:tcW w:w="22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i w:val="1"/>
                <w:iCs w:val="1"/>
                <w:color w:val="auto"/>
              </w:rPr>
              <w:t>Cost of goods sold and General</w:t>
            </w: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1,750</w:t>
            </w:r>
          </w:p>
        </w:tc>
        <w:tc>
          <w:tcPr>
            <w:tcW w:w="0" w:type="dxa"/>
            <w:vAlign w:val="bottom"/>
          </w:tcPr>
          <w:p>
            <w:pPr>
              <w:spacing w:after="0"/>
              <w:rPr>
                <w:sz w:val="1"/>
                <w:szCs w:val="1"/>
                <w:color w:val="auto"/>
              </w:rPr>
            </w:pPr>
          </w:p>
        </w:tc>
      </w:tr>
      <w:tr>
        <w:trPr>
          <w:trHeight w:val="216"/>
        </w:trPr>
        <w:tc>
          <w:tcPr>
            <w:tcW w:w="2080" w:type="dxa"/>
            <w:vAlign w:val="bottom"/>
            <w:gridSpan w:val="2"/>
            <w:vMerge w:val="continue"/>
            <w:shd w:val="clear" w:color="auto" w:fill="CCEEFF"/>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6,477</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6,264</w:t>
            </w: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8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Amortization of right-of-</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i w:val="1"/>
                <w:iCs w:val="1"/>
                <w:color w:val="auto"/>
              </w:rPr>
              <w:t>Cost of goods sold</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4"/>
                <w:szCs w:val="14"/>
                <w:color w:val="auto"/>
              </w:rPr>
            </w:pPr>
          </w:p>
        </w:tc>
        <w:tc>
          <w:tcPr>
            <w:tcW w:w="5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3"/>
        </w:trPr>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use assets</w:t>
            </w:r>
          </w:p>
        </w:tc>
        <w:tc>
          <w:tcPr>
            <w:tcW w:w="2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Interest expense</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7"/>
        </w:trPr>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05"/>
        </w:trPr>
        <w:tc>
          <w:tcPr>
            <w:tcW w:w="1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6,477</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6,371</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740" w:hanging="140"/>
        <w:spacing w:after="0"/>
        <w:tabs>
          <w:tab w:leader="none" w:pos="74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Variable lease cost primarily consists of common area maintenance, such as cleaning and repairs.</w:t>
      </w:r>
    </w:p>
    <w:p>
      <w:pPr>
        <w:spacing w:after="0" w:line="3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right-of-use assets and corresponding liabilities related to both operating and finance leases are as follows:</w:t>
      </w:r>
    </w:p>
    <w:p>
      <w:pPr>
        <w:spacing w:after="0" w:line="336"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Balance Sheets Caption</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March 1, 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31, 2024</w:t>
            </w:r>
          </w:p>
        </w:tc>
        <w:tc>
          <w:tcPr>
            <w:tcW w:w="0" w:type="dxa"/>
            <w:vAlign w:val="bottom"/>
          </w:tcPr>
          <w:p>
            <w:pPr>
              <w:spacing w:after="0"/>
              <w:rPr>
                <w:sz w:val="1"/>
                <w:szCs w:val="1"/>
                <w:color w:val="auto"/>
              </w:rPr>
            </w:pPr>
          </w:p>
        </w:tc>
      </w:tr>
      <w:tr>
        <w:trPr>
          <w:trHeight w:val="25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Other long-term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31,728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35,097</w:t>
            </w:r>
          </w:p>
        </w:tc>
        <w:tc>
          <w:tcPr>
            <w:tcW w:w="0" w:type="dxa"/>
            <w:vAlign w:val="bottom"/>
          </w:tcPr>
          <w:p>
            <w:pPr>
              <w:spacing w:after="0"/>
              <w:rPr>
                <w:sz w:val="1"/>
                <w:szCs w:val="1"/>
                <w:color w:val="auto"/>
              </w:rPr>
            </w:pPr>
          </w:p>
        </w:tc>
      </w:tr>
      <w:tr>
        <w:trPr>
          <w:trHeight w:val="251"/>
        </w:trPr>
        <w:tc>
          <w:tcPr>
            <w:tcW w:w="2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lease assets</w:t>
            </w:r>
          </w:p>
        </w:tc>
        <w:tc>
          <w:tcPr>
            <w:tcW w:w="3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31,728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35,097</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720" w:type="dxa"/>
            <w:vAlign w:val="bottom"/>
            <w:gridSpan w:val="2"/>
            <w:vMerge w:val="continue"/>
          </w:tcPr>
          <w:p>
            <w:pPr>
              <w:spacing w:after="0"/>
              <w:rPr>
                <w:sz w:val="18"/>
                <w:szCs w:val="18"/>
                <w:color w:val="auto"/>
              </w:rPr>
            </w:pPr>
          </w:p>
        </w:tc>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Accrued expenses and 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4,432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5,494</w:t>
            </w:r>
          </w:p>
        </w:tc>
        <w:tc>
          <w:tcPr>
            <w:tcW w:w="0" w:type="dxa"/>
            <w:vAlign w:val="bottom"/>
          </w:tcPr>
          <w:p>
            <w:pPr>
              <w:spacing w:after="0"/>
              <w:rPr>
                <w:sz w:val="1"/>
                <w:szCs w:val="1"/>
                <w:color w:val="auto"/>
              </w:rPr>
            </w:pPr>
          </w:p>
        </w:tc>
      </w:tr>
      <w:tr>
        <w:trPr>
          <w:trHeight w:val="27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3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2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i w:val="1"/>
                <w:iCs w:val="1"/>
                <w:color w:val="auto"/>
              </w:rPr>
              <w:t>Other long-term liabilities</w:t>
            </w:r>
          </w:p>
        </w:tc>
        <w:tc>
          <w:tcPr>
            <w:tcW w:w="1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31,877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34,330</w:t>
            </w:r>
          </w:p>
        </w:tc>
        <w:tc>
          <w:tcPr>
            <w:tcW w:w="0" w:type="dxa"/>
            <w:vAlign w:val="bottom"/>
          </w:tcPr>
          <w:p>
            <w:pPr>
              <w:spacing w:after="0"/>
              <w:rPr>
                <w:sz w:val="1"/>
                <w:szCs w:val="1"/>
                <w:color w:val="auto"/>
              </w:rPr>
            </w:pPr>
          </w:p>
        </w:tc>
      </w:tr>
      <w:tr>
        <w:trPr>
          <w:trHeight w:val="251"/>
        </w:trPr>
        <w:tc>
          <w:tcPr>
            <w:tcW w:w="27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36,309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39,824</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maturities of lease liabilities as of March 1, 2025, were as follows:</w:t>
      </w:r>
    </w:p>
    <w:p>
      <w:pPr>
        <w:spacing w:after="0" w:line="336" w:lineRule="exact"/>
        <w:rPr>
          <w:sz w:val="20"/>
          <w:szCs w:val="20"/>
          <w:color w:val="auto"/>
        </w:rPr>
      </w:pPr>
    </w:p>
    <w:tbl>
      <w:tblPr>
        <w:tblLayout w:type="fixed"/>
        <w:tblInd w:w="2940" w:type="dxa"/>
        <w:tblCellMar>
          <w:top w:w="0" w:type="dxa"/>
          <w:left w:w="0" w:type="dxa"/>
          <w:bottom w:w="0" w:type="dxa"/>
          <w:right w:w="0" w:type="dxa"/>
        </w:tblCellMar>
      </w:tblPr>
      <w:tr>
        <w:trPr>
          <w:trHeight w:val="215"/>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Operating Leases</w:t>
            </w:r>
          </w:p>
        </w:tc>
      </w:tr>
      <w:tr>
        <w:trPr>
          <w:trHeight w:val="253"/>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 ending:</w:t>
            </w: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7"/>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Remainder of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2,972</w:t>
            </w:r>
          </w:p>
        </w:tc>
      </w:tr>
      <w:tr>
        <w:trPr>
          <w:trHeight w:val="27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6,783</w:t>
            </w:r>
          </w:p>
        </w:tc>
      </w:tr>
      <w:tr>
        <w:trPr>
          <w:trHeight w:val="26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6,936</w:t>
            </w:r>
          </w:p>
        </w:tc>
      </w:tr>
      <w:tr>
        <w:trPr>
          <w:trHeight w:val="27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6,267</w:t>
            </w:r>
          </w:p>
        </w:tc>
      </w:tr>
      <w:tr>
        <w:trPr>
          <w:trHeight w:val="26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6,183</w:t>
            </w:r>
          </w:p>
        </w:tc>
      </w:tr>
      <w:tr>
        <w:trPr>
          <w:trHeight w:val="27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14,679</w:t>
            </w:r>
          </w:p>
        </w:tc>
      </w:tr>
      <w:tr>
        <w:trPr>
          <w:trHeight w:val="250"/>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6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43,820</w:t>
            </w:r>
          </w:p>
        </w:tc>
      </w:tr>
      <w:tr>
        <w:trPr>
          <w:trHeight w:val="270"/>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(7,511)</w:t>
            </w:r>
          </w:p>
        </w:tc>
      </w:tr>
      <w:tr>
        <w:trPr>
          <w:trHeight w:val="22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36,309</w:t>
            </w:r>
          </w:p>
        </w:tc>
      </w:tr>
      <w:tr>
        <w:trPr>
          <w:trHeight w:val="21"/>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and finance leases were as follows:</w:t>
      </w:r>
    </w:p>
    <w:p>
      <w:pPr>
        <w:spacing w:after="0" w:line="338" w:lineRule="exact"/>
        <w:rPr>
          <w:sz w:val="20"/>
          <w:szCs w:val="20"/>
          <w:color w:val="auto"/>
        </w:rPr>
      </w:pPr>
    </w:p>
    <w:tbl>
      <w:tblPr>
        <w:tblLayout w:type="fixed"/>
        <w:tblInd w:w="1400" w:type="dxa"/>
        <w:tblCellMar>
          <w:top w:w="0" w:type="dxa"/>
          <w:left w:w="0" w:type="dxa"/>
          <w:bottom w:w="0" w:type="dxa"/>
          <w:right w:w="0" w:type="dxa"/>
        </w:tblCellMar>
      </w:tblPr>
      <w:tr>
        <w:trPr>
          <w:trHeight w:val="213"/>
        </w:trPr>
        <w:tc>
          <w:tcPr>
            <w:tcW w:w="5240" w:type="dxa"/>
            <w:vAlign w:val="bottom"/>
          </w:tcPr>
          <w:p>
            <w:pPr>
              <w:spacing w:after="0"/>
              <w:rPr>
                <w:sz w:val="18"/>
                <w:szCs w:val="18"/>
                <w:color w:val="auto"/>
              </w:rPr>
            </w:pP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March 1, 2025</w:t>
            </w: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31, 2024</w:t>
            </w:r>
          </w:p>
        </w:tc>
      </w:tr>
      <w:tr>
        <w:trPr>
          <w:trHeight w:val="253"/>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r>
      <w:tr>
        <w:trPr>
          <w:trHeight w:val="267"/>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73"/>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5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r>
      <w:tr>
        <w:trPr>
          <w:trHeight w:val="264"/>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bl>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and other information related to leases was as follows:</w:t>
      </w:r>
    </w:p>
    <w:p>
      <w:pPr>
        <w:spacing w:after="0" w:line="297" w:lineRule="exact"/>
        <w:rPr>
          <w:sz w:val="20"/>
          <w:szCs w:val="20"/>
          <w:color w:val="auto"/>
        </w:rPr>
      </w:pPr>
    </w:p>
    <w:tbl>
      <w:tblPr>
        <w:tblLayout w:type="fixed"/>
        <w:tblInd w:w="140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3"/>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March 1, 2025</w:t>
            </w:r>
          </w:p>
        </w:tc>
        <w:tc>
          <w:tcPr>
            <w:tcW w:w="12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February 24, 2024</w:t>
            </w:r>
          </w:p>
        </w:tc>
      </w:tr>
      <w:tr>
        <w:trPr>
          <w:trHeight w:val="212"/>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3"/>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6,040</w:t>
            </w:r>
          </w:p>
        </w:tc>
      </w:tr>
      <w:tr>
        <w:trPr>
          <w:trHeight w:val="219"/>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210"/>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enters into endorsement contracts with certain celebrity figures and social media influencers to promote and endorse the Quest, Atkins, and OWYN brands and product lines. These contracts contain endorsement fees, which are expensed ratably over the life of the contract, and performance fees, that are recognized at the time of achievement. Based on the terms of contracts in place and achievement of performance conditions as of March 1, 2025, the Company will be required to make payments of $1.8 million over the next year.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adopted a $50.0 million stock repurchase program on November 13, 2018. On April 13, 2022, and October 21, 2022, the Company announced that its Board of Directors had approved the addition of $50.0 million and $50.0 million, respectively, to its stock repurchase program, resulting in authorized stock repurchases of up to an aggregate of $150.0 million.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did not repurchase any shares of common stock during the twenty-six weeks ended March 1, 2025, or the twenty-six weeks ended February 24, 2024. As of March 1, 2025, approximately $71.5 million remained available under the stock repurchase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employee stock options and non-vested stock units.</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periods in which the Company has a net loss, diluted loss per share is based on the weighted average number of common shares issued and outstanding as the effect of including common stock equivalents outstanding would be anti-dilutive.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the numerators and denominators used in the computations of both basic and diluted earnings per share:</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5"/>
          </w:tcPr>
          <w:p>
            <w:pPr>
              <w:ind w:left="640"/>
              <w:spacing w:after="0"/>
              <w:rPr>
                <w:sz w:val="20"/>
                <w:szCs w:val="20"/>
                <w:color w:val="auto"/>
              </w:rPr>
            </w:pPr>
            <w:r>
              <w:rPr>
                <w:rFonts w:ascii="Times New Roman" w:cs="Times New Roman" w:eastAsia="Times New Roman" w:hAnsi="Times New Roman"/>
                <w:sz w:val="16"/>
                <w:szCs w:val="16"/>
                <w:color w:val="auto"/>
              </w:rPr>
              <w:t>Thirteen Weeks Ended</w:t>
            </w:r>
          </w:p>
        </w:tc>
        <w:tc>
          <w:tcPr>
            <w:tcW w:w="180" w:type="dxa"/>
            <w:vAlign w:val="bottom"/>
          </w:tcPr>
          <w:p>
            <w:pPr>
              <w:spacing w:after="0"/>
              <w:rPr>
                <w:sz w:val="18"/>
                <w:szCs w:val="18"/>
                <w:color w:val="auto"/>
              </w:rPr>
            </w:pPr>
          </w:p>
        </w:tc>
        <w:tc>
          <w:tcPr>
            <w:tcW w:w="292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Twenty-Six Weeks Ended</w:t>
            </w:r>
          </w:p>
        </w:tc>
        <w:tc>
          <w:tcPr>
            <w:tcW w:w="0" w:type="dxa"/>
            <w:vAlign w:val="bottom"/>
          </w:tcPr>
          <w:p>
            <w:pPr>
              <w:spacing w:after="0"/>
              <w:rPr>
                <w:sz w:val="1"/>
                <w:szCs w:val="1"/>
                <w:color w:val="auto"/>
              </w:rPr>
            </w:pPr>
          </w:p>
        </w:tc>
      </w:tr>
      <w:tr>
        <w:trPr>
          <w:trHeight w:val="21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March 1, 2025</w:t>
            </w:r>
          </w:p>
        </w:tc>
        <w:tc>
          <w:tcPr>
            <w:tcW w:w="1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24, 2024</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March 1, 2025</w:t>
            </w: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February 24, 2024</w:t>
            </w:r>
          </w:p>
        </w:tc>
        <w:tc>
          <w:tcPr>
            <w:tcW w:w="0" w:type="dxa"/>
            <w:vAlign w:val="bottom"/>
          </w:tcPr>
          <w:p>
            <w:pPr>
              <w:spacing w:after="0"/>
              <w:rPr>
                <w:sz w:val="1"/>
                <w:szCs w:val="1"/>
                <w:color w:val="auto"/>
              </w:rPr>
            </w:pPr>
          </w:p>
        </w:tc>
      </w:tr>
      <w:tr>
        <w:trPr>
          <w:trHeight w:val="25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 computation:</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74,869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68,684</w:t>
            </w:r>
          </w:p>
        </w:tc>
        <w:tc>
          <w:tcPr>
            <w:tcW w:w="0" w:type="dxa"/>
            <w:vAlign w:val="bottom"/>
          </w:tcPr>
          <w:p>
            <w:pPr>
              <w:spacing w:after="0"/>
              <w:rPr>
                <w:sz w:val="1"/>
                <w:szCs w:val="1"/>
                <w:color w:val="auto"/>
              </w:rPr>
            </w:pPr>
          </w:p>
        </w:tc>
      </w:tr>
      <w:tr>
        <w:trPr>
          <w:trHeight w:val="26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101,040,501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99,905,643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100,724,155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99,767,769</w:t>
            </w:r>
          </w:p>
        </w:tc>
        <w:tc>
          <w:tcPr>
            <w:tcW w:w="0" w:type="dxa"/>
            <w:vAlign w:val="bottom"/>
          </w:tcPr>
          <w:p>
            <w:pPr>
              <w:spacing w:after="0"/>
              <w:rPr>
                <w:sz w:val="1"/>
                <w:szCs w:val="1"/>
                <w:color w:val="auto"/>
              </w:rPr>
            </w:pPr>
          </w:p>
        </w:tc>
      </w:tr>
      <w:tr>
        <w:trPr>
          <w:trHeight w:val="213"/>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earnings per share from 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0.74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0.69</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earnings per share computation:</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6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income available for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74,869</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68,684</w:t>
            </w:r>
          </w:p>
        </w:tc>
        <w:tc>
          <w:tcPr>
            <w:tcW w:w="0" w:type="dxa"/>
            <w:vAlign w:val="bottom"/>
          </w:tcPr>
          <w:p>
            <w:pPr>
              <w:spacing w:after="0"/>
              <w:rPr>
                <w:sz w:val="1"/>
                <w:szCs w:val="1"/>
                <w:color w:val="auto"/>
              </w:rPr>
            </w:pPr>
          </w:p>
        </w:tc>
      </w:tr>
      <w:tr>
        <w:trPr>
          <w:trHeight w:val="253"/>
        </w:trPr>
        <w:tc>
          <w:tcPr>
            <w:tcW w:w="3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Numerator for diluted earnings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74,869</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68,684</w:t>
            </w:r>
          </w:p>
        </w:tc>
        <w:tc>
          <w:tcPr>
            <w:tcW w:w="0" w:type="dxa"/>
            <w:vAlign w:val="bottom"/>
          </w:tcPr>
          <w:p>
            <w:pPr>
              <w:spacing w:after="0"/>
              <w:rPr>
                <w:sz w:val="1"/>
                <w:szCs w:val="1"/>
                <w:color w:val="auto"/>
              </w:rPr>
            </w:pPr>
          </w:p>
        </w:tc>
      </w:tr>
      <w:tr>
        <w:trPr>
          <w:trHeight w:val="24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6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101,040,501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99,905,643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100,724,155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99,767,769</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Employee stock options</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643,584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1,185,131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777,751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1,189,346</w:t>
            </w:r>
          </w:p>
        </w:tc>
        <w:tc>
          <w:tcPr>
            <w:tcW w:w="0" w:type="dxa"/>
            <w:vAlign w:val="bottom"/>
          </w:tcPr>
          <w:p>
            <w:pPr>
              <w:spacing w:after="0"/>
              <w:rPr>
                <w:sz w:val="1"/>
                <w:szCs w:val="1"/>
                <w:color w:val="auto"/>
              </w:rPr>
            </w:pPr>
          </w:p>
        </w:tc>
      </w:tr>
      <w:tr>
        <w:trPr>
          <w:trHeight w:val="270"/>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Non-vested stock units</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137,144</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185,801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173,028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255,293</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 diluted</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101,821,229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101,276,575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101,674,934</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101,212,408</w:t>
            </w:r>
          </w:p>
        </w:tc>
        <w:tc>
          <w:tcPr>
            <w:tcW w:w="0" w:type="dxa"/>
            <w:vAlign w:val="bottom"/>
          </w:tcPr>
          <w:p>
            <w:pPr>
              <w:spacing w:after="0"/>
              <w:rPr>
                <w:sz w:val="1"/>
                <w:szCs w:val="1"/>
                <w:color w:val="auto"/>
              </w:rPr>
            </w:pPr>
          </w:p>
        </w:tc>
      </w:tr>
      <w:tr>
        <w:trPr>
          <w:trHeight w:val="251"/>
        </w:trPr>
        <w:tc>
          <w:tcPr>
            <w:tcW w:w="36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 earnings per share from 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Diluted earnings per share calculations for the thirteen and twenty-six week periods ended March 1, 2025, excluded 0.4 million and 0.7 million shares of common stock issuable upon exercise of stock options, respectively, that would have been anti-dilutive. Diluted earnings per share calculations for the thirteen and twenty-six week periods ended February 24, 2024, excluded 0.6 million and 0.8 million shares of common stock issuable upon exercise of stock options, respectively, that would have been anti-dilutive.</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Diluted earnings per share calculations for the thirteen and twenty-six week periods ended March 1, 2025, excluded an immaterial number of non-vested stock units that would have been anti-dilutive. Diluted earnings per share calculations for the thirteen and twenty-six week periods ended February 24, 2024, excluded an immaterial number of non-vested stock units that would have been anti-dilutive.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Omnibus Incentive Plan</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Stock-based compensation includes stock options, restricted stock units, performance stock unit awards, and stock appreciation rights, which are awarded to employees, directors, and consultants of the Company. Stock-based compensation expense is recognized on a straight-line basis over the requisite service period of the award based on their grant date fair value. Stock-based compensation expense is included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expense, which is the same financial statement caption where recipient’s other compensation is reported.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of $4.9 million and $4.6 million in the thirteen weeks ended March 1, 2025, and February 24, 2024, respectively, and $8.8 million and $8.7 million in the twenty-six weeks ended March 1, 2025, and February 24,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twenty-six weeks ended March 1, 2025:</w:t>
      </w:r>
    </w:p>
    <w:p>
      <w:pPr>
        <w:spacing w:after="0" w:line="32"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contractual life</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2,410,567</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20.75</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r>
        <w:trPr>
          <w:trHeight w:val="250"/>
        </w:trPr>
        <w:tc>
          <w:tcPr>
            <w:tcW w:w="3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(717,665)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14.12</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(19,694)</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40.07</w:t>
            </w:r>
          </w:p>
        </w:tc>
        <w:tc>
          <w:tcPr>
            <w:tcW w:w="14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March 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1,673,208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23.36</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March 1, 2025</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1,673,208</w:t>
            </w:r>
          </w:p>
        </w:tc>
        <w:tc>
          <w:tcPr>
            <w:tcW w:w="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23.36</w:t>
            </w:r>
          </w:p>
        </w:tc>
        <w:tc>
          <w:tcPr>
            <w:tcW w:w="14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5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March 1,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1,476,609</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21.55</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March 1, 2025, the Company had $1.4 million of total unrecognized compensation cost related to stock options that will be recognized over a weighted average period of 1.1 years. During the twenty-six weeks ended March 1, 2025, and February 24, 2024, the Company received $10.1 million and $3.0 million in cash from stock option exercises,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twenty-six weeks ended March 1, 2025:</w:t>
      </w:r>
    </w:p>
    <w:p>
      <w:pPr>
        <w:spacing w:after="0" w:line="73"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31, 2024</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546,271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37.38</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322,060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(239,630)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(15,865)</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38.08</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March 1, 2025</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612,836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1, 2025, the Company had $16.7 million of total unrecognized compensation cost related to restricted stock units that will be recognized over a weighted average period of 1.9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twenty-six weeks ended March 1, 2025, the Board of Directors granted performance stock units under the Company’s 2017 Omnibus Incentive Plan. The number of shares issuable as a result of grants of performance stock units is determined based on market-based criteria, performance-based criteria, or a combination of market-based criteria and performance-based criteria. The number of shares may be increased or decreased based on the results of these metrics in accordance with the terms established at the date of grant.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market-based criteria awards, the Company’s relative total shareholder return, or relative TSR, is measured for the Company and each company in the Russell 3000 Food &amp; Beverage index using the immediately preceding 30-day average share price at the beginning and end of the applicable three-year performance period. The percentile rank of the Company’s TSR relative to that of the peer group determines the percent of the target award earned, ranging between 0% and 200%. The related compensation expense is recognized ratably over the term regardless of whether or not the market condition is satisfied, provided the requisite service is rendered. These units are valued using a Monte Carlo simulation.</w:t>
      </w:r>
    </w:p>
    <w:p>
      <w:pPr>
        <w:sectPr>
          <w:pgSz w:w="11900" w:h="16838" w:orient="portrait"/>
          <w:cols w:equalWidth="0" w:num="1">
            <w:col w:w="11240"/>
          </w:cols>
          <w:pgMar w:left="320" w:top="121" w:right="339" w:bottom="1440" w:gutter="0" w:footer="0" w:header="0"/>
        </w:sect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Company financial performance-based criteria awards, we estimate the probability that the Company’s internally established performance criteria will be achieved at each reporting period and adjust compensation expense accordingly. The performance metrics achieved determines the percent of the target award earned, ranging between 0% and 200%. These units are valued using the closing market price of the Company’s common stock on the date of grant.</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market-based criteria and Company financial performance-based criteria awards, the Company’s TSR within the peer group and the performance metrics achieved determines the percent of the target award earned, ranging between 0% and 275%. We estimate the probability that the performance criteria will be achieved at each reporting period and adjust compensation expense accordingly. Should the performance-based criteria not be probable of being achieved, the compensation expense for the value of the award incorporating the market-based criteria is recognized ratably over the term, provided the requisite service is rendered. These units are valued using a Monte Carlo simulation.</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performance stock unit activity for the twenty-six weeks ended March 1, 2025:</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40" w:type="dxa"/>
            <w:vAlign w:val="bottom"/>
            <w:vMerge w:val="restart"/>
          </w:tcPr>
          <w:p>
            <w:pPr>
              <w:ind w:left="540"/>
              <w:spacing w:after="0"/>
              <w:rPr>
                <w:sz w:val="20"/>
                <w:szCs w:val="20"/>
                <w:color w:val="auto"/>
              </w:rPr>
            </w:pPr>
            <w:r>
              <w:rPr>
                <w:rFonts w:ascii="Times New Roman" w:cs="Times New Roman" w:eastAsia="Times New Roman" w:hAnsi="Times New Roman"/>
                <w:sz w:val="16"/>
                <w:szCs w:val="16"/>
                <w:color w:val="auto"/>
              </w:rPr>
              <w:t>Units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31, 2024</w:t>
            </w:r>
          </w:p>
        </w:tc>
        <w:tc>
          <w:tcPr>
            <w:tcW w:w="14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179,791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154,089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4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(12,175)</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(41,604)</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60.84</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March 1, 2025</w:t>
            </w:r>
          </w:p>
        </w:tc>
        <w:tc>
          <w:tcPr>
            <w:tcW w:w="14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280,101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52.55</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Performance stock units are generally granted to employees as a part of the annual grant in November of the associated fiscal year, although the Board of Directors reserves the right to administer mid-year grants from time to time as they see fit. The fair value of each performance stock unit grant with a market-based TSR component is estimated on the date of grant using a Monte-Carlo simulation based on the following assumptions presented below which are associated with each year’s annual grant:</w:t>
      </w:r>
    </w:p>
    <w:p>
      <w:pPr>
        <w:spacing w:after="0" w:line="306" w:lineRule="exact"/>
        <w:rPr>
          <w:sz w:val="20"/>
          <w:szCs w:val="20"/>
          <w:color w:val="auto"/>
        </w:rPr>
      </w:pPr>
    </w:p>
    <w:tbl>
      <w:tblPr>
        <w:tblLayout w:type="fixed"/>
        <w:tblInd w:w="194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Twenty-Six Weeks Ended</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Twenty-Six Weeks Ended</w:t>
            </w:r>
          </w:p>
        </w:tc>
      </w:tr>
      <w:tr>
        <w:trPr>
          <w:trHeight w:val="273"/>
        </w:trPr>
        <w:tc>
          <w:tcPr>
            <w:tcW w:w="3620" w:type="dxa"/>
            <w:vAlign w:val="bottom"/>
          </w:tcPr>
          <w:p>
            <w:pPr>
              <w:spacing w:after="0"/>
              <w:rPr>
                <w:sz w:val="23"/>
                <w:szCs w:val="23"/>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March 1, 2025</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24, 2024</w:t>
            </w:r>
          </w:p>
        </w:tc>
      </w:tr>
      <w:tr>
        <w:trPr>
          <w:trHeight w:val="25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31.38%</w:t>
            </w:r>
          </w:p>
        </w:tc>
        <w:tc>
          <w:tcPr>
            <w:tcW w:w="120" w:type="dxa"/>
            <w:vAlign w:val="bottom"/>
            <w:tcBorders>
              <w:top w:val="single" w:sz="8" w:color="CCEEFF"/>
            </w:tcBorders>
            <w:shd w:val="clear" w:color="auto" w:fill="CCEEFF"/>
          </w:tcPr>
          <w:p>
            <w:pPr>
              <w:spacing w:after="0"/>
              <w:rPr>
                <w:sz w:val="22"/>
                <w:szCs w:val="22"/>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33.96%</w:t>
            </w:r>
          </w:p>
        </w:tc>
      </w:tr>
      <w:tr>
        <w:trPr>
          <w:trHeight w:val="26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5"/>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performance term</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2.93</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2.93</w:t>
            </w:r>
          </w:p>
        </w:tc>
      </w:tr>
      <w:tr>
        <w:trPr>
          <w:trHeight w:val="267"/>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rate of return</w:t>
            </w: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4.14%</w:t>
            </w: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4.62%</w:t>
            </w:r>
          </w:p>
        </w:tc>
      </w:tr>
      <w:tr>
        <w:trPr>
          <w:trHeight w:val="27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$54.41</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$57.43</w:t>
            </w:r>
          </w:p>
        </w:tc>
      </w:tr>
    </w:tbl>
    <w:p>
      <w:pPr>
        <w:spacing w:after="0" w:line="30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1, 2025, the Company had $7.8 million of total unrecognized compensation cost related to performance stock units that will be recognized over an expected weighted average period of 1.7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 appreciation rights (“SARs”) permit the holder to participate in the appreciation of the Company’s common stock price and are awarded to non-employee consultants of the Company. The SARs settle in shares of its common stock once the applicable vesting criteria have been met. The SARs outstanding as of March 1, 2025, cliff vested two years from the date of grant and must be exercised within five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SARs activity for the twenty-six weeks ended March 1, 2025:</w:t>
      </w:r>
    </w:p>
    <w:p>
      <w:pPr>
        <w:spacing w:after="0" w:line="275"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Shares underlying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SARs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31, 2024</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March 1, 2025</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as of March 1, 2025</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March 1, 2025</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bl>
    <w:p>
      <w:pPr>
        <w:spacing w:after="0" w:line="31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SARs outstanding as of the twenty-six weeks ended March 1, 2025, are liability-classified; therefore, the related stock-based compensation expense is based on the vesting provisions and the fair value of the awards.</w:t>
      </w:r>
    </w:p>
    <w:p>
      <w:pPr>
        <w:spacing w:after="0" w:line="200" w:lineRule="exact"/>
        <w:rPr>
          <w:sz w:val="20"/>
          <w:szCs w:val="20"/>
          <w:color w:val="auto"/>
        </w:rPr>
      </w:pPr>
    </w:p>
    <w:p>
      <w:pPr>
        <w:spacing w:after="0" w:line="3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our expectations regarding our supply chain, including but not limited to, raw materials and logistics costs, the effect of price increases, inflationary pressure on us and our contract manufacturers, changes in taxes, tariffs, duties, governmental laws and regulations, our growth, our competitive position, and the unforeseen business disruptions or other effects due to current global geopolitical tension. We disclaim any undertaking to publicly update or revise any forward-looking statements contained herein to reflect any change in our expectations with regard thereto or any change in events, conditions or circumstances on which any such statement is based, except as required by applicable law. These statements reflect our current views with respect to future events and are based on assumptions subject to risks and uncertainties. Such risks and uncertainties include those related to our ability to sell our products.</w:t>
      </w: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31, 2024, (“Annual Report”) and our unaudited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The Company assumes no obligation to update any of these forward-looking statements.</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Unless the context requires otherwise in this Report, the terms “we,” “us,” “our,” the “Company” and “Simply Good Foods” refer to The Simply Good Foods Company and its subsidiaries. In context, “Quest” may also refer to the Quest brand, “Atkins” may also refer to the Atkins brand, and “OWYN” may also refer to the OWYN brand. Atkins, Quest, OWYN, and the Simply Good logo are either registered trademarks or trademarks of the Company’s wholly owned subsidiary Simply Good Foods USA, Inc. or one of its affiliates in the United States and elsewhere. All rights are reserved.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we develop, market and sell consists primarily of protein bars, ready-to-drink (“RTD”) shakes, sweet and salty snacks and confectionery products marketed under the Quest, Atkins, and OWYN brand names. We believe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that end, in June 2024, we completed the acquisition of OWYN, a plant-based protein food company, for a cash purchase price of approximately $280.0 million (subject to customary adjustments). For more information, please see “</w:t>
      </w:r>
      <w:r>
        <w:rPr>
          <w:rFonts w:ascii="Times New Roman" w:cs="Times New Roman" w:eastAsia="Times New Roman" w:hAnsi="Times New Roman"/>
          <w:sz w:val="18"/>
          <w:szCs w:val="18"/>
          <w:i w:val="1"/>
          <w:iCs w:val="1"/>
          <w:color w:val="auto"/>
        </w:rPr>
        <w:t>Liquidity and Capital Resources-OWYN Acquisition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carbohydrates, Atkins for those following a low-carbohydrate lifestyle or seeking to manage weight or blood sugar levels, and OWYN for consumers seeking protein-rich beverages that are plant-based and tested for the top nine allergens that also limit sugars and simple carbohydrates.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thirteen and twenty-six weeks ended March 1, 2025, our business performance improved principally due to Quest volume growth and the OWYN Acquisition. We expect fiscal year 2025 organic sales growth to be driven primarily by volume and have strong advertising and marketing plans in place, as well as innovation, merchandising and promotions that we believe should enable us to achieve our objectives.</w:t>
      </w:r>
    </w:p>
    <w:p>
      <w:pPr>
        <w:spacing w:after="0" w:line="20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continue to monitor macroeconomic trends and uncertainties such as key ingredient inflation, the effects of recently implemented tariffs, and the potential imposition of modified or additional tariffs, which may have adverse effects on net sales and profitability. As a result of the tariffs announced by the U.S. presidential administration on April 2, 2025, and potential tariff modifications or the imposition of tariffs or export controls by other countries, we anticipate increased supply chain challenges, commodity cost volatility, and consumer and economic uncertainty due to rapid changes in global trade policies. Based on preliminary analysis of the potential effects of the announced tariffs and these other factors, we do not expect these factors to result in a material negative effect on our net sales or profitability for the remainder of fiscal year 2025. However, we are continuing to evaluate these factors and their potential effects as well as our ability to potentially offset all or a portion of cost increases through pricing actions and cost savings efforts for fiscal year 2026 planning. Economic pressures on customers and consumers, including the challenges of high inflation and the effects of increased tariffs, may negatively affect our net sales and profitability in the future.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5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consist primarily of product sales less the cost of promotional activities, slotting fees and other sales credits and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product returns.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consists primarily of the costs we pay to our contract manufacturing partners to produce the products sold.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consist primarily of selling and marketing, general and administrative, depreciation and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business transaction costs. The following is a brief description of the components of operating expenses:</w:t>
      </w:r>
    </w:p>
    <w:p>
      <w:pPr>
        <w:spacing w:after="0" w:line="184" w:lineRule="exact"/>
        <w:rPr>
          <w:sz w:val="20"/>
          <w:szCs w:val="20"/>
          <w:color w:val="auto"/>
        </w:rPr>
      </w:pPr>
    </w:p>
    <w:p>
      <w:pPr>
        <w:ind w:left="66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are comprised of broker commissions, customer marketing, media and other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w:t>
      </w:r>
    </w:p>
    <w:p>
      <w:pPr>
        <w:spacing w:after="0" w:line="50"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are comprised of expenses associated with corporate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functions that support our business, including employee compensation, employee stock-based compensation, professional services, executive transition costs, integration costs, restructuring costs, insurance and other general corporate expenses.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consist of expenses associated with the depreciation of fixed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leasehold improvements and amortization of intangible assets.</w:t>
      </w:r>
    </w:p>
    <w:p>
      <w:pPr>
        <w:spacing w:after="0" w:line="50"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5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are comprised of transaction advisory fees, non-deferrable debt issuance costs, legal,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diligence, consulting, and accounting expenses associated with the OWYN Acquisition.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thirteen weeks ended March 1, 2025, our net sales increased 15.2% to $359.7 million compared to $312.2 million for the thirteen weeks ended February 24, 2024, driven by the OWYN Acquisition. Gross profit increased during the quarter, driven by higher sales volumes, while gross margin decreased 120 basis points primarily as a result of the inclusion of OWYN. We expect to see continued growth during fiscal year 2025 by building on our existing capabilities and strengthening the position of our brands in the marketplace. We will continue to invest in our business and improve our operating efficiencies as well as continuing the integration of OWYN.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this presentation of EBITDA and Adjusted EBITDA may not be comparable to other similarly titled measures of other companies. See “Reconciliation of EBITDA and Adjusted EBITDA” below for a reconciliation of EBITDA and Adjusted EBITDA to net income for each applicable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Thirteen Weeks Ended March 1, 2025, and the Thirteen Weeks Ended February 24, 2024</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including information presented as a percentage of net sales:</w:t>
      </w:r>
    </w:p>
    <w:p>
      <w:pPr>
        <w:spacing w:after="0" w:line="279"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9"/>
              </w:rPr>
              <w:t>Thirteen Weeks Ended</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w w:val="99"/>
              </w:rPr>
              <w:t>Thirteen Weeks Ended</w:t>
            </w:r>
          </w:p>
        </w:tc>
        <w:tc>
          <w:tcPr>
            <w:tcW w:w="1340" w:type="dxa"/>
            <w:vAlign w:val="bottom"/>
          </w:tcPr>
          <w:p>
            <w:pPr>
              <w:spacing w:after="0"/>
              <w:rPr>
                <w:sz w:val="18"/>
                <w:szCs w:val="18"/>
                <w:color w:val="auto"/>
              </w:rPr>
            </w:pPr>
          </w:p>
        </w:tc>
      </w:tr>
      <w:tr>
        <w:trPr>
          <w:trHeight w:val="246"/>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21"/>
                <w:szCs w:val="21"/>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rPr>
              <w:t>March 1, 2025</w:t>
            </w: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of Net Sales</w:t>
            </w:r>
          </w:p>
        </w:tc>
        <w:tc>
          <w:tcPr>
            <w:tcW w:w="140" w:type="dxa"/>
            <w:vAlign w:val="bottom"/>
          </w:tcPr>
          <w:p>
            <w:pPr>
              <w:spacing w:after="0"/>
              <w:rPr>
                <w:sz w:val="21"/>
                <w:szCs w:val="21"/>
                <w:color w:val="auto"/>
              </w:rPr>
            </w:pPr>
          </w:p>
        </w:tc>
        <w:tc>
          <w:tcPr>
            <w:tcW w:w="16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February 24, 2024</w:t>
            </w:r>
          </w:p>
        </w:tc>
        <w:tc>
          <w:tcPr>
            <w:tcW w:w="13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 of Net Sales</w:t>
            </w:r>
          </w:p>
        </w:tc>
      </w:tr>
      <w:tr>
        <w:trPr>
          <w:trHeight w:val="213"/>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359,655</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312,199</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229,518</w:t>
            </w: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63.8 %</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195,329</w:t>
            </w: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62.6 %</w:t>
            </w:r>
          </w:p>
        </w:tc>
      </w:tr>
      <w:tr>
        <w:trPr>
          <w:trHeight w:val="212"/>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130,137</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116,870</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37.4 %</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35,078</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34,643</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11.1 %</w:t>
            </w: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36,013</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1.3 %</w:t>
            </w: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75,416</w:t>
            </w:r>
          </w:p>
        </w:tc>
        <w:tc>
          <w:tcPr>
            <w:tcW w:w="140" w:type="dxa"/>
            <w:vAlign w:val="bottom"/>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68,787</w:t>
            </w:r>
          </w:p>
        </w:tc>
        <w:tc>
          <w:tcPr>
            <w:tcW w:w="14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22.0 %</w:t>
            </w:r>
          </w:p>
        </w:tc>
      </w:tr>
      <w:tr>
        <w:trPr>
          <w:trHeight w:val="273"/>
        </w:trPr>
        <w:tc>
          <w:tcPr>
            <w:tcW w:w="3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1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54,721</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48,083</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15.4 %</w:t>
            </w:r>
          </w:p>
        </w:tc>
      </w:tr>
      <w:tr>
        <w:trPr>
          <w:trHeight w:val="273"/>
        </w:trPr>
        <w:tc>
          <w:tcPr>
            <w:tcW w:w="3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1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(5,596)</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9"/>
        </w:trPr>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foreign currency transactions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3"/>
        </w:trPr>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(5,743)</w:t>
            </w:r>
          </w:p>
        </w:tc>
        <w:tc>
          <w:tcPr>
            <w:tcW w:w="1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(4,695)</w:t>
            </w: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70"/>
        </w:trPr>
        <w:tc>
          <w:tcPr>
            <w:tcW w:w="3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48,978</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43,388</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13.9 %</w:t>
            </w:r>
          </w:p>
        </w:tc>
      </w:tr>
      <w:tr>
        <w:trPr>
          <w:trHeight w:val="213"/>
        </w:trPr>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12,231</w:t>
            </w: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3.3 %</w:t>
            </w:r>
          </w:p>
        </w:tc>
      </w:tr>
      <w:tr>
        <w:trPr>
          <w:trHeight w:val="237"/>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10.2 %</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374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68,001</w:t>
            </w:r>
          </w:p>
        </w:tc>
        <w:tc>
          <w:tcPr>
            <w:tcW w:w="14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57,840</w:t>
            </w:r>
          </w:p>
        </w:tc>
        <w:tc>
          <w:tcPr>
            <w:tcW w:w="14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18.5 %</w:t>
            </w:r>
          </w:p>
        </w:tc>
      </w:tr>
    </w:tbl>
    <w:p>
      <w:pPr>
        <w:spacing w:after="0" w:line="13" w:lineRule="exact"/>
        <w:rPr>
          <w:sz w:val="20"/>
          <w:szCs w:val="20"/>
          <w:color w:val="auto"/>
        </w:rPr>
      </w:pPr>
    </w:p>
    <w:p>
      <w:pPr>
        <w:ind w:left="720" w:right="700" w:hanging="80"/>
        <w:spacing w:after="0" w:line="228" w:lineRule="auto"/>
        <w:tabs>
          <w:tab w:leader="none" w:pos="788"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-226695</wp:posOffset>
            </wp:positionV>
            <wp:extent cx="3985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85895" cy="8890"/>
                    </a:xfrm>
                    <a:prstGeom prst="rect">
                      <a:avLst/>
                    </a:prstGeom>
                    <a:noFill/>
                  </pic:spPr>
                </pic:pic>
              </a:graphicData>
            </a:graphic>
          </wp:anchor>
        </w:drawing>
      </w:r>
    </w:p>
    <w:p>
      <w:pPr>
        <w:spacing w:after="0" w:line="30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Net sales were $359.7 million for the thirteen weeks ended March 1, 2025, compared to $312.2 million for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24, 2024, representing an increase of $47.5 million, or 15.2%, driven primarily by Quest volume growth and the OWYN Acquisition. North America net sales increased 16.3% in the thirteen weeks ended March 1, 2025, compared to the thirteen weeks ended February 24, 2024, and International net sales decreased $2.1 million during the same period.</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$34.2 million, or 17.5%, for the thirteen weeks ended March 1, 2025,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February 24, 2024. The cost of goods sold increase was driven by higher sales volumes, primarily as a result of growth for Quest and the OWYN Acquisition, and the effect of the non-cash $0.4 million inventory step-up charge related to the OWYN Acquisition, which were partially offset by lower ingredient and packaging costs.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$13.3 million, or 11.4%, to $130.1 million for the thirteen weeks ended March 1, 2025,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thirteen weeks ended February 24, 2024. Gross profit margin was 36.2% of net sales for the thirteen weeks ended March 1, 2025, a decrease of 120 basis points from 37.4% of net sales for the thirteen weeks ended February 24, 2024. The decrease in gross profit margin is primarily driven by lower gross profit margins of the OWYN business and is inclusive of the effect of the non-cash $0.4 million inventory step-up charge related to the OWYN Acquisition.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increased $6.6 million, or 9.6%, for the thirteen weeks ended March 1, 2025,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February 24, 2024, due to the following:</w:t>
      </w:r>
    </w:p>
    <w:p>
      <w:pPr>
        <w:spacing w:after="0" w:line="184" w:lineRule="exact"/>
        <w:rPr>
          <w:sz w:val="20"/>
          <w:szCs w:val="20"/>
          <w:color w:val="auto"/>
        </w:rPr>
      </w:pPr>
    </w:p>
    <w:p>
      <w:pPr>
        <w:jc w:val="both"/>
        <w:ind w:left="660" w:hanging="247"/>
        <w:spacing w:after="0" w:line="26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increased $0.4 million, or 1.3%, for the thirteen weeks ended March 1, 2025,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thirteen weeks ended February 24, 2024, driven primarily by the OWYN Acquisition and partially offset by a decrease in marketing spend on the legacy business.</w:t>
      </w:r>
    </w:p>
    <w:p>
      <w:pPr>
        <w:spacing w:after="0" w:line="65" w:lineRule="exact"/>
        <w:rPr>
          <w:rFonts w:ascii="Times New Roman" w:cs="Times New Roman" w:eastAsia="Times New Roman" w:hAnsi="Times New Roman"/>
          <w:sz w:val="18"/>
          <w:szCs w:val="18"/>
          <w:color w:val="auto"/>
        </w:rPr>
      </w:pPr>
    </w:p>
    <w:p>
      <w:pPr>
        <w:jc w:val="both"/>
        <w:ind w:left="660" w:hanging="247"/>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$6.1 million, or 20.3%, for the thirteen weeks ended March 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thirteen weeks ended February 24, 2024. The increase in general and administrative expenses was driven by an increase of $2.0 million in integration costs primarily attributable to OWYN, and $0.7 million in term loan transaction fees related to the 2025 Repricing Amendment, $0.4 million in stock-based compensation, and higher employee-related costs and corporate expenses.</w:t>
      </w:r>
    </w:p>
    <w:p>
      <w:pPr>
        <w:spacing w:after="0" w:line="71" w:lineRule="exact"/>
        <w:rPr>
          <w:rFonts w:ascii="Times New Roman" w:cs="Times New Roman" w:eastAsia="Times New Roman" w:hAnsi="Times New Roman"/>
          <w:sz w:val="18"/>
          <w:szCs w:val="18"/>
          <w:color w:val="auto"/>
        </w:rPr>
      </w:pPr>
    </w:p>
    <w:p>
      <w:pPr>
        <w:ind w:left="660" w:right="20" w:hanging="247"/>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$4.1 million for the thirteen weeks ended March 1, 2025, and $4.2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thirteen weeks ended February 24, 2024, respectively.</w:t>
      </w:r>
    </w:p>
    <w:p>
      <w:pPr>
        <w:spacing w:after="0" w:line="50"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were $0.2 million for the thirteen weeks ended March 1, 2025 and were comprised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OWYN Acquisition.</w:t>
      </w:r>
    </w:p>
    <w:p>
      <w:pPr>
        <w:spacing w:after="0" w:line="4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decreased $0.2 million for the thirteen weeks ended March 1, 2025,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24, 2024.</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increased $0.7 million for the thirteen weeks ended March 1, 2025,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24, 2024, primarily due to the effect of the incremental borrowing associated with the OWYN Acquisition on June 13, 2024, and principal payments reducing the outstanding balance of the Term Facility (as defined below) to $300.0 million subsequent to the borrowing as of March 1, 2025.</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foreign currency transactions. </w:t>
      </w:r>
      <w:r>
        <w:rPr>
          <w:rFonts w:ascii="Times New Roman" w:cs="Times New Roman" w:eastAsia="Times New Roman" w:hAnsi="Times New Roman"/>
          <w:sz w:val="18"/>
          <w:szCs w:val="18"/>
          <w:color w:val="auto"/>
        </w:rPr>
        <w:t>Foreign currency transactions resulted in a loss of $0.1 million and an immaterial loss for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March 1, 2025, and February 24, 2024, respectively. The variance is attributable to changes in foreign currency rates related to our international operations.</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increased $2.0 million for the thirteen weeks ended March 1, 2025, compared to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February 24, 2024. The increase in our income tax expense was primarily driven by higher income from operations and changes in permanent differences.</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was $36.7 million for the thirteen weeks ended March 1, 2025, an increase of $3.6 million, compared to net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$33.1 million for the thirteen weeks ended February 24, 2024. Net income benefited from higher gross profit and income from operations, and was partially offset by an increase in income tax expense of $2.0 million.</w:t>
      </w:r>
    </w:p>
    <w:p>
      <w:pPr>
        <w:spacing w:after="0" w:line="19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increased $10.2 million, or 17.6%, for the thirteen weeks ended March 1, 2025,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February 24, 2024, driven primarily by higher gross profit.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Twenty-Six Weeks Ended March 1, 2025, and the Twenty-Six Weeks Ended February 24, 2024</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including information presented as a percentage of net sales:</w:t>
      </w:r>
    </w:p>
    <w:p>
      <w:pPr>
        <w:spacing w:after="0" w:line="130"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8"/>
              </w:rPr>
              <w:t>Twenty-Six Weeks Ended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9"/>
              </w:rPr>
              <w:t>Twenty-Six Weeks Ended</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1"/>
                <w:szCs w:val="21"/>
                <w:color w:val="auto"/>
              </w:rPr>
            </w:pPr>
          </w:p>
        </w:tc>
        <w:tc>
          <w:tcPr>
            <w:tcW w:w="16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color w:val="auto"/>
              </w:rPr>
              <w:t>March 1, 2025</w:t>
            </w: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 of Net Sales</w:t>
            </w:r>
          </w:p>
        </w:tc>
        <w:tc>
          <w:tcPr>
            <w:tcW w:w="180" w:type="dxa"/>
            <w:vAlign w:val="bottom"/>
          </w:tcPr>
          <w:p>
            <w:pPr>
              <w:spacing w:after="0"/>
              <w:rPr>
                <w:sz w:val="21"/>
                <w:szCs w:val="21"/>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February 24, 2024</w:t>
            </w:r>
          </w:p>
        </w:tc>
        <w:tc>
          <w:tcPr>
            <w:tcW w:w="1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 of Net Sales</w:t>
            </w:r>
          </w:p>
        </w:tc>
        <w:tc>
          <w:tcPr>
            <w:tcW w:w="0" w:type="dxa"/>
            <w:vAlign w:val="bottom"/>
          </w:tcPr>
          <w:p>
            <w:pPr>
              <w:spacing w:after="0"/>
              <w:rPr>
                <w:sz w:val="1"/>
                <w:szCs w:val="1"/>
                <w:color w:val="auto"/>
              </w:rPr>
            </w:pPr>
          </w:p>
        </w:tc>
      </w:tr>
      <w:tr>
        <w:trPr>
          <w:trHeight w:val="212"/>
        </w:trPr>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700,923</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620,877</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440,300</w:t>
            </w:r>
          </w:p>
        </w:tc>
        <w:tc>
          <w:tcPr>
            <w:tcW w:w="1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62.8 %</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388,889</w:t>
            </w:r>
          </w:p>
        </w:tc>
        <w:tc>
          <w:tcPr>
            <w:tcW w:w="1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62.6 %</w:t>
            </w:r>
          </w:p>
        </w:tc>
        <w:tc>
          <w:tcPr>
            <w:tcW w:w="0" w:type="dxa"/>
            <w:vAlign w:val="bottom"/>
          </w:tcPr>
          <w:p>
            <w:pPr>
              <w:spacing w:after="0"/>
              <w:rPr>
                <w:sz w:val="1"/>
                <w:szCs w:val="1"/>
                <w:color w:val="auto"/>
              </w:rPr>
            </w:pPr>
          </w:p>
        </w:tc>
      </w:tr>
      <w:tr>
        <w:trPr>
          <w:trHeight w:val="212"/>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260,623</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231,988</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37.4 %</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68,072</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66,633</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19"/>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74,077</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56,883</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0" w:type="dxa"/>
            <w:vAlign w:val="bottom"/>
          </w:tcPr>
          <w:p>
            <w:pPr>
              <w:spacing w:after="0"/>
              <w:rPr>
                <w:sz w:val="1"/>
                <w:szCs w:val="1"/>
                <w:color w:val="auto"/>
              </w:rPr>
            </w:pPr>
          </w:p>
        </w:tc>
      </w:tr>
      <w:tr>
        <w:trPr>
          <w:trHeight w:val="213"/>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8,308</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8,569</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9"/>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151,277</w:t>
            </w:r>
          </w:p>
        </w:tc>
        <w:tc>
          <w:tcPr>
            <w:tcW w:w="14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132,085</w:t>
            </w:r>
          </w:p>
        </w:tc>
        <w:tc>
          <w:tcPr>
            <w:tcW w:w="140" w:type="dxa"/>
            <w:vAlign w:val="bottom"/>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0" w:type="dxa"/>
            <w:vAlign w:val="bottom"/>
          </w:tcPr>
          <w:p>
            <w:pPr>
              <w:spacing w:after="0"/>
              <w:rPr>
                <w:sz w:val="1"/>
                <w:szCs w:val="1"/>
                <w:color w:val="auto"/>
              </w:rPr>
            </w:pPr>
          </w:p>
        </w:tc>
      </w:tr>
      <w:tr>
        <w:trPr>
          <w:trHeight w:val="273"/>
        </w:trPr>
        <w:tc>
          <w:tcPr>
            <w:tcW w:w="2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109,346</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99,903</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0" w:type="dxa"/>
            <w:vAlign w:val="bottom"/>
          </w:tcPr>
          <w:p>
            <w:pPr>
              <w:spacing w:after="0"/>
              <w:rPr>
                <w:sz w:val="1"/>
                <w:szCs w:val="1"/>
                <w:color w:val="auto"/>
              </w:rPr>
            </w:pPr>
          </w:p>
        </w:tc>
      </w:tr>
      <w:tr>
        <w:trPr>
          <w:trHeight w:val="273"/>
        </w:trPr>
        <w:tc>
          <w:tcPr>
            <w:tcW w:w="2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213"/>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(14,199)</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(11,630)</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65"/>
        </w:trPr>
        <w:tc>
          <w:tcPr>
            <w:tcW w:w="3080" w:type="dxa"/>
            <w:vAlign w:val="bottom"/>
            <w:gridSpan w:val="2"/>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(Loss) gain on foreign currency</w:t>
            </w:r>
          </w:p>
        </w:tc>
        <w:tc>
          <w:tcPr>
            <w:tcW w:w="26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4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transactions</w:t>
            </w:r>
          </w:p>
        </w:tc>
        <w:tc>
          <w:tcPr>
            <w:tcW w:w="26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2"/>
        </w:trPr>
        <w:tc>
          <w:tcPr>
            <w:tcW w:w="30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(12,693)</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(9,407)</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96,653</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90,496</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21,784</w:t>
            </w:r>
          </w:p>
        </w:tc>
        <w:tc>
          <w:tcPr>
            <w:tcW w:w="1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21,812</w:t>
            </w:r>
          </w:p>
        </w:tc>
        <w:tc>
          <w:tcPr>
            <w:tcW w:w="1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0" w:type="dxa"/>
            <w:vAlign w:val="bottom"/>
          </w:tcPr>
          <w:p>
            <w:pPr>
              <w:spacing w:after="0"/>
              <w:rPr>
                <w:sz w:val="1"/>
                <w:szCs w:val="1"/>
                <w:color w:val="auto"/>
              </w:rPr>
            </w:pPr>
          </w:p>
        </w:tc>
      </w:tr>
      <w:tr>
        <w:trPr>
          <w:trHeight w:val="237"/>
        </w:trPr>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74,869</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68,684</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138,069</w:t>
            </w:r>
          </w:p>
        </w:tc>
        <w:tc>
          <w:tcPr>
            <w:tcW w:w="1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119,805</w:t>
            </w:r>
          </w:p>
        </w:tc>
        <w:tc>
          <w:tcPr>
            <w:tcW w:w="1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720" w:right="700" w:hanging="87"/>
        <w:spacing w:after="0" w:line="228" w:lineRule="auto"/>
        <w:tabs>
          <w:tab w:leader="none" w:pos="788"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-226695</wp:posOffset>
            </wp:positionV>
            <wp:extent cx="43973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97375" cy="8890"/>
                    </a:xfrm>
                    <a:prstGeom prst="rect">
                      <a:avLst/>
                    </a:prstGeom>
                    <a:noFill/>
                  </pic:spPr>
                </pic:pic>
              </a:graphicData>
            </a:graphic>
          </wp:anchor>
        </w:drawing>
      </w:r>
    </w:p>
    <w:p>
      <w:pPr>
        <w:spacing w:after="0" w:line="28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of $700.9 million represented an increase of $80.0 million, or 12.9%, for the twenty-six weeks ended March 1,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the twenty-six weeks ended February 24, 2024, driven primarily by Quest volume growth and the OWYN Acquisition. North America and International net sales increased 13.4% and decreased 5.8%, respectively, versus last year.</w:t>
      </w:r>
    </w:p>
    <w:p>
      <w:pPr>
        <w:spacing w:after="0" w:line="19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$51.4 million, or 13.2%, for the twenty-six weeks ended March 1, 2025, compared to the twenty-six weeks ended February 24, 2024. The cost of goods sold increase was driven by higher sales volumes, primarily as a result of growth for Quest and the OWYN Acquisition, and the effect of the non-cash $1.4 million inventory step-up charge related to the OWYN Acquisition, which were partially offset by lower ingredient and packaging costs.</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$28.6 million, or 12.3%, to $260.6 million for the twenty-six weeks ended March 1, 2025,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twenty-six weeks ended February 24, 2024. Gross profit margin was 37.2% of net sales for the twenty-six weeks ended March 1, 2025, a decrease of 20 basis points from 37.4% of net sales for the twenty-six weeks ended February 24, 2024. The decrease in gross profit margin is primarily driven by lower gross profit margins of the OWYN business, partially offset by favorable commodity expenses, and is inclusive of the non-cash $1.4 million inventory step-up charge related to the OWYN Acquisition.</w:t>
      </w:r>
    </w:p>
    <w:p>
      <w:pPr>
        <w:spacing w:after="0" w:line="20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increased $19.2 million, or 14.5%, for the twenty-six weeks ended March 1, 2025,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twenty-six weeks ended February 24, 2024, due to the following:</w:t>
      </w:r>
    </w:p>
    <w:p>
      <w:pPr>
        <w:spacing w:after="0" w:line="184" w:lineRule="exact"/>
        <w:rPr>
          <w:sz w:val="20"/>
          <w:szCs w:val="20"/>
          <w:color w:val="auto"/>
        </w:rPr>
      </w:pPr>
    </w:p>
    <w:p>
      <w:pPr>
        <w:jc w:val="both"/>
        <w:ind w:left="660" w:hanging="247"/>
        <w:spacing w:after="0" w:line="267"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increased $1.4 million, or 2.2%, for the twenty-six weeks ended March 1,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twenty-six weeks ended February 24, 2024, driven primarily by the OWYN Acquisition and partially offset by a decrease in marketing spend on the legacy business.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8" w:lineRule="exact"/>
        <w:rPr>
          <w:sz w:val="20"/>
          <w:szCs w:val="20"/>
          <w:color w:val="auto"/>
        </w:rPr>
      </w:pPr>
    </w:p>
    <w:p>
      <w:pPr>
        <w:jc w:val="both"/>
        <w:ind w:left="660" w:hanging="247"/>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$17.2 million, or 30.2%, for the twenty-six weeks ended March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compared to the twenty-six weeks ended February 24, 2024. The increase in general and administrative expense was driven by an increase of $6.9 million in integration costs and $6.1 million in employee-related costs primarily attributable to OWYN, and $0.7 million in term loan transaction fees related to the 2025 Repricing Amendment, and higher corporate expenses.</w:t>
      </w:r>
    </w:p>
    <w:p>
      <w:pPr>
        <w:spacing w:after="0" w:line="71" w:lineRule="exact"/>
        <w:rPr>
          <w:rFonts w:ascii="Times New Roman" w:cs="Times New Roman" w:eastAsia="Times New Roman" w:hAnsi="Times New Roman"/>
          <w:sz w:val="18"/>
          <w:szCs w:val="18"/>
          <w:color w:val="auto"/>
        </w:rPr>
      </w:pPr>
    </w:p>
    <w:p>
      <w:pPr>
        <w:ind w:left="660" w:right="20" w:hanging="247"/>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$8.3 million and $8.6 million for the twenty-six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1, 2025, compared to the twenty-six weeks ended February 24, 2024, respectively.</w:t>
      </w:r>
    </w:p>
    <w:p>
      <w:pPr>
        <w:spacing w:after="0" w:line="50"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transaction costs. </w:t>
      </w:r>
      <w:r>
        <w:rPr>
          <w:rFonts w:ascii="Times New Roman" w:cs="Times New Roman" w:eastAsia="Times New Roman" w:hAnsi="Times New Roman"/>
          <w:sz w:val="18"/>
          <w:szCs w:val="18"/>
          <w:color w:val="auto"/>
        </w:rPr>
        <w:t>Business transaction costs were $0.8 million for the twenty-six weeks ended March 1, 2025 and were comprised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related to the OWYN Acquisition.</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decreased by $0.5 million for the twenty-six weeks ended March 1, 2025, compared to the twenty-six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February 24, 2024, due to lower cash balances and the decrease of interest rates.</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increased $2.6 million for the twenty-six weeks ended March 1, 2025, compared to the twenty-six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24, 2024, primarily due to the effect of the incremental borrowing associated with the OWYN Acquisition on June 13, 2024, and principal payments reducing the outstanding balance of the Term Facility (as defined below) to $300.0 million subsequent to the borrowing as of March 1, 2025.</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gain on foreign currency transactions. </w:t>
      </w:r>
      <w:r>
        <w:rPr>
          <w:rFonts w:ascii="Times New Roman" w:cs="Times New Roman" w:eastAsia="Times New Roman" w:hAnsi="Times New Roman"/>
          <w:sz w:val="18"/>
          <w:szCs w:val="18"/>
          <w:color w:val="auto"/>
        </w:rPr>
        <w:t>Foreign currency transactions resulted in an immaterial loss and a $0.2 million gain for the twenty-six weeks ended March 1, 2025, and February 24, 2024, respectively. The variance is attributable to changes in foreign currency rates related to our international operations.</w:t>
      </w:r>
    </w:p>
    <w:p>
      <w:pPr>
        <w:spacing w:after="0" w:line="19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was $21.8 million for the twenty-six weeks ended March 1, 2025, and the twenty-six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24, 2024, respectively.</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was $74.9 million for the twenty-six weeks ended March 1, 2025, an increase of $6.2 million compared to net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$68.7 million for the twenty-six weeks ended February 24, 2024. Net income was benefited by higher gross profit and income from operations and was partially offset by higher stock-based compensation expenses.</w:t>
      </w:r>
    </w:p>
    <w:p>
      <w:pPr>
        <w:spacing w:after="0" w:line="19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increased $18.3 million, or 15.2% for the twenty-six weeks ended March 1, 2025, compared to the twenty-six weeks ended February 24, 2024, driven primarily by higher net gross profit.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The Company defines EBITDA as net income or loss before interest income, interest expense, income tax expense, depreciation and amortization, and Adjusted EBITDA as further adjusted to exclude the following items: stock-based compensation expense, executive transition costs, business transaction costs, purchase price accounting, inventory step-up, integration costs, term loan transaction fees,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spacing w:after="0" w:line="21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table provides a reconciliation of EBITDA and Adjusted EBITDA to its most directly comparable GAAP measure, which is net income, for the thirteen and twenty-six weeks ended March 1, 2025, and February 24, 2024:</w:t>
      </w:r>
    </w:p>
    <w:p>
      <w:pPr>
        <w:spacing w:after="0" w:line="234"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ind w:left="580"/>
              <w:spacing w:after="0"/>
              <w:rPr>
                <w:sz w:val="20"/>
                <w:szCs w:val="20"/>
                <w:color w:val="auto"/>
              </w:rPr>
            </w:pPr>
            <w:r>
              <w:rPr>
                <w:rFonts w:ascii="Times New Roman" w:cs="Times New Roman" w:eastAsia="Times New Roman" w:hAnsi="Times New Roman"/>
                <w:sz w:val="16"/>
                <w:szCs w:val="16"/>
                <w:color w:val="auto"/>
              </w:rPr>
              <w:t>Thirteen Weeks Ended</w:t>
            </w:r>
          </w:p>
        </w:tc>
        <w:tc>
          <w:tcPr>
            <w:tcW w:w="180" w:type="dxa"/>
            <w:vAlign w:val="bottom"/>
          </w:tcPr>
          <w:p>
            <w:pPr>
              <w:spacing w:after="0"/>
              <w:rPr>
                <w:sz w:val="18"/>
                <w:szCs w:val="18"/>
                <w:color w:val="auto"/>
              </w:rPr>
            </w:pPr>
          </w:p>
        </w:tc>
        <w:tc>
          <w:tcPr>
            <w:tcW w:w="290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3"/>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March 1, 2025</w:t>
            </w: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24, 2024</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March 1, 2025</w:t>
            </w:r>
          </w:p>
        </w:tc>
        <w:tc>
          <w:tcPr>
            <w:tcW w:w="1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24, 2024</w:t>
            </w:r>
          </w:p>
        </w:tc>
      </w:tr>
      <w:tr>
        <w:trPr>
          <w:trHeight w:val="25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33,123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74,869</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68,684</w:t>
            </w:r>
          </w:p>
        </w:tc>
      </w:tr>
      <w:tr>
        <w:trPr>
          <w:trHeight w:val="267"/>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r>
      <w:tr>
        <w:trPr>
          <w:trHeight w:val="273"/>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5,596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11,630</w:t>
            </w:r>
          </w:p>
        </w:tc>
      </w:tr>
      <w:tr>
        <w:trPr>
          <w:trHeight w:val="267"/>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10,265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21,812</w:t>
            </w:r>
          </w:p>
        </w:tc>
      </w:tr>
      <w:tr>
        <w:trPr>
          <w:trHeight w:val="27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5,187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10,135</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10,792</w:t>
            </w:r>
          </w:p>
        </w:tc>
      </w:tr>
      <w:tr>
        <w:trPr>
          <w:trHeight w:val="250"/>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53,247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119,510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110,904</w:t>
            </w:r>
          </w:p>
        </w:tc>
      </w:tr>
      <w:tr>
        <w:trPr>
          <w:trHeight w:val="273"/>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4,568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8,736</w:t>
            </w:r>
          </w:p>
        </w:tc>
      </w:tr>
      <w:tr>
        <w:trPr>
          <w:trHeight w:val="267"/>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Executive transition costs</w:t>
            </w: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73"/>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transaction costs</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Inventory step-up</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Integration of OWYN</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6,886</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Term loan transaction fees</w:t>
            </w:r>
          </w:p>
        </w:tc>
        <w:tc>
          <w:tcPr>
            <w:tcW w:w="1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23"/>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68,001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57,840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138,069</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119,805</w:t>
            </w: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 w:lineRule="exact"/>
        <w:rPr>
          <w:sz w:val="20"/>
          <w:szCs w:val="20"/>
          <w:color w:val="auto"/>
        </w:rPr>
      </w:pPr>
    </w:p>
    <w:p>
      <w:pPr>
        <w:ind w:left="980" w:hanging="151"/>
        <w:spacing w:after="0"/>
        <w:tabs>
          <w:tab w:leader="none" w:pos="98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items consist principally of exchange impact of foreign currency transactions and other expenses.</w:t>
      </w:r>
    </w:p>
    <w:p>
      <w:pPr>
        <w:spacing w:after="0" w:line="200" w:lineRule="exact"/>
        <w:rPr>
          <w:rFonts w:ascii="Times New Roman" w:cs="Times New Roman" w:eastAsia="Times New Roman" w:hAnsi="Times New Roman"/>
          <w:sz w:val="19"/>
          <w:szCs w:val="19"/>
          <w:color w:val="auto"/>
          <w:vertAlign w:val="superscript"/>
        </w:rPr>
      </w:pPr>
    </w:p>
    <w:p>
      <w:pPr>
        <w:spacing w:after="0" w:line="200" w:lineRule="exact"/>
        <w:rPr>
          <w:rFonts w:ascii="Times New Roman" w:cs="Times New Roman" w:eastAsia="Times New Roman" w:hAnsi="Times New Roman"/>
          <w:sz w:val="19"/>
          <w:szCs w:val="19"/>
          <w:color w:val="auto"/>
          <w:vertAlign w:val="superscript"/>
        </w:rPr>
      </w:pPr>
    </w:p>
    <w:p>
      <w:pPr>
        <w:spacing w:after="0" w:line="316"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with cash flow from operations and, when needed, with borrowings under our Credit Agreement (as defined below). Our principal uses of cash have been working capital, debt service, repurchases of our common stock, and acquisition opportunities.</w:t>
      </w:r>
    </w:p>
    <w:p>
      <w:pPr>
        <w:spacing w:after="0" w:line="17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had $103.7 million in cash as of March 1, 2025.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material future cash requirements from contractual and other obligations relate primarily to our principal and interest payments for our Term Facility, as defined and discussed below, and our operating and finance leases. Refer to Note 6, Long-Term Debt and Line of Credit, and Note 9, Leases, of the Notes to Unaudited Consolidated Financial Statements in this Report for additional information related to the expected timing and amount of payments related to our contractual and other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7, 2017, we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21, 2022, we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13, 2024, the Company entered into a sixth amendment (the “2024 Incremental Facility Amendment”) to the Credit Agreement to increase the principal borrowed on the Term Facility by $250.0 million. The terms of the incremental borrowing are the same as the terms of the outstanding borrowings under the Term Facility. The 2024 Incremental Facility Amendment was executed to partially finance the OWYN Acquisition. No amounts under the Term Facility were repaid as a result of the execution of the 2024 Incremental Facility Amendment.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31, 2025, the Company entered into a seventh amendment (the “2025 Repricing Amendment”) to the Credit Agreement to reduce the interest rate per annum applicable to the Initial Term Loans outstanding under the Credit Agreement immediately prior to the effective date of the 2025 Repricing Amendment.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as of the 2025 Repricing Amendment, the interest rate per annum for the Initial Term Loans is based on either:</w:t>
      </w:r>
    </w:p>
    <w:p>
      <w:pPr>
        <w:spacing w:after="0" w:line="104" w:lineRule="exact"/>
        <w:rPr>
          <w:sz w:val="20"/>
          <w:szCs w:val="20"/>
          <w:color w:val="auto"/>
        </w:rPr>
      </w:pPr>
    </w:p>
    <w:p>
      <w:pPr>
        <w:jc w:val="both"/>
        <w:ind w:left="660" w:hanging="328"/>
        <w:spacing w:after="0" w:line="266" w:lineRule="auto"/>
        <w:tabs>
          <w:tab w:leader="none" w:pos="6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1.00% margin for the Term Loan or (y) 2.00% margin for the Revolving Credit Facility; or</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subject to a floor of 0.50%, plus (x) 2.00% margin for the Term Loan or (y) 3.00% margin for the Revolving Credit Facility.</w:t>
      </w:r>
    </w:p>
    <w:p>
      <w:pPr>
        <w:spacing w:after="0" w:line="25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In connection with the closing of the 2025 Repricing Amendment, the Company expensed $0.7 million of non-deferrable third-party costs through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our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and Only What You Need, Inc. are holding companies with no assets other than their investments in their respective subsidiaries.</w:t>
      </w:r>
    </w:p>
    <w:p>
      <w:pPr>
        <w:spacing w:after="0" w:line="21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our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We were in compliance with all covenants as of March 1, 2025, and August 31, 2024, respectively.</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1, 2025, the outstanding balance of the Term Facility was $300.0 million. We are not required to make principal payments on the Term Facility over the twelve months following the period ended March 1, 2025. The outstanding balance of the Term Facility is due upon its maturity in March 2027. As of March 1, 2025, there were no amounts drawn against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OWYN Acquisition</w:t>
      </w:r>
    </w:p>
    <w:p>
      <w:pPr>
        <w:spacing w:after="0" w:line="25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29, 2024, the Company’s wholly owned subsidiary, Simply Good Foods, USA, Inc. entered into a Purchase Agreement to acquire OWYN, a plant-based protein food company, for approximately $280.0 million. On June 13, 2024, pursuant to the Purchase Agreement, the Company completed the OWYN Acquisition by acquiring 100% of the equity interests for a cash purchase price at closing of $281.9 million, subject to certain customary post-closing adjustments. We acquired OWYN as a part of our vision to lead the nutritious snacking movement with trusted brands that offer a variety of convenient, innovative, great-tasting, better-for-you snacks and meal replacements that will now offer plant-based products to a wider market of consumers.</w:t>
      </w:r>
    </w:p>
    <w:p>
      <w:pPr>
        <w:spacing w:after="0" w:line="20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The OWYN Acquisition was funded through a combination of incremental borrowings under our outstanding Term Facility, totaling $250.0 million, and cash on hand. During the thirteen weeks ended March 1, 2025, the Company received a post-closing release from escrow of approximately $1.7 million related to net working capital adjustments, resulting in a total net consideration paid of $280.2 million as of March 1, 2025. Business transaction costs associated with the OWYN Acquisition within the Consolidated Statements of Operations and Comprehensive Income </w:t>
      </w:r>
      <w:r>
        <w:rPr>
          <w:rFonts w:ascii="Times New Roman" w:cs="Times New Roman" w:eastAsia="Times New Roman" w:hAnsi="Times New Roman"/>
          <w:sz w:val="16"/>
          <w:szCs w:val="16"/>
          <w:color w:val="auto"/>
        </w:rPr>
        <w:t>for the</w:t>
      </w:r>
      <w:r>
        <w:rPr>
          <w:rFonts w:ascii="Times New Roman" w:cs="Times New Roman" w:eastAsia="Times New Roman" w:hAnsi="Times New Roman"/>
          <w:sz w:val="18"/>
          <w:szCs w:val="18"/>
          <w:color w:val="auto"/>
        </w:rPr>
        <w:t xml:space="preserve"> thirteen weeks ended March 1, 2025, were $0.2 million, which consisted of legal, accounting, and other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October 21, 2022, we announced that our Board of Directors approved the addition of $50.0 million to our stock repurchase program, resulting in authorized stock repurchases of up to an aggregate of $150.0 million.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did not repurchase any shares of common stock during the twenty-six weeks ended March 1, 2025, and February 24, 2024. As of March 1, 2025, approximately $71.5 million remained available for repurchases under our $150.0 million stock repurchase program. Refer to Note 11, Stockholders’ Equity, of the Notes to Unaudited Consolidated Financial Statements in this Report for additional information related to our stock repurchase program.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set forth below (in thousands):</w:t>
      </w:r>
    </w:p>
    <w:p>
      <w:pPr>
        <w:spacing w:after="0" w:line="149" w:lineRule="exact"/>
        <w:rPr>
          <w:sz w:val="20"/>
          <w:szCs w:val="20"/>
          <w:color w:val="auto"/>
        </w:rPr>
      </w:pPr>
    </w:p>
    <w:tbl>
      <w:tblPr>
        <w:tblLayout w:type="fixed"/>
        <w:tblInd w:w="218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36"/>
        </w:trPr>
        <w:tc>
          <w:tcPr>
            <w:tcW w:w="3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March 1, 2025</w:t>
            </w:r>
          </w:p>
        </w:tc>
        <w:tc>
          <w:tcPr>
            <w:tcW w:w="1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February 24, 2024</w:t>
            </w:r>
          </w:p>
        </w:tc>
      </w:tr>
      <w:tr>
        <w:trPr>
          <w:trHeight w:val="25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63,267</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93,991</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(92,386)</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(44,656)</w:t>
            </w:r>
          </w:p>
        </w:tc>
      </w:tr>
    </w:tbl>
    <w:p>
      <w:pPr>
        <w:spacing w:after="0" w:line="3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provided by operating activities decreased $30.7 million to $63.3 million for the twenty-six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1, 2025, compared to $94.0 million for the twenty-six weeks ended February 24, 2024. The decrease in cash provided by operating activities was primarily attributable to changes in working capital for the twenty-six weeks ended March 1, 2025, as compared to the twenty-six weeks ended February 24, 2024. Changes in working capital, comprised of changes in accounts receivable, net, inventories, prepaid expenses, other current assets, accounts payable, accrued interest, accrued expenses and other current liabilities, and other assets and liabilities, were driven by the timing of payments and receipts, the OWYN Acquisition and the seasonal building of inventory, which consumed cash of $41.6 million in the twenty-six weeks ended March 1, 2025, compared to $5.5 million of cash consumed in the twenty-six weeks ended February 24, 2024, a difference of $36.0 million. Income from operations increased by $9.4 million to $109.3 million for the twenty-six weeks ended March 1, 2025, as compared to $99.9 million for the twenty-six weeks ended February 24, 2024. Additionally, cash paid for interest was $13.5 million in the twenty-six weeks ended March 1, 2025, which was an increase of $2.3 million as compared to the $11.2 million paid for interest in the twenty-six weeks ended February 24, 2024.</w:t>
      </w:r>
    </w:p>
    <w:p>
      <w:pPr>
        <w:spacing w:after="0" w:line="2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was immaterial for the twenty-six weeks ended March 1, 2025,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in investing activities of $1.3 million for the twenty-six weeks ended February 24, 2024. Our net cash used investing activities for the twenty-six weeks ended March 1, 2025, was primarily comprised of $0.8 million of purchases of property and equipment and $0.9 million of investments in intangible and other assets, and was offset by $1.7 million of cash proceeds received from escrow related to net working capital adjustments related to the OWYN Acquisition. The $1.3 million of net cash used in investing activities for the twenty-six weeks ended February 24, 2024, was primarily comprised of $1.1 million of purchases of property and equipment.</w:t>
      </w:r>
    </w:p>
    <w:p>
      <w:pPr>
        <w:spacing w:after="0" w:line="20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used in financing activities was $92.4 million for the twenty-six weeks ended March 1, 2025, compared to $44.7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twenty-six weeks ended February 24, 2024. Net cash used in financing activities for the twenty-six weeks ended March 1, 2025, primarily consisted of $100.0 million in principal payments on the Term Facility, and $2.5 million in tax payments related to the issuance of restricted stock units and performance stock units, partially offset by $10.1 million of cash proceeds received from option exercises. Net cash used in financing activities for the twenty-six weeks ended February 24, 2024, primarily consisted of $45.0 million in principal payments on the Term Facility, and $3.8 million in tax payments related to issuance of restricted stock units and performance stock units, partially offset by $1.2 million of cash received on repayment of a note receivable and $3.0 million of cash proceeds received from option exercises.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description of critical accounting policies that affect our significant judgments and estimates used in the preparation of our consolidated financial statements, refer to our Annual Report. Refer to Note 2, Summary of Significant Accounting Policies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of our unaudited interim consolidated financial statements in this Report for further information regarding recently issued accounting standards.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market risk exposure during the thirteen-week period ended March 1, 2025. For a discussion of our market risks, see “Quantitative and Qualitative Disclosures About Market Risk” in Part II, Item 7A of our Annual Report.</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March 1, 2025, the Company’s disclosure controls and procedures were effective.</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discussed above, on June 13, 2024, we completed the OWYN Acquisition. As such, the scope of our assessment of the effectiveness of our disclosure controls and procedures did not include the internal control over financial reporting of OWYN and its affiliated entities. These exclusions are consistent with the SEC Staff’s guidance that an assessment of a recently acquired business may be omitted from the scope of our assessment of the effectiveness of disclosure controls and procedures that are also part of internal control over financial reporting in the 12 months following the acquisition. OWYN and its affiliated entities accounted for 15% of our total assets and 9% of our total net sales as of and for the twenty-six weeks ended March 1,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OWYN Acquisition, we have commenced a project to evaluate the processes and procedures of OWYN’s internal control over financial reporting and incorporate OWYN’s internal control over financial reporting into our internal control over financial reporting framework. In addition, as a result of the OWYN Acquisition, we have implemented new processes and controls over accounting for an acquisition, including determining the fair value of the assets acquired and liabilities assumed.</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disclosed above, there were no changes in our internal controls over financial reporting during the quarter ended March 1, 2025, that have materially affected, or are reasonably likely to materially affect, our internal controls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Readers should carefully consider the factors discussed in Part I, Item 1A. “Risk Factors” in our Annual Report, which could materially affect our business, financial condition, cash flows or future results. Other than the risk included below that has been amended and restated, there have been no material changes in our risk factors included in our Annual Report. The risks described in our Annual Report are not the only risks facing our Company. Additional risks and uncertainties not currently known to us or that we currently deem to be immaterial may also materially adversely affect our business, financial condition or future results.</w:t>
      </w:r>
    </w:p>
    <w:p>
      <w:pPr>
        <w:spacing w:after="0" w:line="20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Ingredient and packaging costs are volatile and may rise significantly for a variety of reasons, many of which are outside of our control, which may negatively affect the profitability of our business.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source ingredients and packaging from a variety of vendors and suppliers, including domestic and international sources. We negotiate the prices for large quantities of core ingredients, such as nuts, protein, fiber and packaging materials. Several ingredients are farmed or manufactured outside of the United States. Costs of ingredients and packaging are volatile and can fluctuate due to conditions difficult to predict, including global competition for resources, fluctuations in currency and exchange rates, weather conditions, the effects of climate change, natural or man-made disasters, consumer demand, geopolitical events, and changes in governmental trade, including the imposition of tariffs in the United States, and agricultural programs and environmental regulations affecting the production or manufacturing of ingredients and packaging. Volatility in the prices of the core ingredients and other supplies we purchase increased in recent fiscal years and, while these price increases have begun to moderate for some core ingredients and other supplies, we anticipate increases in the cost of certain core ingredients and supplies during fiscal year 2025.</w:t>
      </w: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Trade policies of the U.S. presidential administration, including tariffs, and potential related actions by other countries are all outside of our control and may affect our financial condition or results of operations. Recently, the U.S. presidential administration announced significant tariffs on imports from a broad range of countries, including the European Union, Canada, Mexico, and China, which may cause inflationary pressures and higher costs on certain of our ingredients and packaging and imports from the affected countries. If maintained, the announced tariffs, as well as related measures that could be taken by other countries and the potential escalation of trade disputes, could pose a risk to our business and results of operations. The extent and duration of the tariffs and the resulting effect on general economic conditions and on our business as a result of increases in prices for ingredients and packaging we import or our suppliers and vendors purchase to produce these items that we acquire through our supply chain are uncertain and depend on various factors, such as negotiations between the United States and affected countries, the responses of other countries or regions, exemptions or exclusions that may be granted, availability and cost of alternative sources of supply, and demand for our products.</w:t>
      </w:r>
    </w:p>
    <w:p>
      <w:pPr>
        <w:spacing w:after="0" w:line="21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attempts to potentially offset these pressures through increases in the selling prices of some of our products or cost savings initiatives may not be successful and may result in reductions in sales volume or profitability. To the extent that price increases or cost savings initiatives are not sufficient to offset increased costs, and/or if they result in the significant decreases in sales volume or profitability, our business, financial condition, or operating results may be adversely affected.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do not use hedges for availability of any core ingredients or packaging. Any material upward movement in core ingredient or packaging pricing could negatively affect our margins if we cannot find efficiencies or pass these costs on to our consumers. If we are unsuccessful in managing our ingredient and packaging costs, if we cannot increase our prices to cover increased costs, or if such price increases reduce our sales volumes, then such increases in costs will materially and adversely affect our business, financial condition and results of operations.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of our core ingredient contracts have minimum volume commitments that could require purchases without matching revenue during weaker sales periods. Future core ingredient and packaging prices may be affected by new laws or regulations, tariffs, suppliers’ allocations to other purchases, interruptions in production by suppliers, natural disasters, volatility in the price of crude oil and related petrochemical products and changes in exchange rates.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the three months ended March 1, 2025, no directors or officers adopted or terminated a “Rule 10b5-1 trading arrangement” or a “non-Rule 10b5-1 trading arrangement,” as each term is defined in Item 408(a) of Regulation S-K.</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51" w:lineRule="exact"/>
        <w:rPr>
          <w:sz w:val="20"/>
          <w:szCs w:val="20"/>
          <w:color w:val="auto"/>
        </w:rPr>
      </w:pPr>
    </w:p>
    <w:tbl>
      <w:tblPr>
        <w:tblLayout w:type="fixed"/>
        <w:tblInd w:w="6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8"/>
                <w:szCs w:val="18"/>
                <w:color w:val="auto"/>
              </w:rPr>
            </w:pPr>
          </w:p>
        </w:tc>
        <w:tc>
          <w:tcPr>
            <w:tcW w:w="892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172"/>
        </w:trPr>
        <w:tc>
          <w:tcPr>
            <w:tcW w:w="320" w:type="dxa"/>
            <w:vAlign w:val="bottom"/>
            <w:tcBorders>
              <w:top w:val="single" w:sz="8" w:color="auto"/>
            </w:tcBorders>
            <w:gridSpan w:val="2"/>
            <w:shd w:val="clear" w:color="auto" w:fill="CCEEFF"/>
          </w:tcPr>
          <w:p>
            <w:pPr>
              <w:ind w:left="20"/>
              <w:spacing w:after="0" w:line="172" w:lineRule="exact"/>
              <w:rPr>
                <w:rFonts w:ascii="Times New Roman" w:cs="Times New Roman" w:eastAsia="Times New Roman" w:hAnsi="Times New Roman"/>
                <w:sz w:val="16"/>
                <w:szCs w:val="16"/>
                <w:color w:val="0000FF"/>
                <w:w w:val="99"/>
              </w:rPr>
            </w:pPr>
            <w:hyperlink r:id="rId44">
              <w:r>
                <w:rPr>
                  <w:rFonts w:ascii="Times New Roman" w:cs="Times New Roman" w:eastAsia="Times New Roman" w:hAnsi="Times New Roman"/>
                  <w:sz w:val="16"/>
                  <w:szCs w:val="16"/>
                  <w:color w:val="0000FF"/>
                  <w:w w:val="99"/>
                </w:rPr>
                <w:t>10.</w:t>
              </w:r>
              <w:r>
                <w:rPr>
                  <w:rFonts w:ascii="Times New Roman" w:cs="Times New Roman" w:eastAsia="Times New Roman" w:hAnsi="Times New Roman"/>
                  <w:sz w:val="16"/>
                  <w:szCs w:val="16"/>
                  <w:u w:val="single" w:color="auto"/>
                  <w:color w:val="0000FF"/>
                  <w:w w:val="99"/>
                </w:rPr>
                <w:t>1</w:t>
              </w:r>
            </w:hyperlink>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920" w:type="dxa"/>
            <w:vAlign w:val="bottom"/>
            <w:tcBorders>
              <w:top w:val="single" w:sz="8" w:color="auto"/>
            </w:tcBorders>
            <w:gridSpan w:val="10"/>
            <w:shd w:val="clear" w:color="auto" w:fill="CCEEFF"/>
          </w:tcPr>
          <w:p>
            <w:pPr>
              <w:spacing w:after="0" w:line="172"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Repricing Amendment, dated as of January 31, 2025, by and among Atkins Intermediate Holdings, LLC, a Delaware limited liability</w:t>
              </w:r>
            </w:hyperlink>
          </w:p>
        </w:tc>
      </w:tr>
      <w:tr>
        <w:trPr>
          <w:trHeight w:val="142"/>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0000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840" w:type="dxa"/>
            <w:vAlign w:val="bottom"/>
            <w:tcBorders>
              <w:top w:val="single" w:sz="8" w:color="0000FF"/>
              <w:bottom w:val="single" w:sz="8" w:color="0000FF"/>
            </w:tcBorders>
            <w:gridSpan w:val="6"/>
            <w:shd w:val="clear" w:color="auto" w:fill="CCEEFF"/>
          </w:tcPr>
          <w:p>
            <w:pPr>
              <w:spacing w:after="0" w:line="142"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company, Conyers Park Acquisition Corp., a Delaware corporation, Simply Good Foods USA, Inc., a New York Corporation, Atkins</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2"/>
        </w:trPr>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900" w:type="dxa"/>
            <w:vAlign w:val="bottom"/>
            <w:gridSpan w:val="9"/>
            <w:shd w:val="clear" w:color="auto" w:fill="CCEEFF"/>
          </w:tcPr>
          <w:p>
            <w:pPr>
              <w:spacing w:after="0" w:line="142"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Nutritionals Holdings, Inc., a Delaware corporation, Atkins Nutritionals Holdings II, Inc., a Delaware Corporation, NCP-ATK</w:t>
              </w:r>
            </w:hyperlink>
          </w:p>
        </w:tc>
        <w:tc>
          <w:tcPr>
            <w:tcW w:w="20" w:type="dxa"/>
            <w:vAlign w:val="bottom"/>
            <w:shd w:val="clear" w:color="auto" w:fill="CCEEFF"/>
          </w:tcPr>
          <w:p>
            <w:pPr>
              <w:spacing w:after="0"/>
              <w:rPr>
                <w:sz w:val="12"/>
                <w:szCs w:val="12"/>
                <w:color w:val="auto"/>
              </w:rPr>
            </w:pPr>
          </w:p>
        </w:tc>
      </w:tr>
      <w:tr>
        <w:trPr>
          <w:trHeight w:val="142"/>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860" w:type="dxa"/>
            <w:vAlign w:val="bottom"/>
            <w:tcBorders>
              <w:top w:val="single" w:sz="8" w:color="0000FF"/>
              <w:bottom w:val="single" w:sz="8" w:color="0000FF"/>
            </w:tcBorders>
            <w:gridSpan w:val="7"/>
            <w:shd w:val="clear" w:color="auto" w:fill="CCEEFF"/>
          </w:tcPr>
          <w:p>
            <w:pPr>
              <w:spacing w:after="0" w:line="142"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Holdings, Inc., a Delaware corporation, the financial institutions party thereto as Consenting Term Lenders and the Replacement Lender</w:t>
              </w:r>
            </w:hyperlink>
          </w:p>
        </w:tc>
        <w:tc>
          <w:tcPr>
            <w:tcW w:w="20" w:type="dxa"/>
            <w:vAlign w:val="bottom"/>
            <w:tcBorders>
              <w:top w:val="single" w:sz="8" w:color="CCEEFF"/>
              <w:bottom w:val="single" w:sz="8" w:color="0000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42"/>
        </w:trPr>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80" w:type="dxa"/>
            <w:vAlign w:val="bottom"/>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44">
              <w:r>
                <w:rPr>
                  <w:rFonts w:ascii="Times New Roman" w:cs="Times New Roman" w:eastAsia="Times New Roman" w:hAnsi="Times New Roman"/>
                  <w:sz w:val="16"/>
                  <w:szCs w:val="16"/>
                  <w:color w:val="0000FF"/>
                </w:rPr>
                <w:t>and Barclays Bank PLC, as administrative agent (incorporated by reference to Exhibit 10.1 to our Current Report on Form 8-K filed on</w:t>
              </w:r>
            </w:hyperlink>
          </w:p>
        </w:tc>
        <w:tc>
          <w:tcPr>
            <w:tcW w:w="40" w:type="dxa"/>
            <w:vAlign w:val="bottom"/>
            <w:gridSpan w:val="2"/>
            <w:shd w:val="clear" w:color="auto" w:fill="CCEEFF"/>
          </w:tcPr>
          <w:p>
            <w:pPr>
              <w:spacing w:after="0"/>
              <w:rPr>
                <w:sz w:val="12"/>
                <w:szCs w:val="12"/>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0" w:type="dxa"/>
            <w:vAlign w:val="bottom"/>
            <w:tcBorders>
              <w:top w:val="single" w:sz="8" w:color="0000FF"/>
              <w:bottom w:val="single" w:sz="8" w:color="0000FF"/>
            </w:tcBorders>
            <w:shd w:val="clear" w:color="auto" w:fill="CCEEFF"/>
          </w:tcPr>
          <w:p>
            <w:pPr>
              <w:spacing w:after="0" w:line="142" w:lineRule="exact"/>
              <w:rPr>
                <w:rFonts w:ascii="Times New Roman" w:cs="Times New Roman" w:eastAsia="Times New Roman" w:hAnsi="Times New Roman"/>
                <w:sz w:val="16"/>
                <w:szCs w:val="16"/>
                <w:color w:val="0000FF"/>
                <w:w w:val="99"/>
              </w:rPr>
            </w:pPr>
            <w:hyperlink r:id="rId44">
              <w:r>
                <w:rPr>
                  <w:rFonts w:ascii="Times New Roman" w:cs="Times New Roman" w:eastAsia="Times New Roman" w:hAnsi="Times New Roman"/>
                  <w:sz w:val="16"/>
                  <w:szCs w:val="16"/>
                  <w:color w:val="0000FF"/>
                  <w:w w:val="99"/>
                </w:rPr>
                <w:t>February 3, 2025).</w:t>
              </w:r>
            </w:hyperlink>
          </w:p>
        </w:tc>
        <w:tc>
          <w:tcPr>
            <w:tcW w:w="7620" w:type="dxa"/>
            <w:vAlign w:val="bottom"/>
            <w:tcBorders>
              <w:top w:val="single" w:sz="8" w:color="0000FF"/>
              <w:bottom w:val="single" w:sz="8" w:color="CCEEFF"/>
            </w:tcBorders>
            <w:gridSpan w:val="4"/>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r>
      <w:tr>
        <w:trPr>
          <w:trHeight w:val="175"/>
        </w:trPr>
        <w:tc>
          <w:tcPr>
            <w:tcW w:w="98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20" w:type="dxa"/>
            <w:vAlign w:val="bottom"/>
            <w:gridSpan w:val="10"/>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Section 302 of the Sarbanes Oxley Act of 2002.</w:t>
            </w: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5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6"/>
                <w:szCs w:val="16"/>
                <w:color w:val="000000"/>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920" w:type="dxa"/>
            <w:vAlign w:val="bottom"/>
            <w:gridSpan w:val="10"/>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Section 302 of the Sarbanes Oxley Act of 2002.</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5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6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20" w:type="dxa"/>
            <w:vAlign w:val="bottom"/>
            <w:gridSpan w:val="10"/>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Section 906 of the Sarbanes Oxley Act.</w:t>
            </w:r>
          </w:p>
        </w:tc>
      </w:tr>
      <w:tr>
        <w:trPr>
          <w:trHeight w:val="21"/>
        </w:trPr>
        <w:tc>
          <w:tcPr>
            <w:tcW w:w="20" w:type="dxa"/>
            <w:vAlign w:val="bottom"/>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5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50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4"/>
                <w:szCs w:val="14"/>
                <w:color w:val="auto"/>
              </w:rPr>
            </w:pPr>
          </w:p>
        </w:tc>
        <w:tc>
          <w:tcPr>
            <w:tcW w:w="8920" w:type="dxa"/>
            <w:vAlign w:val="bottom"/>
            <w:gridSpan w:val="10"/>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XBRL Instance Document (the instance document does not appear on the Interactive Data File because the XBRL tags are embedded</w:t>
            </w:r>
          </w:p>
        </w:tc>
      </w:tr>
      <w:tr>
        <w:trPr>
          <w:trHeight w:val="216"/>
        </w:trPr>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9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r>
      <w:tr>
        <w:trPr>
          <w:trHeight w:val="213"/>
        </w:trPr>
        <w:tc>
          <w:tcPr>
            <w:tcW w:w="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18"/>
                <w:szCs w:val="18"/>
                <w:color w:val="auto"/>
              </w:rPr>
            </w:pPr>
          </w:p>
        </w:tc>
        <w:tc>
          <w:tcPr>
            <w:tcW w:w="89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9"/>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shd w:val="clear" w:color="auto" w:fill="CCEEFF"/>
          </w:tcPr>
          <w:p>
            <w:pPr>
              <w:spacing w:after="0"/>
              <w:rPr>
                <w:sz w:val="19"/>
                <w:szCs w:val="19"/>
                <w:color w:val="auto"/>
              </w:rPr>
            </w:pPr>
          </w:p>
        </w:tc>
        <w:tc>
          <w:tcPr>
            <w:tcW w:w="89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3"/>
        </w:trPr>
        <w:tc>
          <w:tcPr>
            <w:tcW w:w="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18"/>
                <w:szCs w:val="18"/>
                <w:color w:val="auto"/>
              </w:rPr>
            </w:pPr>
          </w:p>
        </w:tc>
        <w:tc>
          <w:tcPr>
            <w:tcW w:w="89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9"/>
        </w:trPr>
        <w:tc>
          <w:tcPr>
            <w:tcW w:w="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shd w:val="clear" w:color="auto" w:fill="CCEEFF"/>
          </w:tcPr>
          <w:p>
            <w:pPr>
              <w:spacing w:after="0"/>
              <w:rPr>
                <w:sz w:val="19"/>
                <w:szCs w:val="19"/>
                <w:color w:val="auto"/>
              </w:rPr>
            </w:pPr>
          </w:p>
        </w:tc>
        <w:tc>
          <w:tcPr>
            <w:tcW w:w="89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0"/>
        </w:trPr>
        <w:tc>
          <w:tcPr>
            <w:tcW w:w="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8"/>
                <w:szCs w:val="18"/>
                <w:color w:val="auto"/>
              </w:rPr>
            </w:pPr>
          </w:p>
        </w:tc>
        <w:tc>
          <w:tcPr>
            <w:tcW w:w="8920" w:type="dxa"/>
            <w:vAlign w:val="bottom"/>
            <w:gridSpan w:val="10"/>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5" w:lineRule="exact"/>
        <w:rPr>
          <w:sz w:val="20"/>
          <w:szCs w:val="20"/>
          <w:color w:val="auto"/>
        </w:rPr>
      </w:pPr>
    </w:p>
    <w:p>
      <w:pPr>
        <w:ind w:left="1760" w:hanging="1113"/>
        <w:spacing w:after="0"/>
        <w:tabs>
          <w:tab w:leader="none" w:pos="1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and contained in Exhibit 101).</w:t>
      </w:r>
    </w:p>
    <w:p>
      <w:pPr>
        <w:spacing w:after="0" w:line="32"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32" w:lineRule="exact"/>
        <w:rPr>
          <w:rFonts w:ascii="Times New Roman" w:cs="Times New Roman" w:eastAsia="Times New Roman" w:hAnsi="Times New Roman"/>
          <w:sz w:val="16"/>
          <w:szCs w:val="16"/>
          <w:color w:val="auto"/>
        </w:rPr>
      </w:pPr>
    </w:p>
    <w:p>
      <w:pPr>
        <w:ind w:left="6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-390525</wp:posOffset>
            </wp:positionV>
            <wp:extent cx="634365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3436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THE SIMPLY GOOD FOODS COMPANY</w:t>
      </w:r>
    </w:p>
    <w:p>
      <w:pPr>
        <w:spacing w:after="0" w:line="2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By: /s/ Timothy A. Matthews</w:t>
      </w:r>
    </w:p>
    <w:p>
      <w:pPr>
        <w:spacing w:after="0" w:line="26" w:lineRule="exact"/>
        <w:rPr>
          <w:sz w:val="20"/>
          <w:szCs w:val="20"/>
          <w:color w:val="auto"/>
        </w:rPr>
      </w:pPr>
    </w:p>
    <w:p>
      <w:pPr>
        <w:ind w:left="1660"/>
        <w:spacing w:after="0"/>
        <w:tabs>
          <w:tab w:leader="none" w:pos="2240" w:val="left"/>
          <w:tab w:leader="none" w:pos="4720" w:val="left"/>
        </w:tabs>
        <w:rPr>
          <w:sz w:val="20"/>
          <w:szCs w:val="20"/>
          <w:color w:val="auto"/>
        </w:rPr>
      </w:pPr>
      <w:r>
        <w:rPr>
          <w:rFonts w:ascii="Times New Roman" w:cs="Times New Roman" w:eastAsia="Times New Roman" w:hAnsi="Times New Roman"/>
          <w:sz w:val="16"/>
          <w:szCs w:val="16"/>
          <w:color w:val="auto"/>
        </w:rPr>
        <w:t>Date:</w:t>
        <w:tab/>
        <w:t>April 9, 2025</w:t>
      </w:r>
      <w:r>
        <w:rPr>
          <w:sz w:val="20"/>
          <w:szCs w:val="20"/>
          <w:color w:val="auto"/>
        </w:rPr>
        <w:tab/>
      </w:r>
      <w:r>
        <w:rPr>
          <w:rFonts w:ascii="Times New Roman" w:cs="Times New Roman" w:eastAsia="Times New Roman" w:hAnsi="Times New Roman"/>
          <w:sz w:val="17"/>
          <w:szCs w:val="17"/>
          <w:color w:val="auto"/>
          <w:vertAlign w:val="subscript"/>
        </w:rPr>
        <w:t xml:space="preserve">Name: </w:t>
      </w:r>
      <w:r>
        <w:rPr>
          <w:rFonts w:ascii="Times New Roman" w:cs="Times New Roman" w:eastAsia="Times New Roman" w:hAnsi="Times New Roman"/>
          <w:sz w:val="17"/>
          <w:szCs w:val="17"/>
          <w:color w:val="auto"/>
        </w:rPr>
        <w:t>Timothy A.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-119380</wp:posOffset>
            </wp:positionV>
            <wp:extent cx="2802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1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32"/>
          <w:szCs w:val="32"/>
          <w:color w:val="auto"/>
          <w:vertAlign w:val="subscript"/>
        </w:rPr>
        <w:t>Title:</w:t>
      </w:r>
      <w:r>
        <w:rPr>
          <w:rFonts w:ascii="Times New Roman" w:cs="Times New Roman" w:eastAsia="Times New Roman" w:hAnsi="Times New Roman"/>
          <w:sz w:val="16"/>
          <w:szCs w:val="16"/>
          <w:color w:val="auto"/>
        </w:rPr>
        <w:t xml:space="preserve"> Vice President, Controller, and Chief Accounting Officer</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i w:val="1"/>
          <w:i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0"/>
          </w:cols>
          <w:pgMar w:left="320" w:top="121" w:right="6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 E. Tanner, certify that:</w:t>
      </w:r>
    </w:p>
    <w:p>
      <w:pPr>
        <w:spacing w:after="0" w:line="225" w:lineRule="exact"/>
        <w:rPr>
          <w:sz w:val="20"/>
          <w:szCs w:val="20"/>
          <w:color w:val="auto"/>
        </w:rPr>
      </w:pPr>
    </w:p>
    <w:p>
      <w:pPr>
        <w:ind w:left="420" w:hanging="232"/>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9, 2025</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Geoff E. Tanner</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E. Tanner</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Shaun Mara, certify that:</w:t>
      </w:r>
    </w:p>
    <w:p>
      <w:pPr>
        <w:spacing w:after="0" w:line="225" w:lineRule="exact"/>
        <w:rPr>
          <w:sz w:val="20"/>
          <w:szCs w:val="20"/>
          <w:color w:val="auto"/>
        </w:rPr>
      </w:pPr>
    </w:p>
    <w:p>
      <w:pPr>
        <w:ind w:left="420" w:hanging="23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9, 2025</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Shaun P. Mara</w:t>
            </w:r>
          </w:p>
        </w:tc>
        <w:tc>
          <w:tcPr>
            <w:tcW w:w="0" w:type="dxa"/>
            <w:vAlign w:val="bottom"/>
          </w:tcPr>
          <w:p>
            <w:pPr>
              <w:spacing w:after="0"/>
              <w:rPr>
                <w:sz w:val="1"/>
                <w:szCs w:val="1"/>
                <w:color w:val="auto"/>
              </w:rPr>
            </w:pPr>
          </w:p>
        </w:tc>
      </w:tr>
      <w:tr>
        <w:trPr>
          <w:trHeight w:val="59"/>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Shaun P. Mara</w:t>
            </w:r>
          </w:p>
        </w:tc>
        <w:tc>
          <w:tcPr>
            <w:tcW w:w="0" w:type="dxa"/>
            <w:vAlign w:val="bottom"/>
          </w:tcPr>
          <w:p>
            <w:pPr>
              <w:spacing w:after="0"/>
              <w:rPr>
                <w:sz w:val="1"/>
                <w:szCs w:val="1"/>
                <w:color w:val="auto"/>
              </w:rPr>
            </w:pPr>
          </w:p>
        </w:tc>
      </w:tr>
      <w:tr>
        <w:trPr>
          <w:trHeight w:val="54"/>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4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Simply Good Foods Company (the “Company”) on Form 10-Q for the fiscal period ended March 1, 2025,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203" w:lineRule="exact"/>
        <w:rPr>
          <w:sz w:val="20"/>
          <w:szCs w:val="20"/>
          <w:color w:val="auto"/>
        </w:rPr>
      </w:pPr>
    </w:p>
    <w:p>
      <w:pPr>
        <w:ind w:left="360" w:hanging="17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firstLine="259"/>
        <w:spacing w:after="0" w:line="282" w:lineRule="auto"/>
        <w:tabs>
          <w:tab w:leader="none" w:pos="44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32" w:lineRule="exact"/>
        <w:rPr>
          <w:sz w:val="20"/>
          <w:szCs w:val="20"/>
          <w:color w:val="auto"/>
        </w:rPr>
      </w:pPr>
    </w:p>
    <w:p>
      <w:pPr>
        <w:ind w:firstLine="178"/>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9, 2025</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Geoff E. Tanner</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E. Tanner</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9, 2025</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Shaun P. Mara</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Shaun P. Mara</w:t>
            </w:r>
          </w:p>
        </w:tc>
        <w:tc>
          <w:tcPr>
            <w:tcW w:w="0" w:type="dxa"/>
            <w:vAlign w:val="bottom"/>
          </w:tcPr>
          <w:p>
            <w:pPr>
              <w:spacing w:after="0"/>
              <w:rPr>
                <w:sz w:val="1"/>
                <w:szCs w:val="1"/>
                <w:color w:val="auto"/>
              </w:rPr>
            </w:pPr>
          </w:p>
        </w:tc>
      </w:tr>
      <w:tr>
        <w:trPr>
          <w:trHeight w:val="54"/>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lowerRoman"/>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Roman"/>
      <w:start w:val="1"/>
    </w:lvl>
  </w:abstractNum>
  <w:abstractNum w:abstractNumId="14">
    <w:nsid w:val="519B500D"/>
    <w:multiLevelType w:val="hybridMultilevel"/>
    <w:lvl w:ilvl="0">
      <w:lvlJc w:val="left"/>
      <w:lvlText w:val="%1"/>
      <w:numFmt w:val="decimal"/>
      <w:start w:val="104"/>
    </w:lvl>
  </w:abstractNum>
  <w:abstractNum w:abstractNumId="15">
    <w:nsid w:val="431BD7B7"/>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6">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7">
    <w:nsid w:val="7C83E458"/>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8">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9">
    <w:nsid w:val="62BBD95A"/>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4" Type="http://schemas.openxmlformats.org/officeDocument/2006/relationships/hyperlink" Target="https://www.sec.gov/ix?doc=/Archives/edgar/data/1702744/000110465925008352/tm254954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2025-04-09T15:20:18Z</dcterms:created>
  <dcterms:modified xsi:type="dcterms:W3CDTF">2025-04-09T15:20:18Z</dcterms:modified>
</cp:coreProperties>
</file>