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November 29, 2025</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41"/>
        <w:spacing w:after="0" w:line="245" w:lineRule="auto"/>
        <w:tabs>
          <w:tab w:leader="none" w:pos="2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148" w:lineRule="exact"/>
        <w:rPr>
          <w:sz w:val="24"/>
          <w:szCs w:val="24"/>
          <w:color w:val="auto"/>
        </w:rPr>
      </w:pPr>
    </w:p>
    <w:p>
      <w:pPr>
        <w:ind w:left="172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5" w:right="339" w:bottom="18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182" w:gutter="0" w:footer="0" w:header="0"/>
          <w:type w:val="continuous"/>
        </w:sectPr>
      </w:pPr>
    </w:p>
    <w:bookmarkStart w:id="1" w:name="page2"/>
    <w:bookmarkEnd w:id="1"/>
    <w:p>
      <w:pPr>
        <w:spacing w:after="0" w:line="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ind w:left="68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080" w:space="540"/>
            <w:col w:w="1060" w:space="720"/>
            <w:col w:w="48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6, 2026, there were 92,575,255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NOVEMBER 29,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19</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27</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27</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29, 2025</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98,468</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167,217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453,684</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39,738</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1,257,642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1,261,603</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51,046</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2,450,627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78,298</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46,219</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124,561</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249,066</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166,091</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47,519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49,494</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716,511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589,212</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0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103,940,255 and 103,688,071</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at November 29, 2025, and August 30, 2025, respectively</w:t>
            </w:r>
          </w:p>
        </w:tc>
        <w:tc>
          <w:tcPr>
            <w:tcW w:w="1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8,941,085 shares and 3,957,571 shares at cost at November 29, 2025, and August</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(230,026)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(129,337)</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30, 2025, respectively</w:t>
            </w: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1,349,610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1,346,687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590,879</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1,734,116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1,806,833</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2,450,627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29, 2025</w:t>
            </w:r>
          </w:p>
        </w:tc>
        <w:tc>
          <w:tcPr>
            <w:tcW w:w="12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3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340,198</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341,268</w:t>
            </w:r>
          </w:p>
        </w:tc>
      </w:tr>
      <w:tr>
        <w:trPr>
          <w:trHeight w:val="25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230,298</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210,782</w:t>
            </w:r>
          </w:p>
        </w:tc>
      </w:tr>
      <w:tr>
        <w:trPr>
          <w:trHeight w:val="23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130,486</w:t>
            </w:r>
          </w:p>
        </w:tc>
      </w:tr>
      <w:tr>
        <w:trPr>
          <w:trHeight w:val="257"/>
        </w:trPr>
        <w:tc>
          <w:tcPr>
            <w:tcW w:w="6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4"/>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32,994</w:t>
            </w:r>
          </w:p>
        </w:tc>
      </w:tr>
      <w:tr>
        <w:trPr>
          <w:trHeight w:val="25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38,064</w:t>
            </w:r>
          </w:p>
        </w:tc>
      </w:tr>
      <w:tr>
        <w:trPr>
          <w:trHeight w:val="25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w:t>
            </w:r>
          </w:p>
        </w:tc>
      </w:tr>
      <w:tr>
        <w:trPr>
          <w:trHeight w:val="25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75,861</w:t>
            </w:r>
          </w:p>
        </w:tc>
      </w:tr>
      <w:tr>
        <w:trPr>
          <w:trHeight w:val="259"/>
        </w:trPr>
        <w:tc>
          <w:tcPr>
            <w:tcW w:w="6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54,625</w:t>
            </w:r>
          </w:p>
        </w:tc>
      </w:tr>
      <w:tr>
        <w:trPr>
          <w:trHeight w:val="259"/>
        </w:trPr>
        <w:tc>
          <w:tcPr>
            <w:tcW w:w="6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4"/>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5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w:t>
            </w:r>
          </w:p>
        </w:tc>
      </w:tr>
      <w:tr>
        <w:trPr>
          <w:trHeight w:val="26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5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r>
      <w:tr>
        <w:trPr>
          <w:trHeight w:val="257"/>
        </w:trPr>
        <w:tc>
          <w:tcPr>
            <w:tcW w:w="6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47,675</w:t>
            </w:r>
          </w:p>
        </w:tc>
      </w:tr>
      <w:tr>
        <w:trPr>
          <w:trHeight w:val="253"/>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9,553</w:t>
            </w:r>
          </w:p>
        </w:tc>
      </w:tr>
      <w:tr>
        <w:trPr>
          <w:trHeight w:val="24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r>
      <w:tr>
        <w:trPr>
          <w:trHeight w:val="257"/>
        </w:trPr>
        <w:tc>
          <w:tcPr>
            <w:tcW w:w="6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375"/>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net of reclassification adjustments</w:t>
            </w: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3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5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4"/>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5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5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98,749,340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100,394,693</w:t>
            </w:r>
          </w:p>
        </w:tc>
      </w:tr>
      <w:tr>
        <w:trPr>
          <w:trHeight w:val="250"/>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99,051,004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101,479,603</w:t>
            </w:r>
          </w:p>
        </w:tc>
      </w:tr>
    </w:tbl>
    <w:p>
      <w:pPr>
        <w:spacing w:after="0" w:line="3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29, 2025</w:t>
            </w:r>
          </w:p>
        </w:tc>
        <w:tc>
          <w:tcPr>
            <w:tcW w:w="10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25,269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38,122</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5,047</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3,844</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Estimated credit losses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loss (gain) on foreign currency transactions</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3,374</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1,678</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35,768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(13,157)</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r>
      <w:tr>
        <w:trPr>
          <w:trHeight w:val="213"/>
        </w:trPr>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50,094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32,021</w:t>
            </w:r>
          </w:p>
        </w:tc>
      </w:tr>
      <w:tr>
        <w:trPr>
          <w:trHeight w:val="199"/>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199"/>
        </w:trPr>
        <w:tc>
          <w:tcPr>
            <w:tcW w:w="6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9,984</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(99,638)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47,619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(42,331)</w:t>
            </w:r>
          </w:p>
        </w:tc>
      </w:tr>
      <w:tr>
        <w:trPr>
          <w:trHeight w:val="199"/>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95,617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(10,979)</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w:t>
            </w:r>
          </w:p>
        </w:tc>
      </w:tr>
      <w:tr>
        <w:trPr>
          <w:trHeight w:val="213"/>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98,468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132,530</w:t>
            </w: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194,051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121,759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29, 2025</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0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6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gridSpan w:val="8"/>
            <w:vMerge w:val="restart"/>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tcPr>
          <w:p>
            <w:pPr>
              <w:spacing w:after="0"/>
              <w:rPr>
                <w:sz w:val="16"/>
                <w:szCs w:val="16"/>
                <w:color w:val="auto"/>
              </w:rPr>
            </w:pPr>
          </w:p>
        </w:tc>
        <w:tc>
          <w:tcPr>
            <w:tcW w:w="1720" w:type="dxa"/>
            <w:vAlign w:val="bottom"/>
            <w:gridSpan w:val="7"/>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180" w:type="dxa"/>
            <w:vAlign w:val="bottom"/>
          </w:tcPr>
          <w:p>
            <w:pPr>
              <w:spacing w:after="0"/>
              <w:rPr>
                <w:sz w:val="16"/>
                <w:szCs w:val="16"/>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20" w:type="dxa"/>
            <w:vAlign w:val="bottom"/>
          </w:tcPr>
          <w:p>
            <w:pPr>
              <w:spacing w:after="0"/>
              <w:rPr>
                <w:sz w:val="16"/>
                <w:szCs w:val="16"/>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 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8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172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gridSpan w:val="2"/>
            <w:vMerge w:val="restart"/>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gridSpan w:val="2"/>
            <w:vMerge w:val="restart"/>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gridSpan w:val="2"/>
            <w:vMerge w:val="restart"/>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Capital</w:t>
            </w:r>
          </w:p>
        </w:tc>
        <w:tc>
          <w:tcPr>
            <w:tcW w:w="14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9"/>
              </w:rPr>
              <w:t>Loss</w:t>
            </w:r>
          </w:p>
        </w:tc>
        <w:tc>
          <w:tcPr>
            <w:tcW w:w="140" w:type="dxa"/>
            <w:vAlign w:val="bottom"/>
            <w:gridSpan w:val="2"/>
            <w:vMerge w:val="restart"/>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0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gridSpan w:val="2"/>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vMerge w:val="continue"/>
          </w:tcPr>
          <w:p>
            <w:pPr>
              <w:spacing w:after="0"/>
              <w:rPr>
                <w:sz w:val="8"/>
                <w:szCs w:val="8"/>
                <w:color w:val="auto"/>
              </w:rPr>
            </w:pPr>
          </w:p>
        </w:tc>
        <w:tc>
          <w:tcPr>
            <w:tcW w:w="140" w:type="dxa"/>
            <w:vAlign w:val="bottom"/>
            <w:tcBorders>
              <w:bottom w:val="single" w:sz="8" w:color="CCEEFF"/>
            </w:tcBorders>
            <w:gridSpan w:val="2"/>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gridSpan w:val="2"/>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gridSpan w:val="2"/>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30,</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103,688,071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3,957,571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(129,337)</w:t>
            </w:r>
          </w:p>
        </w:tc>
        <w:tc>
          <w:tcPr>
            <w:tcW w:w="2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1,346,687</w:t>
            </w: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590,879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1,806,833</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96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3"/>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4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4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40" w:type="dxa"/>
            <w:vAlign w:val="bottom"/>
          </w:tcPr>
          <w:p>
            <w:pPr>
              <w:spacing w:after="0"/>
              <w:rPr>
                <w:sz w:val="14"/>
                <w:szCs w:val="14"/>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4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4,983,514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(100,689)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(100,689)</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164,184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6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103,940,255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8,941,085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 (230,026)</w:t>
            </w:r>
          </w:p>
        </w:tc>
        <w:tc>
          <w:tcPr>
            <w:tcW w:w="20" w:type="dxa"/>
            <w:vAlign w:val="bottom"/>
          </w:tcPr>
          <w:p>
            <w:pPr>
              <w:spacing w:after="0"/>
              <w:rPr>
                <w:sz w:val="12"/>
                <w:szCs w:val="12"/>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1,349,610</w:t>
            </w:r>
          </w:p>
        </w:tc>
        <w:tc>
          <w:tcPr>
            <w:tcW w:w="1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616,148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1,734,116</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29, 2025</w:t>
            </w: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8"/>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tcPr>
          <w:p>
            <w:pPr>
              <w:spacing w:after="0"/>
              <w:rPr>
                <w:sz w:val="24"/>
                <w:szCs w:val="24"/>
                <w:color w:val="auto"/>
              </w:rPr>
            </w:pPr>
          </w:p>
        </w:tc>
        <w:tc>
          <w:tcPr>
            <w:tcW w:w="1720" w:type="dxa"/>
            <w:vAlign w:val="bottom"/>
            <w:gridSpan w:val="7"/>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Additional</w:t>
            </w:r>
          </w:p>
        </w:tc>
        <w:tc>
          <w:tcPr>
            <w:tcW w:w="180" w:type="dxa"/>
            <w:vAlign w:val="bottom"/>
          </w:tcPr>
          <w:p>
            <w:pPr>
              <w:spacing w:after="0"/>
              <w:rPr>
                <w:sz w:val="24"/>
                <w:szCs w:val="24"/>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20" w:type="dxa"/>
            <w:vAlign w:val="bottom"/>
          </w:tcPr>
          <w:p>
            <w:pPr>
              <w:spacing w:after="0"/>
              <w:rPr>
                <w:sz w:val="24"/>
                <w:szCs w:val="24"/>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8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172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w w:val="99"/>
              </w:rPr>
              <w:t>Comprehensive</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9"/>
              </w:rPr>
              <w:t>Capital</w:t>
            </w:r>
          </w:p>
        </w:tc>
        <w:tc>
          <w:tcPr>
            <w:tcW w:w="14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gridSpan w:val="3"/>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800" w:type="dxa"/>
            <w:vAlign w:val="bottom"/>
            <w:tcBorders>
              <w:bottom w:val="single" w:sz="8" w:color="auto"/>
            </w:tcBorders>
            <w:gridSpan w:val="2"/>
            <w:vMerge w:val="continue"/>
          </w:tcPr>
          <w:p>
            <w:pPr>
              <w:spacing w:after="0"/>
              <w:rPr>
                <w:sz w:val="8"/>
                <w:szCs w:val="8"/>
                <w:color w:val="auto"/>
              </w:rPr>
            </w:pPr>
          </w:p>
        </w:tc>
        <w:tc>
          <w:tcPr>
            <w:tcW w:w="20" w:type="dxa"/>
            <w:vAlign w:val="bottom"/>
            <w:tcBorders>
              <w:bottom w:val="single" w:sz="8" w:color="CCEEFF"/>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August 31,</w:t>
            </w:r>
          </w:p>
        </w:tc>
        <w:tc>
          <w:tcPr>
            <w:tcW w:w="40" w:type="dxa"/>
            <w:vAlign w:val="bottom"/>
            <w:vMerge w:val="restart"/>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102,515,315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vMerge w:val="restart"/>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4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4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40" w:type="dxa"/>
            <w:vAlign w:val="bottom"/>
          </w:tcPr>
          <w:p>
            <w:pPr>
              <w:spacing w:after="0"/>
              <w:rPr>
                <w:sz w:val="14"/>
                <w:szCs w:val="14"/>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3"/>
        </w:trPr>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40" w:type="dxa"/>
            <w:vAlign w:val="bottom"/>
            <w:vMerge w:val="restart"/>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713,751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November</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103,393,159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1,331,000</w:t>
            </w: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525,387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1,776,544</w:t>
            </w: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30, 2024</w:t>
            </w:r>
          </w:p>
        </w:tc>
        <w:tc>
          <w:tcPr>
            <w:tcW w:w="96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30, 2025, included in the Company’s Annual Report on Form 10-K (“Annual Report”) filed with the SEC on October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which will improve the disclosures about a public business entity’s expenses and address requests from investors for more detailed information about the types of expenses in commonly presented expense captions such as cost of sales, SG&amp;A, and R&amp;D. The amendments are effective for fiscal years beginning after December 15, 2026, and for interim periods within fiscal years beginning after December 15, 2027.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 Use Software (“ASU 2025-06”), which will improve disclosures surrounding internal-use software and the timing of capitalization when companies use the incremental and iterative development method. The amendments are effective for fiscal years beginning after December 15, 2027, and for interim periods within those fiscal years. Early adoption is permitted. The amendments should be applied through (1) a prospective transition approach, (2) a retrospective transition approach, or (3) a modified transition approach that is based on the status of the project and whether software costs were capitalized before the date of adoption. The Company is currently evaluating the provisions of the amendments and the effect on its future consolidated financial statements.</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288" w:lineRule="exact"/>
        <w:rPr>
          <w:sz w:val="20"/>
          <w:szCs w:val="20"/>
          <w:color w:val="auto"/>
        </w:rPr>
      </w:pPr>
    </w:p>
    <w:tbl>
      <w:tblPr>
        <w:tblLayout w:type="fixed"/>
        <w:tblInd w:w="186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5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November 29, 2025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5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7"/>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90,270</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108,168</w:t>
            </w:r>
          </w:p>
        </w:tc>
      </w:tr>
      <w:tr>
        <w:trPr>
          <w:trHeight w:val="273"/>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8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210,343</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191,937</w:t>
            </w:r>
          </w:p>
        </w:tc>
      </w:tr>
      <w:tr>
        <w:trPr>
          <w:trHeight w:val="267"/>
        </w:trPr>
        <w:tc>
          <w:tcPr>
            <w:tcW w:w="3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OWYN</w:t>
            </w: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31,182</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32,254</w:t>
            </w:r>
          </w:p>
        </w:tc>
      </w:tr>
      <w:tr>
        <w:trPr>
          <w:trHeight w:val="253"/>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331,795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332,359</w:t>
            </w:r>
          </w:p>
        </w:tc>
      </w:tr>
      <w:tr>
        <w:trPr>
          <w:trHeight w:val="267"/>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8,403</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8,909</w:t>
            </w:r>
          </w:p>
        </w:tc>
      </w:tr>
      <w:tr>
        <w:trPr>
          <w:trHeight w:val="251"/>
        </w:trPr>
        <w:tc>
          <w:tcPr>
            <w:tcW w:w="3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340,198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341,268</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jc w:val="both"/>
        <w:ind w:left="1960" w:right="1860" w:hanging="85"/>
        <w:spacing w:after="0" w:line="227" w:lineRule="auto"/>
        <w:tabs>
          <w:tab w:leader="none" w:pos="2028"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3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Charges related to credit losses on accounts receivable from transactions with external customers were immaterial for the thirteen weeks ended November 29, 2025, and $0.8 million for the thirteen weeks ended November 30, 2024. As of both November 29, 2025, and August 30, 2025, the allowance for credit losses related to accounts receivable were $0.9 million.</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 of November 29, 2025, and August 30, 2025,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Consolidated Balance Sheets was $590.0 million. There were no impairment charges related to goodwill during the thirteen weeks ended November 29, 2025, or since the inception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November 29, 2025</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81,380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113,120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10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14,757</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5,434</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1,366,213</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108,571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1,257,642</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30, 2025</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78,138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116,362</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10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14,319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5,153</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1,366,213</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104,610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1,261,603</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thirteen weeks ended November 29, 2025, were primarily related to recurring amortization expense. Amortization expense related to intangible assets was $4.0 million for the thirteen weeks ended November 29, 2025, and $3.7 million for the thirteen weeks ended November 30, 2024. There were no impairment charges related to its indefinite-lived or finite-lived intangible assets during the thirteen weeks ended November 29, 2025, and November 30, 2024.</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the estimates and assumptions utilized in our impairment assessments are reasonable and are comparable to those that would be used by other marketplace participants. However, actual events and results could differ substantially from those utilized in our initial valuations. Significant declines of future revenue projections or changes of other assumptions used in estimating fair values versus those utilized at the time of the initial valuations could result in impairment charges that could materially affect the consolidated financial statements.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11,638</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13,575</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51,528</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19, 2025, the Company entered into an eighth amendment (the “2026 Incremental Facility Amendment”) to the Credit Agreement to increase the principal borrowed on the Term Facility by $150.0 million and provided for an extension of the maturity date from March 17, 2027 to March 17, 2030. The 2026 Incremental Facility Amendment also provided for an extension of the stated maturity date of the Revolving Commitments and Revolving Loans (each as defined in the Credit Agreement) from December 16, 2026, to the earlier of (i) 91 days prior to the then-effective maturity date of the Term Facility and (ii) December 16, 2029. The terms of the incremental borrowing are substantially the same as the terms of the outstanding borrowings under the Term Facility. No amounts of the Term Facility were repaid as a result of the execution of the 2026 Incremental Facility Amendment.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2026 Incremental Facility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1.00%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0.00%, plus (x) 2.00% margin for the Term Loan or (y) 2.00% margin for the Revolving Credit Facility.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closing of the 2026 Incremental Facility Amendment, the Company expensed $2.5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within the Consolidated Statements of Operations and Comprehensive Income and capitalized $2.6 million of upfront lender fees (original issue discount) and third-party financing costs.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are not a named borrower under the Credit Agreement has</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November 29, 2025, and August 30, 2025, respectively.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29, 2025</w:t>
            </w:r>
          </w:p>
        </w:tc>
        <w:tc>
          <w:tcPr>
            <w:tcW w:w="14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1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5.9% at November 29, 2025)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r>
      <w:tr>
        <w:trPr>
          <w:trHeight w:val="21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934</w:t>
            </w:r>
          </w:p>
        </w:tc>
      </w:tr>
      <w:tr>
        <w:trPr>
          <w:trHeight w:val="237"/>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396,744</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November 29, 2025. The outstanding balance of the Term Facility is due upon its maturity in March 2030.</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November 29, 2025, the Company had letters of credit in the amount of $0.8 million outstanding. These letters of credit offset against the $75.0 million availability of the Revolving Credit Facility and exist to support two of the Company’s leased buildings. No amounts were drawn against these letters of credit as of November 29, 2025.</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November 29, 2025, and August 30, 2025,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balance sheet such as accounts receivable, cash and cash equivalents, and others approximate fair value as of November 29,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95" w:lineRule="exact"/>
        <w:rPr>
          <w:sz w:val="20"/>
          <w:szCs w:val="20"/>
          <w:color w:val="auto"/>
        </w:rPr>
      </w:pPr>
    </w:p>
    <w:tbl>
      <w:tblPr>
        <w:tblLayout w:type="fixed"/>
        <w:tblInd w:w="200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3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November 29, 2025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53"/>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33,816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47,675</w:t>
            </w:r>
          </w:p>
        </w:tc>
      </w:tr>
      <w:tr>
        <w:trPr>
          <w:trHeight w:val="267"/>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9,553</w:t>
            </w:r>
          </w:p>
        </w:tc>
      </w:tr>
      <w:tr>
        <w:trPr>
          <w:trHeight w:val="273"/>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20.0 %</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thirteen weeks ended November 29, 2025 was 5.3% higher than the effective tax rate for the thirteen weeks ended November 30, 2024, which was primarily due to the absence of excess tax benefits from stock option exercises recognized in the prior-year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generally leases office space and distribution centers in the United States through operating lease agreements. As of the thirteen weeks ended November 29, 2025, the Company had no finance lease agreements. Our leases have remaining lease terms up to 7 years and most include an option to renew for additional terms.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costs recognized in the Consolidated Statement of Operations consist of the following:</w:t>
      </w:r>
    </w:p>
    <w:p>
      <w:pPr>
        <w:spacing w:after="0" w:line="297" w:lineRule="exact"/>
        <w:rPr>
          <w:sz w:val="20"/>
          <w:szCs w:val="20"/>
          <w:color w:val="auto"/>
        </w:rPr>
      </w:pPr>
    </w:p>
    <w:tbl>
      <w:tblPr>
        <w:tblLayout w:type="fixed"/>
        <w:tblInd w:w="132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Thirteen Weeks Ended</w:t>
            </w:r>
          </w:p>
        </w:tc>
        <w:tc>
          <w:tcPr>
            <w:tcW w:w="0" w:type="dxa"/>
            <w:vAlign w:val="bottom"/>
          </w:tcPr>
          <w:p>
            <w:pPr>
              <w:spacing w:after="0"/>
              <w:rPr>
                <w:sz w:val="1"/>
                <w:szCs w:val="1"/>
                <w:color w:val="auto"/>
              </w:rPr>
            </w:pPr>
          </w:p>
        </w:tc>
      </w:tr>
      <w:tr>
        <w:trPr>
          <w:trHeight w:val="213"/>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Statements of Operations Caption</w:t>
            </w: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29, 2025</w:t>
            </w:r>
          </w:p>
        </w:tc>
        <w:tc>
          <w:tcPr>
            <w:tcW w:w="1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November 30, 2024</w:t>
            </w:r>
          </w:p>
        </w:tc>
        <w:tc>
          <w:tcPr>
            <w:tcW w:w="0" w:type="dxa"/>
            <w:vAlign w:val="bottom"/>
          </w:tcPr>
          <w:p>
            <w:pPr>
              <w:spacing w:after="0"/>
              <w:rPr>
                <w:sz w:val="1"/>
                <w:szCs w:val="1"/>
                <w:color w:val="auto"/>
              </w:rPr>
            </w:pPr>
          </w:p>
        </w:tc>
      </w:tr>
      <w:tr>
        <w:trPr>
          <w:trHeight w:val="212"/>
        </w:trPr>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8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 General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214"/>
        </w:trPr>
        <w:tc>
          <w:tcPr>
            <w:tcW w:w="2660" w:type="dxa"/>
            <w:vAlign w:val="bottom"/>
            <w:gridSpan w:val="2"/>
            <w:vMerge w:val="continue"/>
          </w:tcPr>
          <w:p>
            <w:pPr>
              <w:spacing w:after="0"/>
              <w:rPr>
                <w:sz w:val="18"/>
                <w:szCs w:val="18"/>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1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6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8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 General and</w:t>
            </w: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16"/>
        </w:trPr>
        <w:tc>
          <w:tcPr>
            <w:tcW w:w="2660" w:type="dxa"/>
            <w:vAlign w:val="bottom"/>
            <w:gridSpan w:val="2"/>
            <w:vMerge w:val="continue"/>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0" w:type="dxa"/>
            <w:vAlign w:val="bottom"/>
          </w:tcPr>
          <w:p>
            <w:pPr>
              <w:spacing w:after="0"/>
              <w:rPr>
                <w:sz w:val="1"/>
                <w:szCs w:val="1"/>
                <w:color w:val="auto"/>
              </w:rPr>
            </w:pPr>
          </w:p>
        </w:tc>
      </w:tr>
      <w:tr>
        <w:trPr>
          <w:trHeight w:val="205"/>
        </w:trPr>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151"/>
        <w:spacing w:after="0"/>
        <w:tabs>
          <w:tab w:leader="none" w:pos="14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Variable lease cost primarily consists of common area maintenance, such as cleaning and repairs.</w:t>
      </w:r>
    </w:p>
    <w:p>
      <w:pPr>
        <w:spacing w:after="0" w:line="3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operating are as follows:</w:t>
      </w:r>
    </w:p>
    <w:p>
      <w:pPr>
        <w:spacing w:after="0" w:line="336"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8"/>
              </w:rPr>
              <w:t>November 29, 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30, 2025</w:t>
            </w:r>
          </w:p>
        </w:tc>
        <w:tc>
          <w:tcPr>
            <w:tcW w:w="0" w:type="dxa"/>
            <w:vAlign w:val="bottom"/>
          </w:tcPr>
          <w:p>
            <w:pPr>
              <w:spacing w:after="0"/>
              <w:rPr>
                <w:sz w:val="1"/>
                <w:szCs w:val="1"/>
                <w:color w:val="auto"/>
              </w:rPr>
            </w:pPr>
          </w:p>
        </w:tc>
      </w:tr>
      <w:tr>
        <w:trPr>
          <w:trHeight w:val="25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42,638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44,118</w:t>
            </w:r>
          </w:p>
        </w:tc>
        <w:tc>
          <w:tcPr>
            <w:tcW w:w="0" w:type="dxa"/>
            <w:vAlign w:val="bottom"/>
          </w:tcPr>
          <w:p>
            <w:pPr>
              <w:spacing w:after="0"/>
              <w:rPr>
                <w:sz w:val="1"/>
                <w:szCs w:val="1"/>
                <w:color w:val="auto"/>
              </w:rPr>
            </w:pPr>
          </w:p>
        </w:tc>
      </w:tr>
      <w:tr>
        <w:trPr>
          <w:trHeight w:val="251"/>
        </w:trPr>
        <w:tc>
          <w:tcPr>
            <w:tcW w:w="2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68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Accrued expenses and other current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6,823</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0" w:type="dxa"/>
            <w:vAlign w:val="bottom"/>
          </w:tcPr>
          <w:p>
            <w:pPr>
              <w:spacing w:after="0"/>
              <w:rPr>
                <w:sz w:val="1"/>
                <w:szCs w:val="1"/>
                <w:color w:val="auto"/>
              </w:rPr>
            </w:pPr>
          </w:p>
        </w:tc>
      </w:tr>
      <w:tr>
        <w:trPr>
          <w:trHeight w:val="214"/>
        </w:trPr>
        <w:tc>
          <w:tcPr>
            <w:tcW w:w="2680" w:type="dxa"/>
            <w:vAlign w:val="bottom"/>
            <w:gridSpan w:val="2"/>
            <w:vMerge w:val="continue"/>
          </w:tcPr>
          <w:p>
            <w:pPr>
              <w:spacing w:after="0"/>
              <w:rPr>
                <w:sz w:val="18"/>
                <w:szCs w:val="18"/>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liabilities</w:t>
            </w:r>
          </w:p>
        </w:tc>
        <w:tc>
          <w:tcPr>
            <w:tcW w:w="1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47,519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49,494</w:t>
            </w:r>
          </w:p>
        </w:tc>
        <w:tc>
          <w:tcPr>
            <w:tcW w:w="0" w:type="dxa"/>
            <w:vAlign w:val="bottom"/>
          </w:tcPr>
          <w:p>
            <w:pPr>
              <w:spacing w:after="0"/>
              <w:rPr>
                <w:sz w:val="1"/>
                <w:szCs w:val="1"/>
                <w:color w:val="auto"/>
              </w:rPr>
            </w:pPr>
          </w:p>
        </w:tc>
      </w:tr>
      <w:tr>
        <w:trPr>
          <w:trHeight w:val="251"/>
        </w:trPr>
        <w:tc>
          <w:tcPr>
            <w:tcW w:w="2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55,361</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maturities of lease liabilities as of November 29, 2025, were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Operating Leases</w:t>
            </w:r>
          </w:p>
        </w:tc>
      </w:tr>
      <w:tr>
        <w:trPr>
          <w:trHeight w:val="25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7,206</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10,927</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10,388</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10,438</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10,549</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16,146</w:t>
            </w: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65,654</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(11,312)</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54,342</w:t>
            </w:r>
          </w:p>
        </w:tc>
      </w:tr>
      <w:tr>
        <w:trPr>
          <w:trHeight w:val="21"/>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leases were as follows: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November 29, 2025</w:t>
            </w: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7"/>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7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bl>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and other information related to operating leases was as follows: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29, 2025</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12"/>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0"/>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November 29, 2025, the Company will be required to make payments of $0.1 million over the next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October 21, 2022, and October 21, 2025, the Company announced that its Board of Directors had approved the addition of $50.0 million, $50.0 million, and $150.0 million, respectively, to its stock repurchase program, resulting in authorized stock repurchases of up to an aggregate of $300.0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thirteen weeks ended November 29, 2025, the Company repurchased 4,983,514 shares of common stock at an average price of $19.99 per share, inclusive of commissions and exclusive of accrued excise tax. The U.S. Inflation Reduction Act of 2022 requires a 1% excise tax on the net amount of share repurchases. The Company did not repurchase any shares of common stock during the thirteen weeks ended November 30, 2024. As of November 29, 2025, approximately $71.0 million remained available under the stock repurchase program.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2026, the Company's Board of Directors approved a $200 million increase to its existing stock repurchase program. Subsequent to the thirteen weeks ended November 29, 2025, and through January 6, 2026, the Company repurchased 2,430,028 shares of common stock at an average price of $19.34 per share, inclusive of commissions and exclusive of accrued excise tax. As of January 6, 2026, the Company has approximately $224.0 million available under its revised stock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and non-vested stock units.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54" w:lineRule="exact"/>
        <w:rPr>
          <w:sz w:val="20"/>
          <w:szCs w:val="20"/>
          <w:color w:val="auto"/>
        </w:rPr>
      </w:pPr>
    </w:p>
    <w:tbl>
      <w:tblPr>
        <w:tblLayout w:type="fixed"/>
        <w:tblInd w:w="128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November 29, 2025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5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67"/>
        </w:trPr>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3"/>
        </w:trPr>
        <w:tc>
          <w:tcPr>
            <w:tcW w:w="5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r>
      <w:tr>
        <w:trPr>
          <w:trHeight w:val="267"/>
        </w:trPr>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16"/>
        </w:trPr>
        <w:tc>
          <w:tcPr>
            <w:tcW w:w="5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98,749,340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100,394,693</w:t>
            </w:r>
          </w:p>
        </w:tc>
      </w:tr>
      <w:tr>
        <w:trPr>
          <w:trHeight w:val="226"/>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67"/>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3"/>
        </w:trPr>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7"/>
        </w:trPr>
        <w:tc>
          <w:tcPr>
            <w:tcW w:w="55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r>
      <w:tr>
        <w:trPr>
          <w:trHeight w:val="253"/>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r>
      <w:tr>
        <w:trPr>
          <w:trHeight w:val="247"/>
        </w:trPr>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5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98,749,340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100,394,693</w:t>
            </w:r>
          </w:p>
        </w:tc>
      </w:tr>
      <w:tr>
        <w:trPr>
          <w:trHeight w:val="267"/>
        </w:trPr>
        <w:tc>
          <w:tcPr>
            <w:tcW w:w="55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210,380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910,180</w:t>
            </w:r>
          </w:p>
        </w:tc>
      </w:tr>
      <w:tr>
        <w:trPr>
          <w:trHeight w:val="270"/>
        </w:trPr>
        <w:tc>
          <w:tcPr>
            <w:tcW w:w="5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91,284</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174,730</w:t>
            </w:r>
          </w:p>
        </w:tc>
      </w:tr>
      <w:tr>
        <w:trPr>
          <w:trHeight w:val="250"/>
        </w:trPr>
        <w:tc>
          <w:tcPr>
            <w:tcW w:w="55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99,051,004</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101,479,603</w:t>
            </w:r>
          </w:p>
        </w:tc>
      </w:tr>
      <w:tr>
        <w:trPr>
          <w:trHeight w:val="251"/>
        </w:trPr>
        <w:tc>
          <w:tcPr>
            <w:tcW w:w="5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29, 2025, November 30, 2024, excluded 0.9 million and 0.7 million shares of common stock issuable upon exercise of stock options that would have been anti-dilutive.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29, 2025, and November 30, 2024, excluded 0.4 million and an immaterial number of non-vested stock units that would have been anti-dilutive.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recipient’s other compensation is reported.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$3.1 million and $3.8 million in the thirteen weeks ended November 29, 2025, and November 30,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thirteen weeks ended November 29, 2025:</w:t>
      </w:r>
    </w:p>
    <w:p>
      <w:pPr>
        <w:spacing w:after="0" w:line="32"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1,476,243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25.44</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38.61</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November 29,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1,387,315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26.28</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November 29,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1,387,315</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26.28</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November 29,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1,197,402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24.62</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November 29, 2025, the Company had $0.8 million of total unrecognized compensation cost related to stock options that will be recognized over a weighted average period of 0.7 years. During the thirteen weeks ended November 29, 2025, and November 30, 2024, the Company received $1.1 million and $10.0 million in cash from stock option exercises,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thirteen weeks ended November 29, 2025:</w:t>
      </w:r>
    </w:p>
    <w:p>
      <w:pPr>
        <w:spacing w:after="0" w:line="73"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30,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639,015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451,449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November 29,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908,289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November 29, 2025, the Company had $20.5 million of total unrecognized compensation cost related to restricted stock units that will be recognized over a weighted average period of 2.2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thirteen weeks ended November 29, 2025, the Board of Directors granted performance stock units under the Company’s 2017 Omnibus Incentive Plan. The number of shares issuable as a result of grants of performance stock units is determined based on market-based criteria, performance-based criteria, or a combination of market-based criteria and performance-based criteria. The number of shares may be increased or decreased based on the results of these metrics in accordance with the terms established at the date of grant.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awards, the Company’s relative total shareholder return, or relative TSR, is measured for the Company and each company in the Russell 3000 Food &amp; Beverage index using the immediately preceding 30-day average share price at the beginning and end of the applicable three-year performance period. The percentile rank of the Company’s TSR relative to that of the peer group determines the percent of the target award earned, ranging between 0% and 200%. The related compensation expense is recognized ratably over the term regardless of whether or not the market condition is satisfied, provided the requisite service is rendered. These units are valued using a Monte Carlo simulation.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Company financial performance-based criteria awards, we estimate the probability that the Company’s internally established performance criteria will be achieved at each reporting period and adjust compensation expense accordingly. The performance metrics achieved determines the percent of the target award earned, ranging between 0% and 200%. These units are valued using the closing market price of the Company’s common stock on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and Company financial performance-based criteria awards, the Company’s TSR within the peer group and the performance metrics achieved determines the percent of the target award earned, ranging between 0% and 275%. We estimate the probability that the performance criteria will be achieved at each reporting period and adjust compensation expense accordingly. Should the performance-based criteria not be probable of being achieved, the compensation expense for the value of the award incorporating the market-based criteria is recognized ratably over the term, provided the requisite service is rendered. These units are valued using a Monte Carlo simulation.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thirteen weeks ended November 29, 2025:</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30, 2025</w:t>
            </w:r>
          </w:p>
        </w:tc>
        <w:tc>
          <w:tcPr>
            <w:tcW w:w="14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278,193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290,348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(56,651)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(17,977)</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November 29, 2025</w:t>
            </w:r>
          </w:p>
        </w:tc>
        <w:tc>
          <w:tcPr>
            <w:tcW w:w="14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493,913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 stock units are generally granted to employees as a part of the annual grant in November of the associated fiscal year, although the Board of Directors reserves the right to administer mid-year grants from time to time as they see fit. The fair value of each performance stock unit grant with a market-based TSR component is estimated on the date of grant using a Monte-Carlo simulation based on the following assumptions presented below which are associated with each year’s annual grant:</w:t>
      </w:r>
    </w:p>
    <w:p>
      <w:pPr>
        <w:spacing w:after="0" w:line="306"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Thirteen Weeks Ended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73"/>
        </w:trPr>
        <w:tc>
          <w:tcPr>
            <w:tcW w:w="3600" w:type="dxa"/>
            <w:vAlign w:val="bottom"/>
          </w:tcPr>
          <w:p>
            <w:pPr>
              <w:spacing w:after="0"/>
              <w:rPr>
                <w:sz w:val="23"/>
                <w:szCs w:val="23"/>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November 29, 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5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29.96%</w:t>
            </w:r>
          </w:p>
        </w:tc>
        <w:tc>
          <w:tcPr>
            <w:tcW w:w="12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31.38%</w:t>
            </w:r>
          </w:p>
        </w:tc>
      </w:tr>
      <w:tr>
        <w:trPr>
          <w:trHeight w:val="26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performance term</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r>
      <w:tr>
        <w:trPr>
          <w:trHeight w:val="26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4.14%</w:t>
            </w:r>
          </w:p>
        </w:tc>
      </w:tr>
      <w:tr>
        <w:trPr>
          <w:trHeight w:val="27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$22.22</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$54.41</w:t>
            </w: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November 29, 2025, the Company had $10.0 million of total unrecognized compensation cost related to performance stock units that will be recognized over an expected weighted average period of 2.4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SARs settle in shares of its common stock once the applicable vesting criteria have been met. The SARs outstanding as of November 29, 2025, cliff vested two years from the date of grant and must be exercised within five years from the date of grant.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SARs activity for the thirteen weeks ended November 29, 2025:</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30,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November 29,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as of November 29, 2025</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November 29,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200" w:lineRule="exact"/>
        <w:rPr>
          <w:sz w:val="20"/>
          <w:szCs w:val="20"/>
          <w:color w:val="auto"/>
        </w:rPr>
      </w:pPr>
    </w:p>
    <w:p>
      <w:pPr>
        <w:spacing w:after="0" w:line="3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SARs outstanding as of the thirteen weeks ended November 29, 2025, are liability-classified; therefore, the related stock-based compensation expense is based on the vesting provisions and the fair value of the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substantially completed its efforts to fully integrate its operations and organizational structure after the OWYN Acquisition. The Company aligned the nature of its production processes and methods used to distribute products to customers and its organizational structure to support entity-wide business functions across brands, products, customers, and geographic regions. As a result, as of the thirteen weeks ended November 29, 2025, the Company determined its operations are organized into one consolidated operating segment and reportable segment, represented by the Company’s consolidated financial statements. Previously, as of November 30, 2024, the Company’s operations were organized into two operating segments, Quest and Atkins, and OWYN, which were aggregated into one reportable segment due to similar financial, economic and operating characteristics.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(“CEO”). The CODM regularly reviews consolidated segment performance including net sales, significant expenses, net income, Adjusted EBITDA, budget to actual variance analysis, as well as other key metrics. The CODM uses net income as the measure of profitability to assess segment performance and allocate resources. The accounting policies of the segment are the same as those described in Note 2, Summary of Significant Accounting Policies.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segment net sales, significant expenses, and net income for the thirteen weeks ended November 29,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w:t>
      </w:r>
    </w:p>
    <w:p>
      <w:pPr>
        <w:spacing w:after="0" w:line="319" w:lineRule="exact"/>
        <w:rPr>
          <w:sz w:val="20"/>
          <w:szCs w:val="20"/>
          <w:color w:val="auto"/>
        </w:rPr>
      </w:pPr>
    </w:p>
    <w:tbl>
      <w:tblPr>
        <w:tblLayout w:type="fixed"/>
        <w:tblInd w:w="248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33"/>
        </w:trPr>
        <w:tc>
          <w:tcPr>
            <w:tcW w:w="3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29, 2025</w:t>
            </w:r>
          </w:p>
        </w:tc>
        <w:tc>
          <w:tcPr>
            <w:tcW w:w="8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43"/>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340,198</w:t>
            </w:r>
          </w:p>
        </w:tc>
        <w:tc>
          <w:tcPr>
            <w:tcW w:w="1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341,268</w:t>
            </w:r>
          </w:p>
        </w:tc>
      </w:tr>
      <w:tr>
        <w:trPr>
          <w:trHeight w:val="254"/>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230,298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210,782</w:t>
            </w:r>
          </w:p>
        </w:tc>
      </w:tr>
      <w:tr>
        <w:trPr>
          <w:trHeight w:val="25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29,677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32,994</w:t>
            </w:r>
          </w:p>
        </w:tc>
      </w:tr>
      <w:tr>
        <w:trPr>
          <w:trHeight w:val="260"/>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38,006</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38,064</w:t>
            </w:r>
          </w:p>
        </w:tc>
      </w:tr>
      <w:tr>
        <w:trPr>
          <w:trHeight w:val="254"/>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4,633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4,160</w:t>
            </w:r>
          </w:p>
        </w:tc>
      </w:tr>
      <w:tr>
        <w:trPr>
          <w:trHeight w:val="25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r>
      <w:tr>
        <w:trPr>
          <w:trHeight w:val="25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(6,950)</w:t>
            </w:r>
          </w:p>
        </w:tc>
      </w:tr>
      <w:tr>
        <w:trPr>
          <w:trHeight w:val="25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8,547</w:t>
            </w:r>
          </w:p>
        </w:tc>
        <w:tc>
          <w:tcPr>
            <w:tcW w:w="16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9,553</w:t>
            </w:r>
          </w:p>
        </w:tc>
      </w:tr>
      <w:tr>
        <w:trPr>
          <w:trHeight w:val="21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25,269</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38,122</w:t>
            </w:r>
          </w:p>
        </w:tc>
      </w:tr>
      <w:tr>
        <w:trPr>
          <w:trHeight w:val="21"/>
        </w:trPr>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changes in taxes, tariffs, duties, governmental laws and regulations, our growth, our competitive position,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30, 2025,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and this Report. The Company assumes no obligation to update any of these forward-looking statements.</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Quest, OWYN, and the Simply Good logo are either registered trademarks or trademarks of the Company’s wholly owned subsidiary Simply Good Foods USA, Inc. or one of its affiliates in the United States and elsewhere. All rights are reserved.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and through e-commerce, convenience, specialty, and other channels. Our portfolio of nutritious snacking brands gives us a strong platform with which to introduce new products, expand distribution, and attract new consumers to our products.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Simply Good Foods Company (“Simply Good Foods”) was formed in March 2017, to acquire NCP-ATK Holdings, Inc. (“Atkins”), which was completed in July 2017. As part of Simply Good Foods’ strategy to become an industry leading snacking platform, we acquired Quest Nutrition, LLC (“Quest”) in November 2019 and we acquired Only What You Need, Inc in June 2024. We refer to the acquisition of Quest Nutrition, LLC as the “Quest Acquisition” and the acquisition of Only What You Need, Inc. as the “OWYN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thirteen weeks ended November 29, 2025, our results of operations were primarily driven by continued distribution-related declines for Atkins and modest declines for OWYN, which were partially offset by Quest volume-driven growth. In recent periods, retail distribution for the Atkins brand has been under pressure. The Atkins brand has had, and continues to have, a large retail presence on-shelf, which is being reduced in the current fiscal year and could be reduced in future periods. In response, during the current fiscal year, we are taking actions to bolster the highest performing Atkins products and simultaneously working with retailers to replace lower performing Atkins products with higher performing Quest and OWYN products.</w:t>
      </w:r>
    </w:p>
    <w:p>
      <w:pPr>
        <w:spacing w:after="0" w:line="197"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The Company’s gross margin was affected by the unfavorable effects of higher commodity expenses and tariffs compared to the prior year, with productivity a modest offset in the quarter. Margins are expected to remain under pressure until the Company realizes the benefits expected from recently implemented pricing actions, productivity initiatives and other mitigating actions, which are expected to build as the fiscal year progresses. We continue to monitor macroeconomic trends and uncertainties such as consumer and economic uncertainty, key ingredient inflation, supply chain challenges, and the effects of tariffs, which may have adverse effects on net sales and profitability. We are</w:t>
      </w:r>
    </w:p>
    <w:p>
      <w:pPr>
        <w:sectPr>
          <w:pgSz w:w="11900" w:h="16838" w:orient="portrait"/>
          <w:cols w:equalWidth="0" w:num="1">
            <w:col w:w="11240"/>
          </w:cols>
          <w:pgMar w:left="320" w:top="121"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18"/>
          <w:szCs w:val="18"/>
          <w:color w:val="auto"/>
        </w:rPr>
        <w:t>continuing to evaluate these factors and our ability to potentially offset all or a portion of cost increases through pricing actions and cost savings efforts. Economic pressures on customers and consumers, including the challenges of high inflation and the effects of tariffs, may negatively affect our net sales and profitability in the future.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business transaction costs. The following is a brief description of the components of operating expenses:</w:t>
      </w:r>
    </w:p>
    <w:p>
      <w:pPr>
        <w:spacing w:after="0" w:line="184" w:lineRule="exact"/>
        <w:rPr>
          <w:sz w:val="20"/>
          <w:szCs w:val="20"/>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are comprised of broker commissions, customer marketing, media and other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comprised of expenses associated with corporate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that support our business, including employee compensation, stock-based compensation, professional services, executive transition costs, integration expense,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consist of expenses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50"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transaction advisory fees, non-deferrable debt issuance costs, legal,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consulting, and accounting expenses associated with the OWYN Acquisition.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thirteen weeks ended November 29, 2025, our net sales decreased 0.3% to $340.2 million compared to $341.3 million for the thirteen weeks ended November 30, 2024, driven by distribution-related declines for Atkins and modest declines for OWYN, which were partially offset by Quest volume-driven growth.</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decreased and gross profit margin decreased 590 basis points, primarily as a result of unfavorable commodity expenses and tariffs compared to the prior period. We expect to continue building on our existing capabilities and strengthening the position of our brands in the marketplace, and will continue to invest in our business and improve our operating efficiencies.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w:t>
      </w:r>
      <w:r>
        <w:rPr>
          <w:rFonts w:ascii="Times New Roman" w:cs="Times New Roman" w:eastAsia="Times New Roman" w:hAnsi="Times New Roman"/>
          <w:sz w:val="18"/>
          <w:szCs w:val="18"/>
          <w:i w:val="1"/>
          <w:iCs w:val="1"/>
          <w:color w:val="auto"/>
        </w:rPr>
        <w:t>Reconciliation of EBITDA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below for a reconciliation of EBITDA and Adjusted EBITDA to net income for each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November 29, 2025, and the Thirteen Weeks Ended November 30, 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40" w:type="dxa"/>
            <w:vAlign w:val="bottom"/>
          </w:tcPr>
          <w:p>
            <w:pPr>
              <w:spacing w:after="0"/>
              <w:rPr>
                <w:sz w:val="18"/>
                <w:szCs w:val="18"/>
                <w:color w:val="auto"/>
              </w:rPr>
            </w:pPr>
          </w:p>
        </w:tc>
      </w:tr>
      <w:tr>
        <w:trPr>
          <w:trHeight w:val="24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November 29, 2025</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of Net Sales</w:t>
            </w:r>
          </w:p>
        </w:tc>
        <w:tc>
          <w:tcPr>
            <w:tcW w:w="12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November 30, 2024</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1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340,198</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341,268</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230,298</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67.7 %</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210,782</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61.8 %</w:t>
            </w:r>
          </w:p>
        </w:tc>
      </w:tr>
      <w:tr>
        <w:trPr>
          <w:trHeight w:val="212"/>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109,900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130,486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32,994</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72,316</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75,861</w:t>
            </w:r>
          </w:p>
        </w:tc>
        <w:tc>
          <w:tcPr>
            <w:tcW w:w="1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22.2 %</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33,816</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37"/>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55,624</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70,068</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20.5 %</w:t>
            </w:r>
          </w:p>
        </w:tc>
      </w:tr>
    </w:tbl>
    <w:p>
      <w:pPr>
        <w:spacing w:after="0" w:line="13" w:lineRule="exact"/>
        <w:rPr>
          <w:sz w:val="20"/>
          <w:szCs w:val="20"/>
          <w:color w:val="auto"/>
        </w:rPr>
      </w:pPr>
    </w:p>
    <w:p>
      <w:pPr>
        <w:ind w:left="720" w:right="700" w:hanging="80"/>
        <w:spacing w:after="0" w:line="228" w:lineRule="auto"/>
        <w:tabs>
          <w:tab w:leader="none" w:pos="788"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-226695</wp:posOffset>
            </wp:positionV>
            <wp:extent cx="3985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30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$340.2 million for the thirteen weeks ended November 29, 2025, compared to $341.3 million for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November 30, 2024, representing an decrease of $1.1 million, or 0.3%, driven by distribution-related declines for Atkins and modest declines for OWYN, which were partially offset by Quest volume-driven growth.</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$19.5 million, or 9.3%, for the thirteen weeks ended November 29,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November 30, 2024. The cost of goods sold increase was driven primarily by higher ingredient and packaging costs compared to the prior year period.</w:t>
      </w:r>
    </w:p>
    <w:p>
      <w:pPr>
        <w:spacing w:after="0" w:line="19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$20.6 million, or 15.8%, to $109.9 million for the thirteen weeks ended November 29,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November 30, 2024. Gross profit margin was 32.3% of net sales for the thirteen weeks ended November 29, 2025, a decrease of 590 basis points from 38.2% of net sales for the thirteen weeks ended November 30, 2024. The decrease in gross profit margin was primarily driven by unfavorable commodity expenses compared to the prior year period and lower gross profit margins of the OWYN business.</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decreased $3.5 million, or 4.7%, for the thirteen weeks ended November 29,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November 30, 2024,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$3.3 million, or 10.1%, for the thirteen weeks ended November 29,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November 30, 2024. The decrease was primarily related to a planned decrease in Atkins marketing spend partially offset by increases for Quest and OWYN.</w:t>
      </w:r>
    </w:p>
    <w:p>
      <w:pPr>
        <w:spacing w:after="0" w:line="6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$0.1 million, or 0.2%, for the thirteen weeks ended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November 29, 2025, compared to the thirteen weeks ended November 30, 2024. The decrease was primarily attributable to a decrease of $1.7 million in integration expenses related to the OWYN Acquisition, a decrease of $0.8 million in stock based compensation, and a decrease of $0.2 million in employee-related costs, partially offset by an increase of $2.8 million in term loan transaction fees related to the 2026 Incremental Facility Amendment.</w:t>
      </w:r>
    </w:p>
    <w:p>
      <w:pPr>
        <w:spacing w:after="0" w:line="70" w:lineRule="exact"/>
        <w:rPr>
          <w:sz w:val="20"/>
          <w:szCs w:val="20"/>
          <w:color w:val="auto"/>
        </w:rPr>
      </w:pPr>
    </w:p>
    <w:p>
      <w:pPr>
        <w:ind w:left="66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$4.6 million for the thirteen weeks ended November 29,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 million for the thirteen weeks ended November 30, 2024, respectively.</w:t>
      </w:r>
    </w:p>
    <w:p>
      <w:pPr>
        <w:spacing w:after="0" w:line="5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zero for the thirteen weeks ended November 29, 2025, compared to $0.6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November 30, 2024, and were comprised of expenses related to the OWYN Acquisition.</w:t>
      </w:r>
    </w:p>
    <w:p>
      <w:pPr>
        <w:spacing w:after="0" w:line="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of $0.5 million decreased $0.3 million for the thirteen weeks ended November 29, 2025,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November 30, 2024.</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of $4.3 million decreased $3.6 million for the thirteen weeks ended November 29,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November 30, 2024, primarily due to the effect of principal payments reducing the outstanding balance of the Term Facility (as defined below), prior to the incremental borrowing on November 19, 2025, which increased the outstanding balance to $400.0 million as of the thirteen weeks ended November 29, 2025.</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gain on foreign currency transactions. </w:t>
      </w:r>
      <w:r>
        <w:rPr>
          <w:rFonts w:ascii="Times New Roman" w:cs="Times New Roman" w:eastAsia="Times New Roman" w:hAnsi="Times New Roman"/>
          <w:sz w:val="18"/>
          <w:szCs w:val="18"/>
          <w:color w:val="auto"/>
        </w:rPr>
        <w:t>Foreign currency transactions resulted in a $0.1 million loss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29, 2025, and a $0.1 million gain for the thirteen weeks ended November 30, 2024.</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was $8.5 million for the thirteen weeks ended November 29, 2025, compared to $9.6 million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November 30, 2024. The decrease in our income tax expense was primarily driven by a decrease in income before taxes.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$25.3 million for the thirteen weeks ended November 29, 2025, a decrease of $12.9 million, compared to net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$38.1 million for the thirteen weeks ended November 30, 2024. Net income was affected by lower income from operations, partially offset by lower other expense and income tax expense.</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$14.4 million, or 20.6%, for the thirteen weeks ended November 29,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November 30, 2024, driven primarily by lower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business transaction costs, purchase price accounting inventory step-up, integration expenses, term loan transaction fees,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weeks ended November 29, 2025, and November 30, 2024:</w:t>
      </w:r>
    </w:p>
    <w:p>
      <w:pPr>
        <w:spacing w:after="0" w:line="234" w:lineRule="exact"/>
        <w:rPr>
          <w:sz w:val="20"/>
          <w:szCs w:val="20"/>
          <w:color w:val="auto"/>
        </w:rPr>
      </w:pPr>
    </w:p>
    <w:tbl>
      <w:tblPr>
        <w:tblLayout w:type="fixed"/>
        <w:tblInd w:w="1420" w:type="dxa"/>
        <w:tblCellMar>
          <w:top w:w="0" w:type="dxa"/>
          <w:left w:w="0" w:type="dxa"/>
          <w:bottom w:w="0" w:type="dxa"/>
          <w:right w:w="0" w:type="dxa"/>
        </w:tblCellMar>
      </w:tblPr>
      <w:tr>
        <w:trPr>
          <w:trHeight w:val="210"/>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November 29, 2025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5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38,122</w:t>
            </w:r>
          </w:p>
        </w:tc>
      </w:tr>
      <w:tr>
        <w:trPr>
          <w:trHeight w:val="26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7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7,861</w:t>
            </w:r>
          </w:p>
        </w:tc>
      </w:tr>
      <w:tr>
        <w:trPr>
          <w:trHeight w:val="26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9,553</w:t>
            </w:r>
          </w:p>
        </w:tc>
      </w:tr>
      <w:tr>
        <w:trPr>
          <w:trHeight w:val="27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5,047</w:t>
            </w:r>
          </w:p>
        </w:tc>
      </w:tr>
      <w:tr>
        <w:trPr>
          <w:trHeight w:val="25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59,807</w:t>
            </w:r>
          </w:p>
        </w:tc>
      </w:tr>
      <w:tr>
        <w:trPr>
          <w:trHeight w:val="273"/>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3,844</w:t>
            </w:r>
          </w:p>
        </w:tc>
      </w:tr>
      <w:tr>
        <w:trPr>
          <w:trHeight w:val="267"/>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0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r>
      <w:tr>
        <w:trPr>
          <w:trHeight w:val="273"/>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 step-up</w:t>
            </w: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974</w:t>
            </w:r>
          </w:p>
        </w:tc>
      </w:tr>
      <w:tr>
        <w:trPr>
          <w:trHeight w:val="267"/>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Integration expense</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4,931</w:t>
            </w:r>
          </w:p>
        </w:tc>
      </w:tr>
      <w:tr>
        <w:trPr>
          <w:trHeight w:val="273"/>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70,068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 w:lineRule="exact"/>
        <w:rPr>
          <w:sz w:val="20"/>
          <w:szCs w:val="20"/>
          <w:color w:val="auto"/>
        </w:rPr>
      </w:pPr>
    </w:p>
    <w:p>
      <w:pPr>
        <w:ind w:left="1600" w:hanging="157"/>
        <w:spacing w:after="0"/>
        <w:tabs>
          <w:tab w:leader="none" w:pos="160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16"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had $194.1 million in cash as of November 29, 2025.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we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19, 2025, the Company entered into an eighth amendment (the “2026 Incremental Facility Amendment”) to the Credit Agreement to increase the principal borrowed on the Term Facility by $150.0 million and provided for an extension of the maturity date from March 17, 2027 to March 17, 2030. The 2026 Incremental Facility Amendment also provided for an extension of the stated maturity date of the Revolving Commitments and Revolving Loans (each as defined in the Credit Agreement) from December 16, 2026, to the earlier of (i) 91 days</w:t>
      </w:r>
    </w:p>
    <w:p>
      <w:pPr>
        <w:sectPr>
          <w:pgSz w:w="11900" w:h="16838" w:orient="portrait"/>
          <w:cols w:equalWidth="0" w:num="1">
            <w:col w:w="11240"/>
          </w:cols>
          <w:pgMar w:left="320" w:top="121"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then-effective maturity date of the Term Facility and (ii) December 16, 2029. The terms of the incremental borrowing are substantially the same as the terms of the outstanding borrowings under the Term Facility. No amounts of the Term Facility were repaid as a result of the execution of the 2026 Incremental Facility Amendment.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2026 Incremental Facility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1.00%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0.00%, plus (x) 2.00% margin for the Term Loan or (y) 2.00% margin for the Revolving Credit Facility.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closing of the 2026 Incremental Facility Amendment, the Company expensed $2.5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within the Consolidated Statements of Operations and Comprehensive Income and capitalized $2.6 million of upfront lender fees (original issue discount) and third-party financing costs.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covenants as of November 29, 2025, and August 30, 2025, respectively.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November 29, 2025, the outstanding balance of the Term Facility was $400.0 million. We are not required to make principal payments on the Term Facility over the twelve months following the period ended November 29, 2025. The outstanding balance of the Term Facility is due upon its maturity in March 2030. As of November 29, 2025,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21, 2025, the Company’s Board of Directors approved the addition of $150.0 million to our stock repurchase program, resulting in authorized stock repurchases of up to an aggregate amount of $300.0 million. During the thirteen weeks ended November 29, 2025, the Company repurchased 4,983,514 shares of common stock at an average price of $19.99 per share, inclusive of commissions exclusive of accrued excise tax. The U.S. Inflation Reduction Act of 2022 requires a 1% excise tax on the net amount of share repurchases. The Company did not repurchase any shares of common stock during the thirteen weeks ended November 30, 2024.</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November 29, 2025, approximately $71.0 million remained available for repurchases under our $300.0 million stock repurchase program. Refer to Note 10, Stockholders’ Equity, of the Notes to Unaudited Consolidated Financial Statements in this Report for additional information related to our stock repurchase program.</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2026, the Company's Board of Directors approved a $200 million increase to its existing stock repurchase program. Subsequent to the thirteen weeks ended November 29, 2025 and through January 6, 2026 the Company repurchased of 2,430,028 shares of common stock at an average price of $19.34 per share, inclusive of commissions and exclusive of accrued excise tax. As of January 6, 2026, the Company has approximately $224.0 million available under its revised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149"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36"/>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29, 2025</w:t>
            </w:r>
          </w:p>
        </w:tc>
        <w:tc>
          <w:tcPr>
            <w:tcW w:w="1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November 30, 2024</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50,094</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32,021</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(2,096)</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47,619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(42,331)</w:t>
            </w:r>
          </w:p>
        </w:tc>
      </w:tr>
    </w:tbl>
    <w:p>
      <w:pPr>
        <w:spacing w:after="0" w:line="3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increased $18.1 million to $50.1 million for the thirteen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29, 2025, compared to $32.0 million for the thirteen weeks ended November 30, 2024. The increase in cash provided by operating activities was primarily attributable to changes in working capital for the thirteen weeks ended November 29, 2025, as compared to the thirteen weeks ended November 30, 2024. Changes in working capital, comprised of changes in accounts receivable, net, inventories, prepaid expenses, other current assets, accounts payable, accrued interest, accrued expenses and other current liabilities, and other assets and liabilities, were driven by the timing of payments and receipts, which provided cash of $10.6 million in the thirteen weeks ended November 29, 2025, compared to $20.8 million of cash used in the thirteen weeks ended November 30, 2024, a difference of $31.4 million. Income from operations decreased by $17.0 million to $37.6 million for the thirteen weeks ended November 29, 2025, as compared to $54.6 million for the thirteen weeks ended November 30, 2024. Additionally, cash paid for interest was $4.1 million in the thirteen weeks ended November 29, 2025, which was a decrease of $3.4 million as compared to the $7.5 million paid for interest in the thirteen weeks ended November 30, 2024.</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$2.1 million for the thirteen weeks ended November 29, 2025, compared to $0.7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November 30, 2024. Our net cash used in investing activities for the thirteen weeks ended November 29, 2025, was primarily comprised of $2.1 million of purchases of property and equipment. The $0.7 million of net cash used in investing activities for the thirteen weeks ended November 30, 2024, was primarily comprised of $0.3 million of purchases of property and equipment and $0.4 million of investments in intangible and other assets.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provided by financing activities was $47.6 million for the thirteen weeks ended November 29,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$42.3 million of cash used in financing activities for the thirteen weeks ended November 30, 2024. Net cash provided by financing activities for the thirteen weeks ended November 29, 2025, primarily consisted of $150.0 million in proceeds from issuance of long-term debt and $1.1 million of cash proceeds received from option exercises, partially offset by $99.6 million in repurchases of common stock, inclusive of commissions and exclusive of accrued excise tax, and $1.2 million in tax payments related to the issuance of restricted stock units and performance stock units. Net cash used in financing activities for the thirteen weeks ended November 30, 2024, primarily consisted of $50.0 million in principal payments on the Term Facility, and $2.3 million in tax payments related to issuance of restricted stock units and performance stock units, partially offset by $10.0 million of cash proceeds received from option exercises.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thirteen-week period ended November 29, 2025. For a discussion of our market risks, see “Quantitative and Qualitative Disclosures About Market Risk” in Part II, Item 7A of our Annual Report.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November 29, 2025,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November 29, 2025,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Total number of shares</w:t>
            </w:r>
          </w:p>
        </w:tc>
        <w:tc>
          <w:tcPr>
            <w:tcW w:w="100" w:type="dxa"/>
            <w:vAlign w:val="bottom"/>
          </w:tcPr>
          <w:p>
            <w:pPr>
              <w:spacing w:after="0"/>
              <w:rPr>
                <w:sz w:val="16"/>
                <w:szCs w:val="16"/>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Average price paid</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Total number of shares purchased as</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Maximum dollar value of shares that may</w:t>
            </w:r>
          </w:p>
        </w:tc>
        <w:tc>
          <w:tcPr>
            <w:tcW w:w="0" w:type="dxa"/>
            <w:vAlign w:val="bottom"/>
          </w:tcPr>
          <w:p>
            <w:pPr>
              <w:spacing w:after="0"/>
              <w:rPr>
                <w:sz w:val="1"/>
                <w:szCs w:val="1"/>
                <w:color w:val="auto"/>
              </w:rPr>
            </w:pPr>
          </w:p>
        </w:tc>
      </w:tr>
      <w:tr>
        <w:trPr>
          <w:trHeight w:val="81"/>
        </w:trPr>
        <w:tc>
          <w:tcPr>
            <w:tcW w:w="1740" w:type="dxa"/>
            <w:vAlign w:val="bottom"/>
            <w:gridSpan w:val="2"/>
            <w:vMerge w:val="restart"/>
          </w:tcPr>
          <w:p>
            <w:pPr>
              <w:ind w:left="600"/>
              <w:spacing w:after="0" w:line="162" w:lineRule="exact"/>
              <w:rPr>
                <w:sz w:val="20"/>
                <w:szCs w:val="20"/>
                <w:color w:val="auto"/>
              </w:rPr>
            </w:pPr>
            <w:r>
              <w:rPr>
                <w:rFonts w:ascii="Times New Roman" w:cs="Times New Roman" w:eastAsia="Times New Roman" w:hAnsi="Times New Roman"/>
                <w:sz w:val="16"/>
                <w:szCs w:val="16"/>
                <w:color w:val="auto"/>
              </w:rPr>
              <w:t>Period</w:t>
            </w: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252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part of publicly announced plans or</w:t>
            </w:r>
          </w:p>
        </w:tc>
        <w:tc>
          <w:tcPr>
            <w:tcW w:w="180" w:type="dxa"/>
            <w:vAlign w:val="bottom"/>
          </w:tcPr>
          <w:p>
            <w:pPr>
              <w:spacing w:after="0"/>
              <w:rPr>
                <w:sz w:val="7"/>
                <w:szCs w:val="7"/>
                <w:color w:val="auto"/>
              </w:rPr>
            </w:pPr>
          </w:p>
        </w:tc>
        <w:tc>
          <w:tcPr>
            <w:tcW w:w="2640" w:type="dxa"/>
            <w:vAlign w:val="bottom"/>
            <w:vMerge w:val="restart"/>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yet be purchased under the plans or</w:t>
            </w:r>
          </w:p>
        </w:tc>
        <w:tc>
          <w:tcPr>
            <w:tcW w:w="0" w:type="dxa"/>
            <w:vAlign w:val="bottom"/>
          </w:tcPr>
          <w:p>
            <w:pPr>
              <w:spacing w:after="0"/>
              <w:rPr>
                <w:sz w:val="1"/>
                <w:szCs w:val="1"/>
                <w:color w:val="auto"/>
              </w:rPr>
            </w:pPr>
          </w:p>
        </w:tc>
      </w:tr>
      <w:tr>
        <w:trPr>
          <w:trHeight w:val="81"/>
        </w:trPr>
        <w:tc>
          <w:tcPr>
            <w:tcW w:w="1740" w:type="dxa"/>
            <w:vAlign w:val="bottom"/>
            <w:gridSpan w:val="2"/>
            <w:vMerge w:val="continue"/>
          </w:tcPr>
          <w:p>
            <w:pPr>
              <w:spacing w:after="0"/>
              <w:rPr>
                <w:sz w:val="7"/>
                <w:szCs w:val="7"/>
                <w:color w:val="auto"/>
              </w:rPr>
            </w:pPr>
          </w:p>
        </w:tc>
        <w:tc>
          <w:tcPr>
            <w:tcW w:w="18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color w:val="auto"/>
              </w:rPr>
              <w:t>purchased</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w w:val="99"/>
              </w:rPr>
              <w:t>per share</w:t>
            </w:r>
          </w:p>
        </w:tc>
        <w:tc>
          <w:tcPr>
            <w:tcW w:w="500" w:type="dxa"/>
            <w:vAlign w:val="bottom"/>
          </w:tcPr>
          <w:p>
            <w:pPr>
              <w:jc w:val="right"/>
              <w:ind w:right="306"/>
              <w:spacing w:after="0" w:line="81" w:lineRule="exact"/>
              <w:rPr>
                <w:sz w:val="20"/>
                <w:szCs w:val="20"/>
                <w:color w:val="auto"/>
              </w:rPr>
            </w:pPr>
            <w:r>
              <w:rPr>
                <w:rFonts w:ascii="Times New Roman" w:cs="Times New Roman" w:eastAsia="Times New Roman" w:hAnsi="Times New Roman"/>
                <w:sz w:val="9"/>
                <w:szCs w:val="9"/>
                <w:color w:val="auto"/>
                <w:w w:val="94"/>
              </w:rPr>
              <w:t>(2)</w:t>
            </w:r>
          </w:p>
        </w:tc>
        <w:tc>
          <w:tcPr>
            <w:tcW w:w="80" w:type="dxa"/>
            <w:vAlign w:val="bottom"/>
          </w:tcPr>
          <w:p>
            <w:pPr>
              <w:spacing w:after="0"/>
              <w:rPr>
                <w:sz w:val="7"/>
                <w:szCs w:val="7"/>
                <w:color w:val="auto"/>
              </w:rPr>
            </w:pPr>
          </w:p>
        </w:tc>
        <w:tc>
          <w:tcPr>
            <w:tcW w:w="25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programs</w:t>
            </w:r>
            <w:r>
              <w:rPr>
                <w:rFonts w:ascii="Times New Roman" w:cs="Times New Roman" w:eastAsia="Times New Roman" w:hAnsi="Times New Roman"/>
                <w:sz w:val="21"/>
                <w:szCs w:val="2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center"/>
              <w:ind w:right="119"/>
              <w:spacing w:after="0" w:line="216" w:lineRule="exact"/>
              <w:rPr>
                <w:sz w:val="20"/>
                <w:szCs w:val="20"/>
                <w:color w:val="auto"/>
              </w:rPr>
            </w:pPr>
            <w:r>
              <w:rPr>
                <w:rFonts w:ascii="Times New Roman" w:cs="Times New Roman" w:eastAsia="Times New Roman" w:hAnsi="Times New Roman"/>
                <w:sz w:val="16"/>
                <w:szCs w:val="16"/>
                <w:color w:val="auto"/>
                <w:w w:val="93"/>
              </w:rPr>
              <w:t>programs</w:t>
            </w:r>
            <w:r>
              <w:rPr>
                <w:rFonts w:ascii="Times New Roman" w:cs="Times New Roman" w:eastAsia="Times New Roman" w:hAnsi="Times New Roman"/>
                <w:sz w:val="21"/>
                <w:szCs w:val="21"/>
                <w:color w:val="auto"/>
                <w:w w:val="93"/>
                <w:vertAlign w:val="superscript"/>
              </w:rPr>
              <w:t>(1)</w:t>
            </w:r>
          </w:p>
        </w:tc>
        <w:tc>
          <w:tcPr>
            <w:tcW w:w="0" w:type="dxa"/>
            <w:vAlign w:val="bottom"/>
          </w:tcPr>
          <w:p>
            <w:pPr>
              <w:spacing w:after="0"/>
              <w:rPr>
                <w:sz w:val="1"/>
                <w:szCs w:val="1"/>
                <w:color w:val="auto"/>
              </w:rPr>
            </w:pPr>
          </w:p>
        </w:tc>
      </w:tr>
      <w:tr>
        <w:trPr>
          <w:trHeight w:val="155"/>
        </w:trPr>
        <w:tc>
          <w:tcPr>
            <w:tcW w:w="16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August 31, 2025 -</w:t>
            </w:r>
          </w:p>
        </w:tc>
        <w:tc>
          <w:tcPr>
            <w:tcW w:w="100" w:type="dxa"/>
            <w:vAlign w:val="bottom"/>
            <w:shd w:val="clear" w:color="auto" w:fill="CCEEFF"/>
          </w:tcPr>
          <w:p>
            <w:pPr>
              <w:spacing w:after="0"/>
              <w:rPr>
                <w:sz w:val="13"/>
                <w:szCs w:val="13"/>
                <w:color w:val="auto"/>
              </w:rPr>
            </w:pPr>
          </w:p>
        </w:tc>
        <w:tc>
          <w:tcPr>
            <w:tcW w:w="1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20,661,295</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27, 2025</w:t>
            </w:r>
          </w:p>
        </w:tc>
        <w:tc>
          <w:tcPr>
            <w:tcW w:w="18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252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September 28, 2025 -</w:t>
            </w:r>
          </w:p>
        </w:tc>
        <w:tc>
          <w:tcPr>
            <w:tcW w:w="1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2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20,661,295</w:t>
            </w:r>
          </w:p>
        </w:tc>
        <w:tc>
          <w:tcPr>
            <w:tcW w:w="0" w:type="dxa"/>
            <w:vAlign w:val="bottom"/>
          </w:tcPr>
          <w:p>
            <w:pPr>
              <w:spacing w:after="0"/>
              <w:rPr>
                <w:sz w:val="1"/>
                <w:szCs w:val="1"/>
                <w:color w:val="auto"/>
              </w:rPr>
            </w:pPr>
          </w:p>
        </w:tc>
      </w:tr>
      <w:tr>
        <w:trPr>
          <w:trHeight w:val="21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25, 2025</w:t>
            </w:r>
          </w:p>
        </w:tc>
        <w:tc>
          <w:tcPr>
            <w:tcW w:w="1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October 26, 2025 -</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4,983,514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shd w:val="clear" w:color="auto" w:fill="CCEEFF"/>
          </w:tcPr>
          <w:p>
            <w:pPr>
              <w:spacing w:after="0"/>
              <w:rPr>
                <w:sz w:val="14"/>
                <w:szCs w:val="14"/>
                <w:color w:val="auto"/>
              </w:rPr>
            </w:pPr>
          </w:p>
        </w:tc>
        <w:tc>
          <w:tcPr>
            <w:tcW w:w="2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4,983,514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71,023,559</w:t>
            </w: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29, 2025</w:t>
            </w: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4,983,514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spacing w:after="0"/>
              <w:rPr>
                <w:sz w:val="17"/>
                <w:szCs w:val="17"/>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4,983,514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71,023,559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3810</wp:posOffset>
            </wp:positionV>
            <wp:extent cx="55632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12" w:lineRule="exact"/>
        <w:rPr>
          <w:sz w:val="20"/>
          <w:szCs w:val="20"/>
          <w:color w:val="auto"/>
        </w:rPr>
      </w:pPr>
    </w:p>
    <w:p>
      <w:pPr>
        <w:jc w:val="both"/>
        <w:ind w:left="720" w:right="20" w:firstLine="1"/>
        <w:spacing w:after="0" w:line="228" w:lineRule="auto"/>
        <w:tabs>
          <w:tab w:leader="none" w:pos="869"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adopted a $50.0 million stock repurchase program on November 13, 2018. On April 13, 2022, October 21, 2022, and October 21, 2025, we announced that our Board of Directors had approved the addition of $50.0 million, $50.0 million, and $150.0 million, respectively, to our stock repurchase program, resulting in authorized stock repurchases of up to an aggregate of $300.0 million. As of November 29, 2025, approximately $71.0 million remained available under the stock repurchase program. In January 2026, the Company's Board of Directors approved a $200 million increase to its existing stock repurchase program. Subsequent to the thirteen weeks ended November 29, 2025 and through January 6, 2026 the Company repurchased 2,430,028 shares of common stock at an average price of $19.34 per share, inclusive of commissions and exclusive of accrued excise tax. As of January 6, 2026, the Company has approximately $224.0 million available under its revised stock repurchase program. Under the stock repurchase program, we may repurchase shares from time to time in the open market or in privately negotiated transactions. The stock repurchase program does not obligate us to acquire any specific number of shares over any specific period of time. We may suspend or discontinue the stock repurchase program at any time, and the stock repurchase program does not have an expiration date.</w:t>
      </w:r>
    </w:p>
    <w:p>
      <w:pPr>
        <w:spacing w:after="0" w:line="47" w:lineRule="exact"/>
        <w:rPr>
          <w:rFonts w:ascii="Times New Roman" w:cs="Times New Roman" w:eastAsia="Times New Roman" w:hAnsi="Times New Roman"/>
          <w:sz w:val="19"/>
          <w:szCs w:val="19"/>
          <w:color w:val="auto"/>
          <w:vertAlign w:val="superscript"/>
        </w:rPr>
      </w:pPr>
    </w:p>
    <w:p>
      <w:pPr>
        <w:ind w:left="720" w:right="40" w:firstLine="1"/>
        <w:spacing w:after="0" w:line="210" w:lineRule="auto"/>
        <w:tabs>
          <w:tab w:leader="none" w:pos="887"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includes commissions, but excludes our liability under the 1% excise tax on the net amount of share repurchases required by the Inflation Reduction Act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-1221105</wp:posOffset>
            </wp:positionV>
            <wp:extent cx="5563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November 29, 2025, no directors or officers adopted or terminated a “Rule 10b5-1 trading arrangement” or a “non-Rule 10b5-1 trading arrangement,” as each term is defined in Item 408(a) of Regulation S-K.</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60" w:type="dxa"/>
            <w:vAlign w:val="bottom"/>
            <w:tcBorders>
              <w:bottom w:val="single" w:sz="8" w:color="CCEEFF"/>
            </w:tcBorders>
          </w:tcPr>
          <w:p>
            <w:pPr>
              <w:spacing w:after="0"/>
              <w:rPr>
                <w:sz w:val="18"/>
                <w:szCs w:val="18"/>
                <w:color w:val="auto"/>
              </w:rPr>
            </w:pPr>
          </w:p>
        </w:tc>
        <w:tc>
          <w:tcPr>
            <w:tcW w:w="8900" w:type="dxa"/>
            <w:vAlign w:val="bottom"/>
            <w:tcBorders>
              <w:bottom w:val="single" w:sz="8" w:color="CCEEFF"/>
            </w:tcBorders>
            <w:gridSpan w:val="9"/>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83"/>
        </w:trPr>
        <w:tc>
          <w:tcPr>
            <w:tcW w:w="320" w:type="dxa"/>
            <w:vAlign w:val="bottom"/>
            <w:tcBorders>
              <w:bottom w:val="single" w:sz="8" w:color="CCEEFF"/>
            </w:tcBorders>
            <w:gridSpan w:val="2"/>
            <w:shd w:val="clear" w:color="auto" w:fill="CCEEFF"/>
          </w:tcPr>
          <w:p>
            <w:pPr>
              <w:ind w:left="20"/>
              <w:spacing w:after="0" w:line="158" w:lineRule="exact"/>
              <w:rPr>
                <w:rFonts w:ascii="Times New Roman" w:cs="Times New Roman" w:eastAsia="Times New Roman" w:hAnsi="Times New Roman"/>
                <w:sz w:val="16"/>
                <w:szCs w:val="16"/>
                <w:color w:val="0000FF"/>
                <w:w w:val="99"/>
              </w:rPr>
            </w:pPr>
            <w:hyperlink r:id="rId42">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20" w:type="dxa"/>
            <w:vAlign w:val="bottom"/>
            <w:tcBorders>
              <w:bottom w:val="single" w:sz="8" w:color="0000FF"/>
            </w:tcBorders>
            <w:gridSpan w:val="5"/>
            <w:shd w:val="clear" w:color="auto" w:fill="CCEEFF"/>
          </w:tcPr>
          <w:p>
            <w:pPr>
              <w:spacing w:after="0" w:line="138"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Amendment No. 8, dated as of November 19, 2025, among Atkins Intermediate Holdings, LLC, a Delaware limited liability company,</w:t>
              </w:r>
            </w:hyperlink>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22"/>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0000FF"/>
              <w:bottom w:val="single" w:sz="8" w:color="CCEEFF"/>
            </w:tcBorders>
            <w:shd w:val="clear" w:color="auto" w:fill="CCEEFF"/>
          </w:tcPr>
          <w:p>
            <w:pPr>
              <w:spacing w:after="0"/>
              <w:rPr>
                <w:sz w:val="10"/>
                <w:szCs w:val="10"/>
                <w:color w:val="auto"/>
              </w:rPr>
            </w:pPr>
          </w:p>
        </w:tc>
        <w:tc>
          <w:tcPr>
            <w:tcW w:w="6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820" w:type="dxa"/>
            <w:vAlign w:val="bottom"/>
            <w:tcBorders>
              <w:top w:val="single" w:sz="8" w:color="CCEEFF"/>
              <w:bottom w:val="single" w:sz="8" w:color="0000FF"/>
            </w:tcBorders>
            <w:gridSpan w:val="5"/>
            <w:shd w:val="clear" w:color="auto" w:fill="CCEEFF"/>
          </w:tcPr>
          <w:p>
            <w:pPr>
              <w:spacing w:after="0" w:line="122" w:lineRule="exact"/>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Conyers Park Acquisition Corp., a Delaware corporation, Simply Good Foods USA, Inc., a New York corporation, Atkins Nutritionals</w:t>
              </w:r>
            </w:hyperlink>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42"/>
        </w:trPr>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60" w:type="dxa"/>
            <w:vAlign w:val="bottom"/>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Holdings, Inc., a Delaware corporation, Atkins Nutritionals Holdings II, Inc., a Delaware corporation, NCP-ATK Holdings, Inc., a</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84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Delaware corporation, certain other subsidiaries of Simply Good Foods USA, Inc., the lenders party thereto and Barclays Bank PLC, as</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160" w:type="dxa"/>
            <w:vAlign w:val="bottom"/>
            <w:tcBorders>
              <w:bottom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administrative agent (incorporated by reference to Exhibit 10.1 to our Form 8-K filed on November 20, 2025).</w:t>
              </w:r>
            </w:hyperlink>
          </w:p>
        </w:tc>
        <w:tc>
          <w:tcPr>
            <w:tcW w:w="1720" w:type="dxa"/>
            <w:vAlign w:val="bottom"/>
            <w:tcBorders>
              <w:bottom w:val="single" w:sz="8" w:color="CCEEFF"/>
            </w:tcBorders>
            <w:gridSpan w:val="5"/>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6"/>
        </w:trPr>
        <w:tc>
          <w:tcPr>
            <w:tcW w:w="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60" w:type="dxa"/>
            <w:vAlign w:val="bottom"/>
          </w:tcPr>
          <w:p>
            <w:pPr>
              <w:spacing w:after="0"/>
              <w:rPr>
                <w:sz w:val="15"/>
                <w:szCs w:val="15"/>
                <w:color w:val="auto"/>
              </w:rPr>
            </w:pPr>
          </w:p>
        </w:tc>
        <w:tc>
          <w:tcPr>
            <w:tcW w:w="890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60" w:type="dxa"/>
            <w:vAlign w:val="bottom"/>
            <w:shd w:val="clear" w:color="auto" w:fill="CCEEFF"/>
          </w:tcPr>
          <w:p>
            <w:pPr>
              <w:spacing w:after="0"/>
              <w:rPr>
                <w:sz w:val="15"/>
                <w:szCs w:val="15"/>
                <w:color w:val="auto"/>
              </w:rPr>
            </w:pPr>
          </w:p>
        </w:tc>
        <w:tc>
          <w:tcPr>
            <w:tcW w:w="890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60" w:type="dxa"/>
            <w:vAlign w:val="bottom"/>
          </w:tcPr>
          <w:p>
            <w:pPr>
              <w:spacing w:after="0"/>
              <w:rPr>
                <w:sz w:val="15"/>
                <w:szCs w:val="15"/>
                <w:color w:val="auto"/>
              </w:rPr>
            </w:pPr>
          </w:p>
        </w:tc>
        <w:tc>
          <w:tcPr>
            <w:tcW w:w="890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60" w:type="dxa"/>
            <w:vAlign w:val="bottom"/>
            <w:shd w:val="clear" w:color="auto" w:fill="CCEEFF"/>
          </w:tcPr>
          <w:p>
            <w:pPr>
              <w:spacing w:after="0"/>
              <w:rPr>
                <w:sz w:val="14"/>
                <w:szCs w:val="14"/>
                <w:color w:val="auto"/>
              </w:rPr>
            </w:pPr>
          </w:p>
        </w:tc>
        <w:tc>
          <w:tcPr>
            <w:tcW w:w="8900" w:type="dxa"/>
            <w:vAlign w:val="bottom"/>
            <w:gridSpan w:val="9"/>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6"/>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3"/>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16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9"/>
        </w:trPr>
        <w:tc>
          <w:tcPr>
            <w:tcW w:w="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160" w:type="dxa"/>
            <w:vAlign w:val="bottom"/>
            <w:shd w:val="clear" w:color="auto" w:fill="CCEEFF"/>
          </w:tcPr>
          <w:p>
            <w:pPr>
              <w:spacing w:after="0"/>
              <w:rPr>
                <w:sz w:val="19"/>
                <w:szCs w:val="19"/>
                <w:color w:val="auto"/>
              </w:rPr>
            </w:pPr>
          </w:p>
        </w:tc>
        <w:tc>
          <w:tcPr>
            <w:tcW w:w="8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3"/>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16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9"/>
        </w:trPr>
        <w:tc>
          <w:tcPr>
            <w:tcW w:w="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160" w:type="dxa"/>
            <w:vAlign w:val="bottom"/>
            <w:shd w:val="clear" w:color="auto" w:fill="CCEEFF"/>
          </w:tcPr>
          <w:p>
            <w:pPr>
              <w:spacing w:after="0"/>
              <w:rPr>
                <w:sz w:val="19"/>
                <w:szCs w:val="19"/>
                <w:color w:val="auto"/>
              </w:rPr>
            </w:pPr>
          </w:p>
        </w:tc>
        <w:tc>
          <w:tcPr>
            <w:tcW w:w="89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160" w:type="dxa"/>
            <w:vAlign w:val="bottom"/>
          </w:tcPr>
          <w:p>
            <w:pPr>
              <w:spacing w:after="0"/>
              <w:rPr>
                <w:sz w:val="18"/>
                <w:szCs w:val="18"/>
                <w:color w:val="auto"/>
              </w:rPr>
            </w:pPr>
          </w:p>
        </w:tc>
        <w:tc>
          <w:tcPr>
            <w:tcW w:w="89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 w:lineRule="exact"/>
        <w:rPr>
          <w:sz w:val="20"/>
          <w:szCs w:val="20"/>
          <w:color w:val="auto"/>
        </w:rPr>
      </w:pPr>
    </w:p>
    <w:p>
      <w:pPr>
        <w:ind w:left="1760" w:hanging="1113"/>
        <w:spacing w:after="0"/>
        <w:tabs>
          <w:tab w:leader="none" w:pos="1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w:t>
      </w:r>
    </w:p>
    <w:p>
      <w:pPr>
        <w:spacing w:after="0" w:line="32"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32"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-390525</wp:posOffset>
            </wp:positionV>
            <wp:extent cx="63436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3436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 /s/ Timothy A. Matthews</w:t>
      </w:r>
    </w:p>
    <w:p>
      <w:pPr>
        <w:spacing w:after="0" w:line="26" w:lineRule="exact"/>
        <w:rPr>
          <w:sz w:val="20"/>
          <w:szCs w:val="20"/>
          <w:color w:val="auto"/>
        </w:rPr>
      </w:pPr>
    </w:p>
    <w:p>
      <w:pPr>
        <w:ind w:left="1660"/>
        <w:spacing w:after="0"/>
        <w:tabs>
          <w:tab w:leader="none" w:pos="2240" w:val="left"/>
          <w:tab w:leader="none" w:pos="4720" w:val="left"/>
        </w:tabs>
        <w:rPr>
          <w:sz w:val="20"/>
          <w:szCs w:val="20"/>
          <w:color w:val="auto"/>
        </w:rPr>
      </w:pPr>
      <w:r>
        <w:rPr>
          <w:rFonts w:ascii="Times New Roman" w:cs="Times New Roman" w:eastAsia="Times New Roman" w:hAnsi="Times New Roman"/>
          <w:sz w:val="16"/>
          <w:szCs w:val="16"/>
          <w:color w:val="auto"/>
        </w:rPr>
        <w:t>Date:</w:t>
        <w:tab/>
        <w:t>January 8, 2026</w:t>
      </w:r>
      <w:r>
        <w:rPr>
          <w:sz w:val="20"/>
          <w:szCs w:val="20"/>
          <w:color w:val="auto"/>
        </w:rPr>
        <w:tab/>
      </w:r>
      <w:r>
        <w:rPr>
          <w:rFonts w:ascii="Times New Roman" w:cs="Times New Roman" w:eastAsia="Times New Roman" w:hAnsi="Times New Roman"/>
          <w:sz w:val="17"/>
          <w:szCs w:val="17"/>
          <w:color w:val="auto"/>
          <w:vertAlign w:val="subscript"/>
        </w:rPr>
        <w:t xml:space="preserve">Name: </w:t>
      </w:r>
      <w:r>
        <w:rPr>
          <w:rFonts w:ascii="Times New Roman" w:cs="Times New Roman" w:eastAsia="Times New Roman" w:hAnsi="Times New Roman"/>
          <w:sz w:val="17"/>
          <w:szCs w:val="17"/>
          <w:color w:val="auto"/>
        </w:rPr>
        <w:t>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802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320" w:top="121" w:right="6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2026  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2260" w:type="dxa"/>
            <w:vAlign w:val="bottom"/>
            <w:vMerge w:val="restart"/>
          </w:tcPr>
          <w:p>
            <w:pPr>
              <w:ind w:left="15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2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Bealer, certify that:</w:t>
      </w:r>
    </w:p>
    <w:p>
      <w:pPr>
        <w:spacing w:after="0" w:line="225" w:lineRule="exact"/>
        <w:rPr>
          <w:sz w:val="20"/>
          <w:szCs w:val="20"/>
          <w:color w:val="auto"/>
        </w:rPr>
      </w:pPr>
    </w:p>
    <w:p>
      <w:pPr>
        <w:ind w:left="420" w:hanging="23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2026  By:</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Christopher J. Bealer</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Christopher J. Bealer</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20" w:firstLine="18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November 29, 2025,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2026</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8, 2026</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Christopher J. Bealer</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Christopher J. Bealer</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04"/>
    </w:lvl>
  </w:abstractNum>
  <w:abstractNum w:abstractNumId="13">
    <w:nsid w:val="6B68079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4">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5">
    <w:nsid w:val="25E45D32"/>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6">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7">
    <w:nsid w:val="431BD7B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2" Type="http://schemas.openxmlformats.org/officeDocument/2006/relationships/hyperlink" Target="https://www.sec.gov/Archives/edgar/data/1702744/000110465925114309/tm253169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2026-01-08T07:38:47Z</dcterms:created>
  <dcterms:modified xsi:type="dcterms:W3CDTF">2026-01-08T07:38:47Z</dcterms:modified>
</cp:coreProperties>
</file>