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26"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7" w:lineRule="exact"/>
        <w:rPr>
          <w:sz w:val="24"/>
          <w:szCs w:val="24"/>
          <w:color w:val="auto"/>
        </w:rPr>
      </w:pPr>
    </w:p>
    <w:p>
      <w:pPr>
        <w:ind w:left="1980" w:right="620" w:hanging="777"/>
        <w:spacing w:after="0" w:line="235" w:lineRule="auto"/>
        <w:tabs>
          <w:tab w:leader="none" w:pos="19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fiscal year ended August 29, 2026</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3" w:lineRule="exact"/>
        <w:rPr>
          <w:sz w:val="24"/>
          <w:szCs w:val="24"/>
          <w:color w:val="auto"/>
        </w:rPr>
      </w:pPr>
    </w:p>
    <w:p>
      <w:pPr>
        <w:ind w:left="1980" w:right="620" w:hanging="777"/>
        <w:spacing w:after="0" w:line="235" w:lineRule="auto"/>
        <w:tabs>
          <w:tab w:leader="none" w:pos="19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001-38115</w:t>
      </w:r>
    </w:p>
    <w:p>
      <w:pPr>
        <w:spacing w:after="0" w:line="30"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85725</wp:posOffset>
            </wp:positionV>
            <wp:extent cx="1645920" cy="1268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1268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ectPr>
          <w:pgSz w:w="11900" w:h="16838" w:orient="portrait"/>
          <w:cols w:equalWidth="0" w:num="1">
            <w:col w:w="11240"/>
          </w:cols>
          <w:pgMar w:left="320" w:top="776" w:right="339" w:bottom="101" w:gutter="0" w:footer="0" w:header="0"/>
        </w:sectPr>
      </w:pPr>
    </w:p>
    <w:p>
      <w:pPr>
        <w:spacing w:after="0" w:line="162"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82-1038121</w:t>
      </w:r>
    </w:p>
    <w:p>
      <w:pPr>
        <w:spacing w:after="0" w:line="63" w:lineRule="exact"/>
        <w:rPr>
          <w:sz w:val="24"/>
          <w:szCs w:val="24"/>
          <w:color w:val="auto"/>
        </w:rPr>
      </w:pPr>
    </w:p>
    <w:p>
      <w:pPr>
        <w:sectPr>
          <w:pgSz w:w="11900" w:h="16838" w:orient="portrait"/>
          <w:cols w:equalWidth="0" w:num="2">
            <w:col w:w="8100" w:space="720"/>
            <w:col w:w="2420"/>
          </w:cols>
          <w:pgMar w:left="320" w:top="776" w:right="339" w:bottom="101" w:gutter="0" w:footer="0" w:header="0"/>
          <w:type w:val="continuous"/>
        </w:sectPr>
      </w:pPr>
    </w:p>
    <w:tbl>
      <w:tblPr>
        <w:tblLayout w:type="fixed"/>
        <w:tblInd w:w="860" w:type="dxa"/>
        <w:tblCellMar>
          <w:top w:w="0" w:type="dxa"/>
          <w:left w:w="0" w:type="dxa"/>
          <w:bottom w:w="0" w:type="dxa"/>
          <w:right w:w="0" w:type="dxa"/>
        </w:tblCellMar>
      </w:tblPr>
      <w:tr>
        <w:trPr>
          <w:trHeight w:val="184"/>
        </w:trPr>
        <w:tc>
          <w:tcPr>
            <w:tcW w:w="4580" w:type="dxa"/>
            <w:vAlign w:val="bottom"/>
          </w:tcPr>
          <w:p>
            <w:pPr>
              <w:jc w:val="center"/>
              <w:ind w:right="25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000" w:type="dxa"/>
            <w:vAlign w:val="bottom"/>
            <w:vMerge w:val="restart"/>
          </w:tcPr>
          <w:p>
            <w:pPr>
              <w:ind w:left="264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102"/>
        </w:trPr>
        <w:tc>
          <w:tcPr>
            <w:tcW w:w="4580" w:type="dxa"/>
            <w:vAlign w:val="bottom"/>
            <w:vMerge w:val="restart"/>
          </w:tcPr>
          <w:p>
            <w:pPr>
              <w:jc w:val="center"/>
              <w:ind w:right="253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580" w:type="dxa"/>
            <w:vAlign w:val="bottom"/>
            <w:vMerge w:val="continue"/>
          </w:tcPr>
          <w:p>
            <w:pPr>
              <w:spacing w:after="0"/>
              <w:rPr>
                <w:sz w:val="9"/>
                <w:szCs w:val="9"/>
                <w:color w:val="auto"/>
              </w:rPr>
            </w:pPr>
          </w:p>
        </w:tc>
        <w:tc>
          <w:tcPr>
            <w:tcW w:w="5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1225 17th Street, Suite 1000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r>
        <w:rPr>
          <w:rFonts w:ascii="Times New Roman" w:cs="Times New Roman" w:eastAsia="Times New Roman" w:hAnsi="Times New Roman"/>
          <w:sz w:val="18"/>
          <w:szCs w:val="18"/>
          <w:b w:val="1"/>
          <w:bCs w:val="1"/>
          <w:color w:val="auto"/>
        </w:rPr>
        <w: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(303) 633-2840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9" w:lineRule="exact"/>
        <w:rPr>
          <w:sz w:val="24"/>
          <w:szCs w:val="24"/>
          <w:color w:val="auto"/>
        </w:rPr>
      </w:pPr>
    </w:p>
    <w:tbl>
      <w:tblPr>
        <w:tblLayout w:type="fixed"/>
        <w:tblInd w:w="600" w:type="dxa"/>
        <w:tblCellMar>
          <w:top w:w="0" w:type="dxa"/>
          <w:left w:w="0" w:type="dxa"/>
          <w:bottom w:w="0" w:type="dxa"/>
          <w:right w:w="0" w:type="dxa"/>
        </w:tblCellMar>
      </w:tblPr>
      <w:tr>
        <w:trPr>
          <w:trHeight w:val="210"/>
        </w:trPr>
        <w:tc>
          <w:tcPr>
            <w:tcW w:w="34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Trading Symbol(s)</w:t>
            </w: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6"/>
        </w:trPr>
        <w:tc>
          <w:tcPr>
            <w:tcW w:w="32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r>
      <w:tr>
        <w:trPr>
          <w:trHeight w:val="204"/>
        </w:trPr>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40" w:type="dxa"/>
            <w:vAlign w:val="bottom"/>
          </w:tcPr>
          <w:p>
            <w:pPr>
              <w:spacing w:after="0"/>
              <w:rPr>
                <w:sz w:val="17"/>
                <w:szCs w:val="17"/>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SMPL</w:t>
            </w:r>
          </w:p>
        </w:tc>
        <w:tc>
          <w:tcPr>
            <w:tcW w:w="140" w:type="dxa"/>
            <w:vAlign w:val="bottom"/>
          </w:tcPr>
          <w:p>
            <w:pPr>
              <w:spacing w:after="0"/>
              <w:rPr>
                <w:sz w:val="17"/>
                <w:szCs w:val="17"/>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76" w:right="339" w:bottom="101" w:gutter="0" w:footer="0" w:header="0"/>
          <w:type w:val="continuous"/>
        </w:sectPr>
      </w:pPr>
    </w:p>
    <w:bookmarkStart w:id="1" w:name="page2"/>
    <w:bookmarkEnd w:id="1"/>
    <w:p>
      <w:pPr>
        <w:spacing w:after="0" w:line="5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7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ind w:left="760"/>
        <w:spacing w:after="0" w:line="16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119"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7"/>
          <w:szCs w:val="17"/>
          <w:color w:val="auto"/>
        </w:rPr>
        <w:t>☐</w:t>
      </w:r>
    </w:p>
    <w:p>
      <w:pPr>
        <w:spacing w:after="0" w:line="61" w:lineRule="exact"/>
        <w:rPr>
          <w:sz w:val="20"/>
          <w:szCs w:val="20"/>
          <w:color w:val="auto"/>
        </w:rPr>
      </w:pPr>
    </w:p>
    <w:p>
      <w:pPr>
        <w:ind w:left="20"/>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4820" w:space="100"/>
            <w:col w:w="160" w:space="680"/>
            <w:col w:w="5480"/>
          </w:cols>
          <w:pgMar w:left="320" w:top="148" w:right="339" w:bottom="1440" w:gutter="0" w:footer="0" w:header="0"/>
        </w:sectPr>
      </w:pPr>
    </w:p>
    <w:p>
      <w:pPr>
        <w:spacing w:after="0" w:line="152"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8"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7" w:lineRule="exact"/>
        <w:rPr>
          <w:sz w:val="20"/>
          <w:szCs w:val="20"/>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as of February 28, 2026, the last trading day of the registrant’s most recently completed second fiscal quarter, was approximately $1.4 billion based on the closing price of $17.06 for one share of common stock, as reported on the Nasdaq Capital Market on that date. For the purpose of the foregoing calculation only, all directors and executive officers of the registrant and owners of more than 10% of the registrant’s common stock are assumed to be affiliates of the registrant. This determination of affiliate status is not necessarily conclusive for any other purpose.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22, 2026, there were 86,861,967 shares of common stock, par value $0.01 per share, issued and outstanding.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56" w:lineRule="exact"/>
        <w:rPr>
          <w:sz w:val="20"/>
          <w:szCs w:val="20"/>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Certain portions of the registrant’s definitive proxy statement, in connection with its 2027 annual meeting of stockholders, to be filed within 120 days after the end of the fiscal year ended August 29, 2026, are incorporated by reference into Part III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1B</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4</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7A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9A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9B</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9C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14</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16</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SIGNATURES</w:t>
      </w:r>
    </w:p>
    <w:p>
      <w:pPr>
        <w:spacing w:after="0" w:line="20" w:lineRule="exact"/>
        <w:rPr>
          <w:sz w:val="20"/>
          <w:szCs w:val="20"/>
          <w:color w:val="auto"/>
        </w:rPr>
      </w:pPr>
      <w:r>
        <w:rPr>
          <w:sz w:val="20"/>
          <w:szCs w:val="20"/>
          <w:color w:val="auto"/>
        </w:rPr>
        <w:br w:type="column"/>
      </w: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2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412"/>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11"/>
          </w:tcPr>
          <w:p>
            <w:pPr>
              <w:jc w:val="center"/>
              <w:ind w:right="416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780" w:type="dxa"/>
            <w:vAlign w:val="bottom"/>
            <w:gridSpan w:val="16"/>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4200" w:type="dxa"/>
            <w:vAlign w:val="bottom"/>
            <w:gridSpan w:val="9"/>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100" w:type="dxa"/>
            <w:vAlign w:val="bottom"/>
          </w:tcPr>
          <w:p>
            <w:pPr>
              <w:spacing w:after="0"/>
              <w:rPr>
                <w:sz w:val="20"/>
                <w:szCs w:val="20"/>
                <w:color w:val="auto"/>
              </w:rPr>
            </w:pPr>
          </w:p>
        </w:tc>
      </w:tr>
      <w:tr>
        <w:trPr>
          <w:trHeight w:val="237"/>
        </w:trPr>
        <w:tc>
          <w:tcPr>
            <w:tcW w:w="82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15</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2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160" w:type="dxa"/>
            <w:vAlign w:val="bottom"/>
            <w:gridSpan w:val="17"/>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200" w:type="dxa"/>
            <w:vAlign w:val="bottom"/>
            <w:gridSpan w:val="22"/>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6880" w:type="dxa"/>
            <w:vAlign w:val="bottom"/>
            <w:gridSpan w:val="21"/>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2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412"/>
        </w:trPr>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16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82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r>
      <w:tr>
        <w:trPr>
          <w:trHeight w:val="156"/>
        </w:trPr>
        <w:tc>
          <w:tcPr>
            <w:tcW w:w="7320" w:type="dxa"/>
            <w:vAlign w:val="bottom"/>
            <w:tcBorders>
              <w:top w:val="single" w:sz="8" w:color="0000FF"/>
            </w:tcBorders>
            <w:gridSpan w:val="26"/>
          </w:tcPr>
          <w:p>
            <w:pPr>
              <w:spacing w:after="0" w:line="156" w:lineRule="exact"/>
              <w:rPr>
                <w:sz w:val="20"/>
                <w:szCs w:val="20"/>
                <w:color w:val="auto"/>
              </w:rPr>
            </w:pPr>
            <w:r>
              <w:rPr>
                <w:rFonts w:ascii="Times New Roman" w:cs="Times New Roman" w:eastAsia="Times New Roman" w:hAnsi="Times New Roman"/>
                <w:sz w:val="18"/>
                <w:szCs w:val="18"/>
                <w:color w:val="0000FF"/>
              </w:rPr>
              <w:t>Securities</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Reserved</w:t>
            </w:r>
          </w:p>
        </w:tc>
        <w:tc>
          <w:tcPr>
            <w:tcW w:w="7480" w:type="dxa"/>
            <w:vAlign w:val="bottom"/>
            <w:gridSpan w:val="24"/>
          </w:tcPr>
          <w:p>
            <w:pPr>
              <w:spacing w:after="0"/>
              <w:rPr>
                <w:sz w:val="19"/>
                <w:szCs w:val="19"/>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40" w:type="dxa"/>
            <w:vAlign w:val="bottom"/>
            <w:gridSpan w:val="3"/>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3"/>
          </w:tcPr>
          <w:p>
            <w:pPr>
              <w:spacing w:after="0"/>
              <w:rPr>
                <w:sz w:val="20"/>
                <w:szCs w:val="20"/>
                <w:color w:val="auto"/>
              </w:rPr>
            </w:pPr>
          </w:p>
        </w:tc>
        <w:tc>
          <w:tcPr>
            <w:tcW w:w="1740" w:type="dxa"/>
            <w:vAlign w:val="bottom"/>
            <w:gridSpan w:val="3"/>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840" w:type="dxa"/>
            <w:vAlign w:val="bottom"/>
            <w:gridSpan w:val="6"/>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2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740" w:type="dxa"/>
            <w:vAlign w:val="bottom"/>
            <w:gridSpan w:val="3"/>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r>
      <w:tr>
        <w:trPr>
          <w:trHeight w:val="20"/>
        </w:trPr>
        <w:tc>
          <w:tcPr>
            <w:tcW w:w="132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2"/>
          </w:tcPr>
          <w:p>
            <w:pPr>
              <w:spacing w:after="0"/>
              <w:rPr>
                <w:sz w:val="20"/>
                <w:szCs w:val="20"/>
                <w:color w:val="auto"/>
              </w:rPr>
            </w:pPr>
          </w:p>
        </w:tc>
        <w:tc>
          <w:tcPr>
            <w:tcW w:w="6440" w:type="dxa"/>
            <w:vAlign w:val="bottom"/>
            <w:gridSpan w:val="19"/>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86</w:t>
            </w:r>
          </w:p>
        </w:tc>
      </w:tr>
      <w:tr>
        <w:trPr>
          <w:trHeight w:val="20"/>
        </w:trPr>
        <w:tc>
          <w:tcPr>
            <w:tcW w:w="132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300" w:type="dxa"/>
            <w:vAlign w:val="bottom"/>
            <w:gridSpan w:val="5"/>
          </w:tcPr>
          <w:p>
            <w:pPr>
              <w:spacing w:after="0"/>
              <w:rPr>
                <w:sz w:val="21"/>
                <w:szCs w:val="21"/>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86</w:t>
            </w:r>
          </w:p>
        </w:tc>
      </w:tr>
      <w:tr>
        <w:trPr>
          <w:trHeight w:val="439"/>
        </w:trPr>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0000FF"/>
            </w:tcBorders>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820" w:type="dxa"/>
            <w:vAlign w:val="bottom"/>
            <w:tcBorders>
              <w:top w:val="single" w:sz="8" w:color="0000FF"/>
            </w:tcBorders>
            <w:gridSpan w:val="2"/>
          </w:tcPr>
          <w:p>
            <w:pPr>
              <w:spacing w:after="0"/>
              <w:rPr>
                <w:sz w:val="24"/>
                <w:szCs w:val="24"/>
                <w:color w:val="auto"/>
              </w:rPr>
            </w:pPr>
          </w:p>
        </w:tc>
        <w:tc>
          <w:tcPr>
            <w:tcW w:w="330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82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11"/>
          </w:tcPr>
          <w:p>
            <w:pPr>
              <w:spacing w:after="0"/>
              <w:rPr>
                <w:sz w:val="20"/>
                <w:szCs w:val="20"/>
                <w:color w:val="auto"/>
              </w:rPr>
            </w:pPr>
          </w:p>
        </w:tc>
        <w:tc>
          <w:tcPr>
            <w:tcW w:w="4120" w:type="dxa"/>
            <w:vAlign w:val="bottom"/>
            <w:gridSpan w:val="7"/>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r>
      <w:tr>
        <w:trPr>
          <w:trHeight w:val="20"/>
        </w:trPr>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2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r>
      <w:tr>
        <w:trPr>
          <w:trHeight w:val="20"/>
        </w:trPr>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2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20" w:type="dxa"/>
            <w:vAlign w:val="bottom"/>
            <w:gridSpan w:val="2"/>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r>
      <w:tr>
        <w:trPr>
          <w:trHeight w:val="20"/>
        </w:trPr>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760" w:type="dxa"/>
            <w:vAlign w:val="bottom"/>
            <w:gridSpan w:val="4"/>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r>
      <w:tr>
        <w:trPr>
          <w:trHeight w:val="439"/>
        </w:trPr>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gridSpan w:val="13"/>
          </w:tcPr>
          <w:p>
            <w:pPr>
              <w:jc w:val="center"/>
              <w:ind w:right="414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1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200" w:type="dxa"/>
            <w:vAlign w:val="bottom"/>
            <w:gridSpan w:val="3"/>
          </w:tcPr>
          <w:p>
            <w:pPr>
              <w:spacing w:after="0"/>
              <w:rPr>
                <w:sz w:val="20"/>
                <w:szCs w:val="20"/>
                <w:color w:val="auto"/>
              </w:rPr>
            </w:pPr>
          </w:p>
        </w:tc>
        <w:tc>
          <w:tcPr>
            <w:tcW w:w="720" w:type="dxa"/>
            <w:vAlign w:val="bottom"/>
            <w:tcBorders>
              <w:top w:val="single" w:sz="8" w:color="0000FF"/>
            </w:tcBorders>
            <w:gridSpan w:val="5"/>
          </w:tcPr>
          <w:p>
            <w:pPr>
              <w:spacing w:after="0"/>
              <w:rPr>
                <w:sz w:val="20"/>
                <w:szCs w:val="20"/>
                <w:color w:val="auto"/>
              </w:rPr>
            </w:pPr>
          </w:p>
        </w:tc>
        <w:tc>
          <w:tcPr>
            <w:tcW w:w="4120" w:type="dxa"/>
            <w:vAlign w:val="bottom"/>
            <w:gridSpan w:val="7"/>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88</w:t>
            </w:r>
          </w:p>
        </w:tc>
      </w:tr>
      <w:tr>
        <w:trPr>
          <w:trHeight w:val="20"/>
        </w:trPr>
        <w:tc>
          <w:tcPr>
            <w:tcW w:w="1540" w:type="dxa"/>
            <w:vAlign w:val="bottom"/>
            <w:gridSpan w:val="7"/>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040" w:type="dxa"/>
            <w:vAlign w:val="bottom"/>
            <w:gridSpan w:val="15"/>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040" w:type="dxa"/>
            <w:vAlign w:val="bottom"/>
            <w:gridSpan w:val="15"/>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100" w:space="180"/>
            <w:col w:w="8580"/>
          </w:cols>
          <w:pgMar w:left="960" w:top="684" w:right="10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Form 10-K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 to differ materially from those expressed or implied by these forward-looking statements. We caution you that these forward-looking statements reflect our current views with respect to future events, are not guarantees of future performance and involve risks, uncertainties and assumptions that are difficult to predict. You should not place undue reliance on forward-looking statements. These statements reflect our current views with respect to future events, are based on assumptions and are subject to risks and uncertainties. These risks and uncertainties relate to, among other things, our operations being dependent on changes in consumer preferences and purchasing habits regarding our products, a global supply chain and effects of supply chain constraints, inflationary pressure and tariffs on us and our contract manufacturers, our ability to continue to operate at a profit or to maintain our margins, the sufficiency of our sources of liquidity and capital, our ability to maintain current operation levels and implement our growth strategies, our ability to maintain and gain market acceptance for our products or new products, our ability to capitalize on attractive opportunities, our ability to respond to competition and changes in the economy including changes regarding inflation and increasing ingredient and packaging costs and labor challenges due to tariffs or other challenges at our contract manufacturers and third party logistics providers, the amounts of or changes with respect to certain anticipated raw materials and other costs, difficulties and delays in achieving the synergies and cost savings in connection with acquisitions, changes in the business environment in which we operate including general financial, economic, capital market, regulatory and geopolitical conditions affecting us and the industry in which we operate, our ability to maintain adequate product inventory levels to timely supply customer orders, changes in taxes, tariffs, duties, governmental laws and regulations, the availability of or competition for other brands, assets or other opportunities for investment by us or to expand our business, competitive product and pricing activity, difficulties of managing growth profitably, the effect of pandemics or other global disruptions on our business, financial condition and results of operations, the loss of one or more members of our management team, potential for increased costs, the harm to our business resulting from unauthorized access of the information technology systems we use in our business, and other risks and uncertainties indicated in this Report, including those set forth under “Risk Factors” in this Report. Important factors could cause actual results to differ materially from those indicated or implied by forward-looking statements such as those contained in documents we have filed with the U.S. Securities and Exchange Commission (the “SEC”), including in this Report in “Management’s Discussion and Analysis of Financial Condition and Results of Operations,” “Risk Factors” and those contained in subsequent reports we will file with the SEC.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because of new information, future events or otherwise, except as required by applicable law, and readers should not rely on the forward-looking statements as representing the Company’s views as of any date subsequent to the date of the filing of this Report.</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Unless the context otherwise requires, the terms “we,” “us,” “our,” the “Company” and “Simply Good Foods” refer to The Simply Good Foods Company and its subsidiaries. In context, “Quest” may also refer to the Quest brand, “Atkins” may also refer to the Atkins brand, and “OWYN” may also refer to the OWYN brand. Atkins, Atkins Endulge, Quest, OWYN, and the Simply Good logo are either registered trademarks or trademarks of the Company’s wholly owned subsidiary Simply Good Foods USA, Inc. or one of its affiliates in the United States and elsewhere. All rights are reserved.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risks described in Item 1A “Risk Factors” of this Report, which are summarized below, before making an investment decision. Our business, prospects, financial condition or operating results could be harmed by any of these risks, and other risks not currently known to us or that we currently consider immaterial. The trading price of our securities could decline due to any of these risks, and, as a result, you may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5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consumer preferences, habits, perceptions and discretionary spending, which may negatively affect our brand loyalty and net sales.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in the highly competitive nutritional snacking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global supply chain and effects of supply chain constraints, inflationary pressure and tariffs on us or our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prices or fail to implement our growth strategies successfully.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continually enhance our brand recognition, increase distribution of our products, grow and maintain shelf space, attract new consumers to our brands and introduce new and innovative products, either on a timely basis or at all.</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our brands or organizational reputation is damaged, including as a result of negative information on social media.</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must expend resources to maintain consumer awareness of our brands, build brand loyalty and generate interest in our products and the evolution of our marketing strategies and channels, and our programs may not be successful.</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focus, which makes us particularly vulnerable to economic and other events and trends in North America.</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epidemics or disease outbreaks, which may disrupt our business, including, among other things, consumption and trade patterns, our supply chain and production processes.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Operating Model</w:t>
      </w:r>
    </w:p>
    <w:p>
      <w:pPr>
        <w:spacing w:after="0" w:line="25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Ingredient and packaging costs are volatile and may rise significantly.</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interruptions in the supply or delivery of our core ingredients, equipment, packaging and products as we rely on a limited number of third-party suppliers to supply our core ingredients and a limited number of contract manufacturers to manufacture our products.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sales to a limited number of retailers for a substantial portion of our net sales and we maintain “at-will” contracts with these retailers, which do not require recurring or minimum purchase amounts of our products.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in, disruption of and lack of efficiency in our fulfillment network.</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 natural disasters, government regulations related to climate change, the effects of climate change and geopolitical events, which can all affect crop supplies and supply chain infrastructure.</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grow through mergers, acquisitions or joint ventures, and we may not successfully integrate, operate or realize the anticipated benefits of such business combinations, including the OWYN Acquisition.</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policies may not provide adequate levels of coverage against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key executive officers or other personnel, or an inability to attract and retain such management and other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material intellectual property and other proprietary rights.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inadequacy, failure or interruption of our information technology systems may harm our ability to effectively operate our business, and our business is subject to online security risks, including security breaches and identity theft.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 and Litigation Risks</w:t>
      </w:r>
    </w:p>
    <w:p>
      <w:pPr>
        <w:spacing w:after="0" w:line="25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products must comply with regulations of the U.S. Food and Drug Administration and state and local regulations.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advertising is regulated for accuracy, and if our advertising is determined to be false or misleading, we may face fines or sanctions.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and regulatory environment could limit our business activities, increase our operating costs, reduce demand for our products or result in litigation.</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legal proceedings could expose us to significant liabilities and have a negative effect on our reputation.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Capital Structure</w:t>
      </w:r>
    </w:p>
    <w:p>
      <w:pPr>
        <w:spacing w:after="0" w:line="256" w:lineRule="exact"/>
        <w:rPr>
          <w:sz w:val="20"/>
          <w:szCs w:val="20"/>
          <w:color w:val="auto"/>
        </w:rPr>
      </w:pPr>
    </w:p>
    <w:p>
      <w:pPr>
        <w:ind w:left="660" w:right="2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materially and adversely affect our financial condition and ability to operate our company, and we may incur additional debt.</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may adversely affect our earnings and cash flows.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capital in the future, and it may not be available on acceptable terms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significant costs because of operating as a public company.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appropriate systems, procedures and controls, we may not be able to successfully procure, offer or ship our products, grow our business, account for transactions, accurately report our financial results in an appropriate and timely manner or prevent fraud.</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recognize impairment charges that could materially affect our financial results.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only significant asset is ownership of 100% of Atkins Intermediate Holdings, LLC, which could limit our ability to pay any dividends on our common stock or satisfy our other financial obligations.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5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price may be affected by future sales of common stock or other dilution.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expect to declare any dividends in the foreseeable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contains anti-takeover provisions which could impair a takeover attempt.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Risks</w:t>
      </w:r>
    </w:p>
    <w:p>
      <w:pPr>
        <w:spacing w:after="0" w:line="25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risks associated with our international operations and exposure to the worldwide economy.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certificate of incorporation excludes certain of our Board members from the doctrine of “corporate opportunity.”</w:t>
      </w:r>
    </w:p>
    <w:p>
      <w:pPr>
        <w:spacing w:after="0" w:line="3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684" w:right="8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and other product offerings that seek to address consumers’ increasing demand for protein-rich food that is low in simple carbohydrates. The product portfolio we develop, market and sell consists primarily of protein bars, ready-to-drink (“RTD”) protein shakes, sweet and salty protein snacks and confectionery products marketed under the Quest, Atkins, and OWYN brand names. Simply Good Foods is poised to expand its wellness platform through innovation and organic growth along with acquisition and licensing opportunities.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Atkins for those following a low-carbohydrate lifestyle or seeking to manage weight or blood sugar levels, and OWYN for consumers seeking protein-rich beverages that are plant-based and tested for the top nine allergens. We distribute our products in major retail channels, primarily in North America, including grocery, club, and mass merchandise, and through e-commerce, convenience, specialty, and other channels. Our portfolio of nutritious snacking brands gives us a strong platform with which to introduce new products, expand distribution, and attract new consumers to our products.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snacking occasions have been on the rise in recent years as consumers continue to desire more convenient, healthy and delicious foods, snacks, and meal replacements. We believe our emphasis on product formats such as our protein bars, chips and salty snacks, confections, RTD protein shakes, and protein powders position us to fill important needs for consumers. We believe several existing and emerging consumer trends within the U.S. food and beverage industry will continue to drive both the growth of the nutritional snacking category and increase the demand for our product offerings. Some of these trends include increased consumption of smaller, more frequent meals throughout the day, consumers’ strong preference for convenient, “better-for-you” snacks, consumers’ greater focus on health and wellness, consumers seeking to add convenient sources of protein and fiber to their diets, and consumers’ movement toward increasing the consumption of protein, limiting simple carbohydrates or avoiding certain allergens.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our Quest brand, we strive to offer an attractive lineup of protein bars, protein chips and salty snacks, RTD protein shakes and other beverages, and confections, which target these existing and emerging consumer trends. With our Atkins brand, we strive to offer a compelling line of protein bars, RTD protein shakes, and confections. With our OWYN brand, we strive to offer RTD protein shakes and protein powders that are plant-based and tested for the top nine allergens in a variety of protein levels. Our sales, marketing, and research and development capabilities enable us to distribute products to a national customer base across a spectrum of retail channels, including the mass merchandise, grocery, drug, club stores, e-commerce, and small format retail such as convenience stores and gas stations.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Simply Good Foods Company (“Simply Good Foods”) was formed in March 2017, to acquire NCP-ATK Holdings, Inc. (“Atkins”), which was completed in July 2017. As part of Simply Good Foods’ strategy to become an industry leading snacking platform, in November 2019, we acquired Quest Nutrition, LLC (“Quest”), and we acquired Only What You Need, Inc. in June 2024. We refer to the acquisition of Quest Nutrition, LLC as the “Quest Acquisition” and the acquisition of Only What You Need, Inc. as the “OWYN Acquisition”.</w:t>
      </w:r>
    </w:p>
    <w:p>
      <w:pPr>
        <w:spacing w:after="0" w:line="203" w:lineRule="exact"/>
        <w:rPr>
          <w:sz w:val="20"/>
          <w:szCs w:val="20"/>
          <w:color w:val="auto"/>
        </w:rPr>
      </w:pPr>
    </w:p>
    <w:p>
      <w:pPr>
        <w:jc w:val="both"/>
        <w:ind w:right="20" w:firstLine="648"/>
        <w:spacing w:after="0" w:line="230" w:lineRule="auto"/>
        <w:rPr>
          <w:sz w:val="20"/>
          <w:szCs w:val="20"/>
          <w:color w:val="auto"/>
        </w:rPr>
      </w:pPr>
      <w:r>
        <w:rPr>
          <w:rFonts w:ascii="Times New Roman" w:cs="Times New Roman" w:eastAsia="Times New Roman" w:hAnsi="Times New Roman"/>
          <w:sz w:val="18"/>
          <w:szCs w:val="18"/>
          <w:color w:val="auto"/>
        </w:rPr>
        <w:t>Our principal executive offices are located at 1225 17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 Suite 1000, Denver, Colorado 80202. Our telephone number is (303) 633-2840. We maintain a web site at </w:t>
      </w:r>
      <w:r>
        <w:rPr>
          <w:rFonts w:ascii="Times New Roman" w:cs="Times New Roman" w:eastAsia="Times New Roman" w:hAnsi="Times New Roman"/>
          <w:sz w:val="18"/>
          <w:szCs w:val="18"/>
          <w:i w:val="1"/>
          <w:iCs w:val="1"/>
          <w:u w:val="single" w:color="auto"/>
          <w:color w:val="auto"/>
        </w:rPr>
        <w:t>www.thesimplygoodfoodscompany.com</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Strengths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Powerful brands with strong consumer awareness and loyalty</w:t>
      </w:r>
      <w:r>
        <w:rPr>
          <w:rFonts w:ascii="Times New Roman" w:cs="Times New Roman" w:eastAsia="Times New Roman" w:hAnsi="Times New Roman"/>
          <w:sz w:val="18"/>
          <w:szCs w:val="18"/>
          <w:color w:val="auto"/>
        </w:rPr>
        <w:t>. We are a leader in the fast-growing nutritional snacking category, and our 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Atkins and OWYN brands are leading brands with combined scale in protein bars, protein chips, confections, RTD protein shakes, and protein powders. Our highly focused snacking portfolio provides us with a leading position within retailers’ nutrition and wellness aisles, resulting in meaningful shelf space. Our brands can appeal to consumers interested in an active lifestyle who are seeking protein-rich, low-carb snacking options, consumers looking to manage weight through several approaches including using medications such as GLP-1s and weight management programs, and consumers looking to consume protein through convenient RTD protein shakes and powders that are plant-based and tested for the top nine allergens, which makes our brands highly attractive and strategic for a diverse set of retailers across various distribution channels.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Aligned with consumer mega trends. </w:t>
      </w:r>
      <w:r>
        <w:rPr>
          <w:rFonts w:ascii="Times New Roman" w:cs="Times New Roman" w:eastAsia="Times New Roman" w:hAnsi="Times New Roman"/>
          <w:sz w:val="18"/>
          <w:szCs w:val="18"/>
          <w:color w:val="auto"/>
        </w:rPr>
        <w:t>Increasing global concern about growing rates of obesity and weight-related diseases and other health issues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resulted in increased scientific, media and consumer focus on nutrition. Over 100 independent, peer reviewed, clinical studies show the benefits of controlling carbohydrates. In addition, consumers are increasingly looking to increase the level of protein consumption in their diets. We believe this focus is prompting consumers to rebalance their nutritional breakdown to increase protein and shift away from carbohydrates. Our brand attributes, “protein-rich” and “low-carb” nutrition, are well-aligned with consumer mega trends. In addition, we</w:t>
      </w:r>
    </w:p>
    <w:p>
      <w:pPr>
        <w:sectPr>
          <w:pgSz w:w="11900" w:h="16838" w:orient="portrait"/>
          <w:cols w:equalWidth="0" w:num="1">
            <w:col w:w="11240"/>
          </w:cols>
          <w:pgMar w:left="320" w:top="684" w:right="3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believe consumers’ eating habits are gradually shifting towards increased convenience, snacking and meal replacement. We also believe our portfolio of convenient and nutritious products and our ongoing effort to meet consumer demands for convenient snacking options support their individual health, nutrition, allergen sensitivities, and lifestyle goals.</w:t>
      </w:r>
    </w:p>
    <w:p>
      <w:pPr>
        <w:spacing w:after="0" w:line="20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Scalable snacking and food platform. </w:t>
      </w:r>
      <w:r>
        <w:rPr>
          <w:rFonts w:ascii="Times New Roman" w:cs="Times New Roman" w:eastAsia="Times New Roman" w:hAnsi="Times New Roman"/>
          <w:sz w:val="18"/>
          <w:szCs w:val="18"/>
          <w:color w:val="auto"/>
        </w:rPr>
        <w:t>We have been able to grow our product offerings for our nutritious snacking brands through our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extensions and through acquisitions. Our in-house product development experience and our outsourced manufacturing model allow us to bring new products to market quickly. We pride ourselves on knowing our consumers and gleaning insights that lead to new products and ideas. We believe we can leverage our strong relationships with our retail customers and distributors, a strong brand building track record, and category management expertise to help new products, brands and brand extensions gain distribution and consumer recognition, allowing us to continue to successfully expand our snacking platform. We believe our strong balance sheet allows us to participate in attractive acquisition opportunities.</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Asset-light business with strong cash generation</w:t>
      </w:r>
      <w:r>
        <w:rPr>
          <w:rFonts w:ascii="Times New Roman" w:cs="Times New Roman" w:eastAsia="Times New Roman" w:hAnsi="Times New Roman"/>
          <w:sz w:val="18"/>
          <w:szCs w:val="18"/>
          <w:color w:val="auto"/>
        </w:rPr>
        <w:t>. We retain core in-house capabilities including sales, marketing, brand management,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product development, and supply-chain expertise, while collaborating with a diversified pool of contract manufacturers and distributors to execute manufacturing and distribution. Outsourcing these competencies allows us to focus our efforts on consumer insights, innovation, marketing, and sales to meet consumer demands. Our lean infrastructure allows for significant flexibility, speed-to-market, and targeted capital investment, which translates into relatively consistent and robust free cash flow generation over time.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Experienced leadership team</w:t>
      </w:r>
      <w:r>
        <w:rPr>
          <w:rFonts w:ascii="Times New Roman" w:cs="Times New Roman" w:eastAsia="Times New Roman" w:hAnsi="Times New Roman"/>
          <w:sz w:val="18"/>
          <w:szCs w:val="18"/>
          <w:color w:val="auto"/>
        </w:rPr>
        <w:t>. Simply Good Foods has an experienced team of industry veterans with extensive experience across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branded consumer products, food and nutrition categories. Our management team’s extensive experience is complemented by the significant industry expertise of our Board of Directors. Our management team’s deep expertise and proven record of accomplishment in managing brands and operating packaged food businesses is a key driver of our success and we believe positions Simply Good Foods as an attractive vehicle for future long-term growth within the food industry.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Strategies</w:t>
      </w:r>
    </w:p>
    <w:p>
      <w:pPr>
        <w:spacing w:after="0" w:line="25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Innovate and expand the portfolio of product offerings to meet consumer demand for higher protein products and new product forms. </w:t>
      </w:r>
      <w:r>
        <w:rPr>
          <w:rFonts w:ascii="Times New Roman" w:cs="Times New Roman" w:eastAsia="Times New Roman" w:hAnsi="Times New Roman"/>
          <w:sz w:val="18"/>
          <w:szCs w:val="18"/>
          <w:color w:val="auto"/>
        </w:rPr>
        <w:t>We intend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enhance, strengthen and expand our product offerings with new and innovative flavors and forms and packaging alternatives, all while maintaining a commitment to delivering products that meet our targeted nutritional profile and provide the convenience and taste consumers desire. Our in-house research and development laboratories allow us to develop new products internally and bring them to market quickly through our contract manufacturing network without diverging from high standards of taste, nutritional content, quality, and safety. Additionally, we intend to satisfy developing and changing consumer preferences through the continued pursuit of merger and acquisition transactions.</w:t>
      </w:r>
    </w:p>
    <w:p>
      <w:pPr>
        <w:spacing w:after="0" w:line="20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Leverage platform to expand in attractive food and snacking categories</w:t>
      </w:r>
      <w:r>
        <w:rPr>
          <w:rFonts w:ascii="Times New Roman" w:cs="Times New Roman" w:eastAsia="Times New Roman" w:hAnsi="Times New Roman"/>
          <w:sz w:val="18"/>
          <w:szCs w:val="18"/>
          <w:color w:val="auto"/>
        </w:rPr>
        <w:t>. We believe the fragmented snacking category presents an opportunity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and the opportunity to build, through disciplined acquisitions, a leading platform in the nutritional snacking space. As a leader in nutritious snacking, we believe we have the unique capability to leverage our operating platform, product innovation expertise and customer relationships to expand beyond our current brands. In addition, we believe the nutritious snacking category will continue to grow given its relatively low household penetration and favorable consumer trends of snacking, health and wellness, convenience, and on-the-go consumption. Our experienced management team has deep expertise in brand building that we believe will help us to expand the business into additional brands and products in the snacking segment. Over time, we expect to continue seeking to identify and evaluate acquisition opportunities to complement our platform, and we see significant opportunity for growth and synergies in complementary adjacent snacking categories such as the “better-for-you” eating space.</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Expand distribution in white space opportunities. </w:t>
      </w:r>
      <w:r>
        <w:rPr>
          <w:rFonts w:ascii="Times New Roman" w:cs="Times New Roman" w:eastAsia="Times New Roman" w:hAnsi="Times New Roman"/>
          <w:sz w:val="18"/>
          <w:szCs w:val="18"/>
          <w:color w:val="auto"/>
        </w:rPr>
        <w:t>For our fiscal year 2026, approximately 77% of Quest’s gross sales in the U.S.,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78% of Atkins’ gross sales in the U.S., and approximately 72% of OWYN’s gross sales in the U.S. were through the mass retailer, grocery and convenience store distribution channels. Our management believes there is opportunity for each of our brands to further penetrate those channels as well as other distribution channels such as club stores. In addition, while shoppers have increased e-commerce purchases generally, in fiscal year 2026, approximately 22% of Quest’s gross sales, approximately 22% of Atkins’ gross sales, and approximately 25% of OWYN’s gross sales were through the e-commerce channel. We intend to leverage our brand recognition to develop further the distribution channels through which we reach consumers, including through the continued expansion of the e-commerce channel.</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Continue our marketing efforts and strategies to both increase household penetration and reach consumers beyond our core historic buyers.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 to expand our marketing efforts to bring first-time buyers into the Quest, Atkins and OWYN brand franchises. For our Quest brand, our historic consumer base has been individuals pursuing a performance-based active and athletic lifestyle seeking protein-rich foods. For our Atkins brand, it has been people interested in weight management or pursuing a lifestyle of eating low carbohydrate foods. And, for our OWYN brand, the historic consumer base has been consumers looking for an allergen sensitive, plant-based RTD protein shake or protein powder that is high in protein and low in carbohydrates. As public opinion on the use of chronic weight management medication is shifting significantly as the popularity of clinical solutions grows and more medications are approved by the U.S. Food and Drug Administration (“FDA”), we are looking to communicate to consumers who have elected to use these medications what we believe are the complementary benefits of using our products to support achieving or maintaining their weight management goals.</w:t>
      </w:r>
    </w:p>
    <w:p>
      <w:pPr>
        <w:sectPr>
          <w:pgSz w:w="11900" w:h="16838" w:orient="portrait"/>
          <w:cols w:equalWidth="0" w:num="1">
            <w:col w:w="11240"/>
          </w:cols>
          <w:pgMar w:left="320" w:top="688" w:right="3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8" w:name="page9"/>
    <w:bookmarkEnd w:id="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all our brands, we have an active and growing digital and social presence, using a comprehensive approach of search, banner, and search engine optimization efforts. We have an evolving social media presence on major channels such as Instagram, Facebook, Pinterest, X (formerly known as Twitter), TikTok, and YouTube. We also have a growing network of social influencers and content creators, who promote our products in their targeted social media posts. We believe social media is a cost-effective way of continuing to attract and retain our consumers. We believe our ongoing efforts to educate consumers about the benefits of our nutritional philosophy and lifestyle will further reinforce our brands. For our Quest brand, we have used national, targeted broadcast ad campaigns, and continue to leverage targeted streaming television ads and an extensive network of social media influencers and content creators who promote both our Quest brand products through their online posts to motivate new buyers and product introductions. For our Atkins brand, we are shifting our marketing efforts toward more digital marketing activities including social media influencers. Atkins has historically used targeted broadcast and streaming television and print ads with a celebrity-based campaign that attempts to broaden the reach of the Atkins brand to appeal to those consumers generally interested in low carbohydrate, low sugar nutrition. For the OWYN brand, we have used an extensive network of social media influencers and content creators who promote our OWYN branded products through their online posts to motivate and attract new buyers.</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intend to continue to make focused changes to our approach to consumer outreach to attract consumers beyond our historic core buyers. For our Quest brand, we intend to enhance our marketing efforts to reach more consumers who are seeking products that are aligned with their choice to pursue a healthy and active lifestyle. For the Atkins brand, we intend to continue our marketing efforts to attract health motivated eaters (including those individuals not on a program diet) who buy and consume our Atkins products as well as those consumers who have elected to use medication as part of their approach to achieve or maintain their weight management goals. For our OWYN brand, we intend to enhance our marketing efforts to reach more consumers who are interested in RTDs and powders and other product forms that are plant-based and tested for the top nine allergens in a variety of protein levels.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Purpose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Simply Good Foods, our purpose is: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We’re on a mission to make food that is both radically nutritious and defyingly delicious.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Better nutrition made easy so you can reach your goals and live well.</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Advancing Health, Nutrition and Wellbeing</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seek to empower healthy lives through smart and satisfying nutrition. We believe we play an important role in helping to improve nutrition and overall wellness in the United States through scientific research, education, and advocacy.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Since 2016, we have advocated with various branches of the U.S. federal government to encourage more inclusive guidance in the U.S. Department of Agriculture’s and U.S. Department of Health and Human Services’ Dietary Guidelines for Americans (the “Dietary Guidelines”), which is released every five years. The most recent rendition, the 2025-2030 Dietary Guidelines included concepts advocated for by Simply Good Foods, such as offering more flexible solutions for more Americans, including the more than half of the U.S. population suffering from negative metabolic-related conditions such as cardiovascular disease, prediabetes, diabetes and obesity. We also believe expanding the Dietary Guidelines would help to address health equity in many underserved populations in the United States who have higher rates of metabolic-related diseases. The advocacy work we have done is aligned with recent guidance issued by major health organizations such as the American Diabetes Association and the American Heart Association, both of which recommend reducing refined carbohydrates and added sugars as part of a lower carbohydrate approach as an option for those with diabetes.</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Over the last decade our public policy advocacy work includes supporting peer-reviewed publications designed to address gaps in the literature related to dietary guidance as well as presenting the significant body of scientific research comprised of several hundred, peer-reviewed clinical studies in numerous meetings with policymakers, congresspeople, and decision-makers in the U.S. Department of Agriculture and the U.S. Department of Health and Human Services. In addition, we have sponsored numerous continuing education courses for registered dietitians and other healthcare professionals, regularly engage with nutrition professionals by attending and sponsoring conferences, and we are a member of multiple collaborative groups focused on improving the nutritional quality of the U.S. food system.</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our advocacy on the advantages of a protein-rich, low-carbohydrate, and low-sugar dietary approach, we have devoted portions of our respective brand websites and social media to promote consumer education, engagement, and dialogue about the benefits of our nutritional approaches and how our products can fit within those approaches. Through our websites and social media, we also share educational information to explain each brand’s approach to nutrition, teaching consumers how to make smarter food choices and the nutritional qualities of our approach and products. Our Atkins website also offers free of charge information regarding the Atkins protein-rich, low-carbohydrate and low-sugar approach to eating, and over 2,000 recipes designed to help consumers achieve and maintain a healthy lifestyle, while still enjoying delicious food.</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Quest Products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core Quest brand products consist of protein bars, salty snacks and RTD protein beverages.</w:t>
      </w:r>
    </w:p>
    <w:p>
      <w:pPr>
        <w:spacing w:after="0" w:line="25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Protein Bars. </w:t>
      </w:r>
      <w:r>
        <w:rPr>
          <w:rFonts w:ascii="Times New Roman" w:cs="Times New Roman" w:eastAsia="Times New Roman" w:hAnsi="Times New Roman"/>
          <w:sz w:val="18"/>
          <w:szCs w:val="18"/>
          <w:color w:val="auto"/>
        </w:rPr>
        <w:t>To keep on-the-go consumers energized and fueled, our Quest bars offer a convenient and effective solution in a variety of texture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formats, providing consumers with protein, fiber and a delicious taste.</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Salty Snacks</w:t>
      </w:r>
      <w:r>
        <w:rPr>
          <w:rFonts w:ascii="Times New Roman" w:cs="Times New Roman" w:eastAsia="Times New Roman" w:hAnsi="Times New Roman"/>
          <w:sz w:val="18"/>
          <w:szCs w:val="18"/>
          <w:color w:val="auto"/>
        </w:rPr>
        <w:t>. Quest’s protein chips and crackers line quickly became a high-selling product offering with an attractive nutrition profile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conventional chip and cracker products.</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RTD Protein Beverages. </w:t>
      </w:r>
      <w:r>
        <w:rPr>
          <w:rFonts w:ascii="Times New Roman" w:cs="Times New Roman" w:eastAsia="Times New Roman" w:hAnsi="Times New Roman"/>
          <w:sz w:val="18"/>
          <w:szCs w:val="18"/>
          <w:color w:val="auto"/>
        </w:rPr>
        <w:t>Quest’s rich and creamy ultra-processed milk protein milkshake contains 45 grams of protein and the Quest regular rich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creamy protein shake contains 30 grams of protein.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Atkins Products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core Atkins brand products consist of protein bars, RTD protein shakes, and confections.</w:t>
      </w:r>
    </w:p>
    <w:p>
      <w:pPr>
        <w:spacing w:after="0" w:line="25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Protein Bars. </w:t>
      </w:r>
      <w:r>
        <w:rPr>
          <w:rFonts w:ascii="Times New Roman" w:cs="Times New Roman" w:eastAsia="Times New Roman" w:hAnsi="Times New Roman"/>
          <w:sz w:val="18"/>
          <w:szCs w:val="18"/>
          <w:color w:val="auto"/>
        </w:rPr>
        <w:t>To keep on-the-go consumers energized and fueled, our Atkins bars offer a convenient and effective solution, providing consumers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protein, fiber and a delicious taste.</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RTD Protein Shakes. </w:t>
      </w:r>
      <w:r>
        <w:rPr>
          <w:rFonts w:ascii="Times New Roman" w:cs="Times New Roman" w:eastAsia="Times New Roman" w:hAnsi="Times New Roman"/>
          <w:sz w:val="18"/>
          <w:szCs w:val="18"/>
          <w:color w:val="auto"/>
        </w:rPr>
        <w:t>Our rich and creamy Atkins RTD protein shakes contain 10 to 30 grams of protein, as well as other important vitamins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minerals.</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Confections. </w:t>
      </w:r>
      <w:r>
        <w:rPr>
          <w:rFonts w:ascii="Times New Roman" w:cs="Times New Roman" w:eastAsia="Times New Roman" w:hAnsi="Times New Roman"/>
          <w:sz w:val="18"/>
          <w:szCs w:val="18"/>
          <w:color w:val="auto"/>
        </w:rPr>
        <w:t>Our Atkins Endulge line, which is designed to satisfy consumers’ sweet cravings, consists of delicious desserts without all the added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sugar providing consumers with the option to indulge.</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Recipes. </w:t>
      </w:r>
      <w:r>
        <w:rPr>
          <w:rFonts w:ascii="Times New Roman" w:cs="Times New Roman" w:eastAsia="Times New Roman" w:hAnsi="Times New Roman"/>
          <w:sz w:val="18"/>
          <w:szCs w:val="18"/>
          <w:color w:val="auto"/>
        </w:rPr>
        <w:t>Provided free of charge, we also offer over 1,600 protein-rich, low-carbohydrate and low-sugar recipes designed to help consumers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and maintain a healthy lifestyle, while still enjoying delicious food.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OWYN Products</w:t>
      </w:r>
    </w:p>
    <w:p>
      <w:pPr>
        <w:spacing w:after="0" w:line="25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RTD Protein Shakes and Powders</w:t>
      </w:r>
      <w:r>
        <w:rPr>
          <w:rFonts w:ascii="Times New Roman" w:cs="Times New Roman" w:eastAsia="Times New Roman" w:hAnsi="Times New Roman"/>
          <w:sz w:val="18"/>
          <w:szCs w:val="18"/>
          <w:color w:val="auto"/>
        </w:rPr>
        <w:t>. Our OWYN RTD protein shakes and powders are plant-based, contain 20 to 32 grams of protein and appeal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mindful of certain allergens.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Advertising and Consumer Outreach</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marketing efforts are designed to maintain and increase consumer awareness of and demand for our products. We employ a broad mix of marketing, including coupons, product sampling, consumer and trade events, advertising (television, online and print) and recipe and food plans, to target our consumers. We also use online resources, including social media sites, to communicate with consumers and build interest in our brands. Our advertising and use of online resources are aimed at maintaining and increasing consumer preference and usage of our brands. Our trade promotions focus on obtaining retail feature and display support, achieving optimum retail product prices and securing retail shelf space. We use coupons and special discounts to help stimulate product trial and repeat purchases by providing consumers with economic incentives. The mix of these marketing activities varies among our brands.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part of our advocacy on the advantages of a protein-rich, low-carbohydrate dietary approach, and with respect to our OWYN brand, plant-based, dairy free and allergen sensitive, we have devoted portions of our respective brand websites and social media to promote consumer education, engagement, and dialogue about the benefits of our nutritional approaches and how our products can fit within those approaches. Our sales and marketing team gathers information and feedback from consumers and retailers to enable us to better meet changing consumer needs. We also believe that an effective marketing tool is to share educational information through our brand websites to explain each brand’s approach to nutrition and the nutritional qualities of our products. We also provide access to consumer service representatives to answer questions and educate consumers on nutrition, new products and developments.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our brands, in order to facilitate awareness and knowledge of the health benefits of a low-carbohydrate and protein-rich eating approach, whether dairy or plant-based, we have established a variety of marketing and advertising strategies to connect with consumers, including digital marketing and social media platforms, television broadcast and streaming advertising as well as celebrity and social media influencer endorsements.</w:t>
      </w:r>
    </w:p>
    <w:p>
      <w:pPr>
        <w:sectPr>
          <w:pgSz w:w="11900" w:h="16838" w:orient="portrait"/>
          <w:cols w:equalWidth="0" w:num="1">
            <w:col w:w="11240"/>
          </w:cols>
          <w:pgMar w:left="320" w:top="684" w:right="3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0" w:name="page11"/>
    <w:bookmarkEnd w:id="10"/>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built large consumer followings for our brands. Beyond the core historic consumers for each of our brands, we believe there is significant opportunity to increase household penetration for our products by expanding our marketing, product offerings and educational efforts to consumers who are focused more generally on long-term healthy living.</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the fifty-two weeks ended August 29, 2026, approximately 48% of </w:t>
      </w: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xml:space="preserve"> expenses were spent on advertising costs.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Retailers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 wide variety of customers across the mass merchandise, food, club, drug, small format, and e-commerce channels. A substantial majority of our sales are generated from a limited number of retailers. Sales to our largest retailer, Walmart Inc., represented approximately 30% of consolidated sales in fiscal year 2026, with approximately 24% through their mass retail and e-commerce channels and approximately 6% through their Sam’s Club channel. Sales to our next largest retailer, Amazon, represented approximately 20% of consolidated sales in fiscal year 2026. No other customer represents more than 10% of consolidated sales. For additional information, please see the risk factor “</w:t>
      </w:r>
      <w:r>
        <w:rPr>
          <w:rFonts w:ascii="Times New Roman" w:cs="Times New Roman" w:eastAsia="Times New Roman" w:hAnsi="Times New Roman"/>
          <w:sz w:val="18"/>
          <w:szCs w:val="18"/>
          <w:i w:val="1"/>
          <w:iCs w:val="1"/>
          <w:color w:val="auto"/>
        </w:rPr>
        <w:t>We rely on sales to a limited number of retailers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 substantial majority of our net sales, and losing one or more such retailers may materially harm our business. In addition, we maintain “at will” contracts with these retailers, which do not require recurring or minimum purchase amounts of our products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E-Commerce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aim to ensure that our consumers may access our brand in the way that best suits their lifestyles by offering online ordering of our products. We sell our products on </w:t>
      </w:r>
      <w:r>
        <w:rPr>
          <w:rFonts w:ascii="Times New Roman" w:cs="Times New Roman" w:eastAsia="Times New Roman" w:hAnsi="Times New Roman"/>
          <w:sz w:val="18"/>
          <w:szCs w:val="18"/>
          <w:i w:val="1"/>
          <w:iCs w:val="1"/>
          <w:color w:val="auto"/>
        </w:rPr>
        <w:t>questnutrition.com, Atkins.com, liveowyn.com, Amazon.com</w:t>
      </w:r>
      <w:r>
        <w:rPr>
          <w:rFonts w:ascii="Times New Roman" w:cs="Times New Roman" w:eastAsia="Times New Roman" w:hAnsi="Times New Roman"/>
          <w:sz w:val="18"/>
          <w:szCs w:val="18"/>
          <w:color w:val="auto"/>
        </w:rPr>
        <w:t xml:space="preserve"> and the e-commerce platforms of our brick-and-mortar customers, which all deliver our products directly to the location designated by the consumer.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Innovation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portion of our sales is driven by new products, and as a result, we believe innovation is, and will continue to be, an important component of our business. We take a deliberate approach to new product development, focusing on enhancing existing products, innovating flavor and form varieties, and expanding into adjacent snacking products. Our innovation model is designed to respond to competitive demands, with a primary focus on enhancing the quality and flavor of our products while simplifying composition and ingredients to meet consumer demands for unique nutrition options.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innovation strategy is based on ongoing research into consumers’ healthy lifestyle and nutritional needs. We pride ourselves on knowing our consumers and developing products that meet their needs. Providing variety in snacking options to our consumers is an important strategy in our product innovation. New flavors, textures and snacking formats are important to meeting consumer needs.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an important component of meeting consumers’ nutritional needs is a focus on evolving current products. We are committed to continually finding new and innovative formulations for our products, as well as using “better-for-you” ingredients like nuts, fiber and various plant-and dairy-based proteins, while continually improving taste and quality.</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an in-house research and development team as well as market research and consumer insight capabilities. Through our research and development laboratories in El Segundo, California, and Broomfield, Colorado, we control our brands’ innovations and product formulations from the ground up. By developing new products, prototypes and adjacencies in-house, we facilitate our core competencies in product innovation and enhance our speed to market.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as part of our innovation process, we collaborate with nationally recognized third-party flavor providers and product development firms for new product development and then conduct our own proprietary consumer research to identify and improve upon new product concepts. We plan to continue conducting extensive consumer research to develop successful new products including product flavor and concept testing, marketing and trend analysis, and consumer prototype testing.</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believe the fragmented snacking category presents an opportunity for consolidation and the opportunity to build, through disciplined acquisitions, a leading platform in the nutritional snacking space. As a leader in nutritious snacking, we believe we have the unique capability to leverage our operating platform and customer relationships to expand beyond our current brands. Our experienced management team has deep expertise in brand building to expand the business into additional brands and products in the nutritional snacking segment and beyond. Simply Good Foods is actively seeking to identify and evaluate new acquisition opportunities to complement our existing portfolio and sees significant opportunity for growth and synergies in complementary adjacent snacking categories such as sports/active and adult nutritional snacks, salty snacks and protein snacks, as well as in the “better-for-you” eating space.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own numerous domestic and international trademarks and other proprietary rights that are important to our business. Depending upon the jurisdiction, trademarks are valid if they are used in the regular course of trade and/or their registrations are properly maintained. We</w:t>
      </w:r>
    </w:p>
    <w:p>
      <w:pPr>
        <w:sectPr>
          <w:pgSz w:w="11900" w:h="16838" w:orient="portrait"/>
          <w:cols w:equalWidth="0" w:num="1">
            <w:col w:w="11240"/>
          </w:cols>
          <w:pgMar w:left="320" w:top="688"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believe the protection of our trademarks, copyrights, patents, domain names, trade dress and trade secrets is important to our success. We aggressively protect our intellectual property rights by relying on a combination of watch services and trademark, copyright, patent, trade dress and trade secret laws, and through the domain name dispute resolution system. We also own virtually all of the recipes and specifications for our products.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nutritional snacking industry is fragmented and highly competitive and includes a number of diverse competitors. We have a number of diverse competitors of varying sizes and capabilities, including developers, marketers and sellers of other branded and private label nutritional snacking food products. We compete primarily in large retail and e-commerce environments. We believe the principal competitive factors in the nutritional snacking industry are:</w:t>
      </w:r>
    </w:p>
    <w:p>
      <w:pPr>
        <w:spacing w:after="0" w:line="20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loyalty among consumers;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ingredients (including the sourcing and allergen profiles of ingredients);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macronutrient profiles of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taste and texture;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convenience;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campaigns and associated spending;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product value;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variety, packaging and labeling;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retailer shelf space;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positioning on e-commerce retailer sites.</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believe we currently compete effectively with respect to each of these factors. However, a number of companies in the nutritional snacking industry may compete more effectively for a variety of reasons, including having greater financial resources, more comprehensive product lines, broader market presence, more established relationships with distributors, suppliers and customers, longer operating histories, greater distribution and selling capabilities, stronger brand recognition, or greater innovation and marketing capabilities than we have. We expect the industry we operate in to remain highly competitive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operate an asset-light business model. For the manufacture of our products, we contract with contract manufacturers, and as a result, our operations are highly flexible and require targeted capital expenditures. The supply chain for our international business also uses exclusively contract manufacturers.</w:t>
      </w:r>
    </w:p>
    <w:p>
      <w:pPr>
        <w:spacing w:after="0" w:line="20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Sourcing. </w:t>
      </w:r>
      <w:r>
        <w:rPr>
          <w:rFonts w:ascii="Times New Roman" w:cs="Times New Roman" w:eastAsia="Times New Roman" w:hAnsi="Times New Roman"/>
          <w:sz w:val="18"/>
          <w:szCs w:val="18"/>
          <w:color w:val="auto"/>
        </w:rPr>
        <w:t>The principal ingredients to manufacture our products include cocoa and other coatings, dairy-based proteins, soy, nuts, and pea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pumpkin seed protein. Our packaging consists of flexible film, cartons, tetra paper, plastic bottles and corrugate. All our core ingredients are purchased according to rigorous standards to assure food quality and safety. These core ingredients are generally available in adequate quantities from several suppliers. We competitively bid with major suppliers to source competitively priced, quality ingredients and packaging that meet our standards. For certain ingredients we establish direct purchasing agreements with suppliers, under which our contract manufacturers source ingredients to produce finished products. We also procure certain ingredients directly that our contract manufacturers then use to produce our products and in some cases our contract manufacturers maintain certain standard ingredients of their selection under their own purchase agreements. We generally manage the cost of most of our packaging supplies, such as corrugate, film, and cartons.</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Manufacturing. </w:t>
      </w:r>
      <w:r>
        <w:rPr>
          <w:rFonts w:ascii="Times New Roman" w:cs="Times New Roman" w:eastAsia="Times New Roman" w:hAnsi="Times New Roman"/>
          <w:sz w:val="18"/>
          <w:szCs w:val="18"/>
          <w:color w:val="auto"/>
        </w:rPr>
        <w:t>We rely on contract manufacturers to manufacture our products. The contract manufacturers schedule and receive ingredient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packaging inventory according to parameters set in their contracts and forecasts we provide. Our contract manufacturers are regularly audited by third parties and are required to follow rigorous food safety guidelines. We believe our contract manufacturers have capacity to meet our anticipated supply needs, although short-term high demand or production equipment issues can cause disruptions. We monitor both near-term and long-term capacity as well as fulfillment rates and overall performance of our manufacturing partners and qualify alternate suppliers as needed. In general, we purchase finished products from our contract manufacturers, which includes all packaging and ingredients used, as well as an agreed-upon tolling charge for each item produced. These finished products are then shipped directly to our distribution centers, or shipped directly from the contract manufacturer to the customer.</w:t>
      </w:r>
    </w:p>
    <w:p>
      <w:pPr>
        <w:spacing w:after="0" w:line="21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U.S. Storage. </w:t>
      </w:r>
      <w:r>
        <w:rPr>
          <w:rFonts w:ascii="Times New Roman" w:cs="Times New Roman" w:eastAsia="Times New Roman" w:hAnsi="Times New Roman"/>
          <w:sz w:val="18"/>
          <w:szCs w:val="18"/>
          <w:color w:val="auto"/>
        </w:rPr>
        <w:t>We lease two distribution centers, both in Greenfield, Indiana, referred to collectively as the Distribution Centers, where we store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finished goods. We utilize over 1.6 million square feet of floor space among our Distribution Centers.</w:t>
      </w:r>
    </w:p>
    <w:p>
      <w:pPr>
        <w:spacing w:after="0" w:line="18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Distribution. </w:t>
      </w:r>
      <w:r>
        <w:rPr>
          <w:rFonts w:ascii="Times New Roman" w:cs="Times New Roman" w:eastAsia="Times New Roman" w:hAnsi="Times New Roman"/>
          <w:sz w:val="18"/>
          <w:szCs w:val="18"/>
          <w:color w:val="auto"/>
        </w:rPr>
        <w:t>The majority of our products are shipped directly to one of our Distribution Centers, which are leased warehouses managed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logistics provider. A substantial portion of our inventory is shipped directly to our retailers from our warehouses by the same third-party logistics provider. Most of our remaining customers pick up their orders at our distribution centers and make their own arrangements for delivery to their fulfillment network. For certain customers, some of our products are shipped directly from the contract</w:t>
      </w:r>
    </w:p>
    <w:p>
      <w:pPr>
        <w:sectPr>
          <w:pgSz w:w="11900" w:h="16838" w:orient="portrait"/>
          <w:cols w:equalWidth="0" w:num="1">
            <w:col w:w="11240"/>
          </w:cols>
          <w:pgMar w:left="320" w:top="688" w:right="339" w:bottom="144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2" w:name="page13"/>
    <w:bookmarkEnd w:id="1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manufacturer to the customers’ locations. We believe our use of demand forecasting and vendor-managed inventory systems enables us to meet shipping demands, ensure timely delivery of orders and offer effective service levels to our customers. For the majority of our customers, our logistics provider distributes the finished goods from our Distribution Centers, which first flow through regional terminals. At the terminals, our orders are consolidated with other companies’ products being shipped to the customer. The finished goods are then distributed to retailer customers’ distribution centers.</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Our products are also sold outside North America. Our top international sales are in Australia and New Zealand. For the fifty-two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weeks ended August 29, 2026, international net sales represented approximately 2.2% of total net sales. These products are manufactured in North America and shipped internationally through a network of service providers, and the business is managed by a small number of employees in Australia and New Zealand.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Safety and Quality</w:t>
      </w:r>
      <w:r>
        <w:rPr>
          <w:rFonts w:ascii="Times New Roman" w:cs="Times New Roman" w:eastAsia="Times New Roman" w:hAnsi="Times New Roman"/>
          <w:sz w:val="18"/>
          <w:szCs w:val="18"/>
          <w:i w:val="1"/>
          <w:iCs w:val="1"/>
          <w:color w:val="auto"/>
        </w:rPr>
        <w:t>.</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Food safety and quality is a top priority, and we dedicate substantial resources to ensure that consumers receive safe, high quality food products. Our products are manufactured in facilities that have programs and controls in place regarding consistent quality and food safety. Product attributes such as taste, aroma, texture, and appearance are regularly monitored. Good Manufacturing Practices and comprehensive food safety programs are designed to produce a safe, wholesome product. Our suppliers are required to have equally robust processes in place and confirm their compliance with product specifications with Letters of Guaranty and Certificates of Analysis for ingredient shipments. From fiscal year 2022 to September 2026, our U.S. operations maintained an ISO 22000 certification, and in September 2026 we achieved Food Safety System Certification, or FSSC, 22000 certification, a certification that is recognized by the Global Food Safety Initiative, or GFSI, a globally recognized food safety standard.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heavily on information systems for management of our supply chain, inventory, payment of obligations, collection of cash, human capital management, financial tools and other business processes and procedures. Our ability to manage our business functions efficiently and effectively depends significantly on the reliability and capacity of these systems. We have instituted controls, including information technology governance controls that are intended to protect our computer systems and our information technology systems and networks. We also have business continuity plans that attempt to anticipate and mitigate failures. However, we cannot control or prevent every potential technology failure, adverse environmental event, third-party service interruption or cybersecurity risk.</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increasingly rely on cloud computing and other technologies that result in third parties holding significant amounts of customer, consumer or employee information on our behalf.</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along with our third-party service providers, including our e-commerce contractors and third-party sellers, collect information about consumers directly from them as well as automatically through their use of our websites. We collect information from consumers when they interact with our websites and the services we offer on those sites. The information we collect varies based on the consumer’s particular interaction with our websites. We may combine this information with other information that we collect. We and our third-party service providers may use cookies and other similar tracking technologies to track information about consumers’ use of our websites and the services we offer on those websites. The website operations of our third parties may be affected by reliance on other third-party hardware and software providers, technology changes, risks related to the failure of computer systems through which these website operations are conducted, telecommunications failures, data security breaches and similar disruptions.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August 29, 2026, the Company determined its operations are organized into </w:t>
      </w:r>
      <w:r>
        <w:rPr>
          <w:rFonts w:ascii="Times New Roman" w:cs="Times New Roman" w:eastAsia="Times New Roman" w:hAnsi="Times New Roman"/>
          <w:sz w:val="16"/>
          <w:szCs w:val="16"/>
          <w:color w:val="auto"/>
        </w:rPr>
        <w:t>one</w:t>
      </w:r>
      <w:r>
        <w:rPr>
          <w:rFonts w:ascii="Times New Roman" w:cs="Times New Roman" w:eastAsia="Times New Roman" w:hAnsi="Times New Roman"/>
          <w:sz w:val="18"/>
          <w:szCs w:val="18"/>
          <w:color w:val="auto"/>
        </w:rPr>
        <w:t xml:space="preserve"> consolidated operating segment and reportable segment, represented by the Company’s consolidated financial statements. Previously, as of August 30, 2025, the Company’s operations were organized into </w:t>
      </w:r>
      <w:r>
        <w:rPr>
          <w:rFonts w:ascii="Times New Roman" w:cs="Times New Roman" w:eastAsia="Times New Roman" w:hAnsi="Times New Roman"/>
          <w:sz w:val="16"/>
          <w:szCs w:val="16"/>
          <w:color w:val="auto"/>
        </w:rPr>
        <w:t>two</w:t>
      </w:r>
      <w:r>
        <w:rPr>
          <w:rFonts w:ascii="Times New Roman" w:cs="Times New Roman" w:eastAsia="Times New Roman" w:hAnsi="Times New Roman"/>
          <w:sz w:val="18"/>
          <w:szCs w:val="18"/>
          <w:color w:val="auto"/>
        </w:rPr>
        <w:t xml:space="preserve"> operating segments, Quest and Atkins, and OWYN, which were aggregated into </w:t>
      </w:r>
      <w:r>
        <w:rPr>
          <w:rFonts w:ascii="Times New Roman" w:cs="Times New Roman" w:eastAsia="Times New Roman" w:hAnsi="Times New Roman"/>
          <w:sz w:val="16"/>
          <w:szCs w:val="16"/>
          <w:color w:val="auto"/>
        </w:rPr>
        <w:t>one</w:t>
      </w:r>
      <w:r>
        <w:rPr>
          <w:rFonts w:ascii="Times New Roman" w:cs="Times New Roman" w:eastAsia="Times New Roman" w:hAnsi="Times New Roman"/>
          <w:sz w:val="18"/>
          <w:szCs w:val="18"/>
          <w:color w:val="auto"/>
        </w:rPr>
        <w:t xml:space="preserve"> reportable segment due to similar financial, economic and operating characteristics.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Compliance</w:t>
      </w:r>
    </w:p>
    <w:p>
      <w:pPr>
        <w:spacing w:after="0" w:line="24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Along with contract manufacturers, brokers, distributors, ingredients and packaging suppliers, Simply Good Foods is primarily subject to laws and regulations in the United States promulgated by federal, state and local government authorities. In the United States, the federal agencies governing the manufacture, distribution and advertising of products include, among others, the U.S. Federal Trade Commission (“FTC”), the FDA, the U.S. Environmental Protection Agency, and the Occupational Safety and Health Administration, in addition to similar state and local agencies. Under various statutes, these agencies prescribe the requirements and establish the standards for quality and safety and regulate marketing and advertising to consumers. In certain circumstances, these agencies must not only approve products, but also review the manufacturing processes and facilities used to produce these products before they can be marketed in the United States.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3" w:name="page14"/>
    <w:bookmarkEnd w:id="13"/>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Simply Good Foods is subject to labor and employment laws, laws governing advertising, privacy laws, safety regulations and other laws, including consumer protection regulations that regulate retailers or govern the promotion and sale of merchandise. Our operations, and those of our contract manufacturers, distributors, and suppliers, also are subject to various laws and regulations relating to environmental protection and worker health and safety matters. We continue to monitor their development and our compliance.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Food-Related Regulations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manufacturer and distributor of food products, we are subject to several food-related regulations, including the Federal Food, Drug and Cosmetic Act and regulations promulgated thereunder by the FDA. This comprehensive regulatory framework governs the manufacture (including composition and ingredients), labeling, packaging and safety of food in the United States. The FDA:</w:t>
      </w:r>
    </w:p>
    <w:p>
      <w:pPr>
        <w:spacing w:after="0" w:line="20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regulates manufacturing practices for foods through its current good manufacturing practices regulations;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specifies the standards of identity for certain foods, including many of the products we sell;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regulates the advertising claims that can be made on food product labels;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prescribes the format and content of certain information required to appear on food product labels.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the Food Safety Modernization Act, which, among other things, mandates that the FDA adopt preventative controls to be implemented by food facilities in order to minimize or prevent hazards to food safety. We are subject to numerous other federal, state and local regulations involving such matters as the licensing and registration of manufacturing facilities, enforcement by government health agencies of standards for our products, inspection of our facilities and regulation of our trade practices in connection with the sale of food products.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Regulations</w:t>
      </w:r>
    </w:p>
    <w:p>
      <w:pPr>
        <w:spacing w:after="0" w:line="24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We are subject to various state and federal environmental laws, regulations and directives, including the Food Quality Protection Act of 1996, the Clean Air Act, the Clean Water Act, the Resource Conservation and Recovery Act, the Federal Insecticide, Fungicide and Rodenticide Act and the Comprehensive Environmental Response Compensation and Liability Act of 1980, as amended. Governments may in the future implement new laws, regulations and directives aimed to meet certain climate change goals and objectives which could affect our business operations as they relate to ingredient and packaging procurement.</w:t>
      </w:r>
    </w:p>
    <w:p>
      <w:pPr>
        <w:spacing w:after="0" w:line="2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believe that we are in material compliance with existing environmental regulations applicable to our business. We do not expect the cost of our continued compliance with existing environmental regulations to have a material effect on our capital expenditures, earnings, cash flows or competitive position in the foreseeable future. In addition, any asset retirement obligations are not material.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Labeling Regulations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various labeling requirements with respect to our products at the federal, state and local levels. At the federal level the FDA has authority to review product labeling, and the FTC may review labeling and advertising materials, including online and television advertisements, to determine if advertising materials are misleading. We are also subject to various state and local consumer protection laws. We believe we are in material compliance with all labeling laws and regulations applicable to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Resources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August 29, 2026, our workforce consisted of 282 employees globally with approximately 72% based in an office or in research and development (“R&amp;D”) lab locations. Of that total, approximately 95% of our employees were in the United States, and the rest were in Canada, Australia, and New Zealand. Of these total employees, 122 employees were engaged in marketing and sales, 83 were engaged in R&amp;D, operations and quality, and 77 were engaged in administration. Of our United States employees, 25 employees were hourly and 242 were salaried. No employees were covered by a collective bargaining agreement.</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Purpose and Values. </w:t>
      </w:r>
      <w:r>
        <w:rPr>
          <w:rFonts w:ascii="Times New Roman" w:cs="Times New Roman" w:eastAsia="Times New Roman" w:hAnsi="Times New Roman"/>
          <w:sz w:val="18"/>
          <w:szCs w:val="18"/>
          <w:color w:val="auto"/>
        </w:rPr>
        <w:t>Our purpose and values reflect one unified Simply Good Foods company. We’re on a mission to make food that is radically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nutritious and defyingly delicious. Our values, </w:t>
      </w:r>
      <w:r>
        <w:rPr>
          <w:rFonts w:ascii="Times New Roman" w:cs="Times New Roman" w:eastAsia="Times New Roman" w:hAnsi="Times New Roman"/>
          <w:sz w:val="18"/>
          <w:szCs w:val="18"/>
          <w:i w:val="1"/>
          <w:iCs w:val="1"/>
          <w:color w:val="auto"/>
        </w:rPr>
        <w:t>Simply Deliver, Simply Together, Simply Bold, Simply Learn &amp; Grow, and Simply Kind</w:t>
      </w:r>
      <w:r>
        <w:rPr>
          <w:rFonts w:ascii="Times New Roman" w:cs="Times New Roman" w:eastAsia="Times New Roman" w:hAnsi="Times New Roman"/>
          <w:sz w:val="18"/>
          <w:szCs w:val="18"/>
          <w:color w:val="auto"/>
        </w:rPr>
        <w:t>, are critical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 in fulfilling our vision.</w:t>
      </w:r>
    </w:p>
    <w:p>
      <w:pPr>
        <w:spacing w:after="0" w:line="23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Training &amp; Development</w:t>
      </w:r>
      <w:r>
        <w:rPr>
          <w:rFonts w:ascii="Times New Roman" w:cs="Times New Roman" w:eastAsia="Times New Roman" w:hAnsi="Times New Roman"/>
          <w:sz w:val="18"/>
          <w:szCs w:val="18"/>
          <w:color w:val="auto"/>
        </w:rPr>
        <w:t>. Training and development is critical to our success, helps our employees grow their career, and is one way we attract,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motivate and retain our employees. We regularly host “Nutrition Bite” and other training sessions for employees, with the Nutrition Bite sessions providing education and additional background on our nutrition philosophy and providing timely updates on regulatory news and evolving nutritional topics. To develop effective and empowered leaders, we host regular trainings and informational sessions on other relevant topics.</w:t>
      </w:r>
    </w:p>
    <w:p>
      <w:pPr>
        <w:sectPr>
          <w:pgSz w:w="11900" w:h="16838" w:orient="portrait"/>
          <w:cols w:equalWidth="0" w:num="1">
            <w:col w:w="11240"/>
          </w:cols>
          <w:pgMar w:left="320" w:top="675"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4" w:name="page15"/>
    <w:bookmarkEnd w:id="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our normal performance review cycle, which took place in early fiscal year 2026, approximately 99% of our employees held career discussions with their managers to identify opportunities for development and career progression. Because of career discussions, mentorship opportunities and the talent review process conducted by our senior leadership, during fiscal year 2026, we promoted approximately 10% of our workforce and provided associated compensation increases.</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Our Inclusion </w:t>
      </w:r>
      <w:r>
        <w:rPr>
          <w:rFonts w:ascii="Times New Roman" w:cs="Times New Roman" w:eastAsia="Times New Roman" w:hAnsi="Times New Roman"/>
          <w:sz w:val="18"/>
          <w:szCs w:val="18"/>
          <w:color w:val="auto"/>
        </w:rPr>
        <w:t>&amp;</w:t>
      </w:r>
      <w:r>
        <w:rPr>
          <w:rFonts w:ascii="Times New Roman" w:cs="Times New Roman" w:eastAsia="Times New Roman" w:hAnsi="Times New Roman"/>
          <w:sz w:val="18"/>
          <w:szCs w:val="18"/>
          <w:i w:val="1"/>
          <w:iCs w:val="1"/>
          <w:color w:val="auto"/>
        </w:rPr>
        <w:t xml:space="preserve"> Belonging Initiatives (“I</w:t>
      </w:r>
      <w:r>
        <w:rPr>
          <w:rFonts w:ascii="Times New Roman" w:cs="Times New Roman" w:eastAsia="Times New Roman" w:hAnsi="Times New Roman"/>
          <w:sz w:val="18"/>
          <w:szCs w:val="18"/>
          <w:color w:val="auto"/>
        </w:rPr>
        <w:t>&amp;</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Our Board of Directors’ Corporate Responsibility and Sustainability committee has been tasked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among other things, overseeing human capital resources and all our I&amp;B initiatives. These initiatives include the following, among others:</w:t>
      </w:r>
    </w:p>
    <w:p>
      <w:pPr>
        <w:spacing w:after="0" w:line="187" w:lineRule="exact"/>
        <w:rPr>
          <w:sz w:val="20"/>
          <w:szCs w:val="20"/>
          <w:color w:val="auto"/>
        </w:rPr>
      </w:pPr>
    </w:p>
    <w:p>
      <w:pPr>
        <w:jc w:val="both"/>
        <w:ind w:left="660" w:hanging="328"/>
        <w:spacing w:after="0" w:line="25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we established a group focused on building inclusion and belonging named Simply Good People. In its fourth year, Simply Good People sponsored a number of educational speakers, cultural celebrations, and connection opportunities. Through this, Simply Good People seeks to foster a positive, open, and trusted culture of belonging where every person feels empowered to bring their unique selves to the workplace.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periodically complete pay equity audits to evaluate our pay practices and work to address any issues that may arise.</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post every open position or promotional opportunity in the United States that is not confidential, and we include the job’s pay range to provide transparency to candidates. This practice provides every qualified candidate an opportunity to apply with knowledge of the range of pay for the role.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are required to attend preventing discrimination and harassment training.</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our hiring, we strive for diversity in experience, which has the power to drive innovation and to encompass a wide variety of perspectives in company decision-making. In addition to our focus on merit-based hiring and promotional opportunities, we believe that attracting and retaining a diverse workforce through an inclusive environment will make us a more desirable workplace and will lead to improved business performance.</w:t>
      </w:r>
    </w:p>
    <w:p>
      <w:pPr>
        <w:spacing w:after="0" w:line="20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Employee Culture</w:t>
      </w:r>
      <w:r>
        <w:rPr>
          <w:rFonts w:ascii="Times New Roman" w:cs="Times New Roman" w:eastAsia="Times New Roman" w:hAnsi="Times New Roman"/>
          <w:sz w:val="18"/>
          <w:szCs w:val="18"/>
          <w:color w:val="auto"/>
        </w:rPr>
        <w:t>. We regularly ask our employees to respond to engagement surveys to gather feedback on topics including teamwork,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job satisfaction, and engagement. This encourages open communication with employees and management, and tracks employee engagement over time.</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Rewards. </w:t>
      </w:r>
      <w:r>
        <w:rPr>
          <w:rFonts w:ascii="Times New Roman" w:cs="Times New Roman" w:eastAsia="Times New Roman" w:hAnsi="Times New Roman"/>
          <w:sz w:val="18"/>
          <w:szCs w:val="18"/>
          <w:color w:val="auto"/>
        </w:rPr>
        <w:t>The health, satisfaction and security of our employees and their families are important to us and an important part of reaching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goals. We offer total rewards packages that include valuable and competitive compensation and benefit plans. These programs reflect our commitment to attracting and retaining top talent and keeping our staff healthy and secure. Our compensation philosophy is to pay for performance, and we do so through a mix of base salary, annual short-term incentive and long-term incentive.</w:t>
      </w:r>
    </w:p>
    <w:p>
      <w:pPr>
        <w:spacing w:after="0" w:line="20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understand that each employee’s situation is unique, so we offer benefits that can be shaped and molded by each employee to fit their individual or family's needs. Our current benefits vary by region, but in the U.S. generally include medical, dental and vision insurance, 401(k) retirement plan, savings accounts, life and disability insurance coverage, free mental telehealth support, and other voluntary benefits.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the importance of balance in our employees lives to their overall wellbeing, so we offer our employees time off benefits to recharge, including vacation time, flexible vacation for exempt positions, sick leave, ten company-paid holidays per year, wellness stipend, flexible remote workdays every Monday and Friday, and paid parental leave.</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encourage and support our employees to give back to charities they are passionate about, and we match a portion of employee donations. We also offer a Volunteer Time Off policy that reflects our commitment to community responsibility and impact. Through this program, employees are provided with two days of paid time-off each year to volunteer with meaningful causes that strengthen the communities where we live and work, while reinforcing our mission and values.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file our reports with the SEC electronically through the SEC’s Electronic Data Gathering, Analysis and Retrieval (“EDGAR”) system. The SEC maintains an Internet site that contains reports, proxy and information statements and other information regarding companies that file electronically with the SEC through EDGAR, which are available free of charge. The address of this Internet site is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also make available free of charge through our website at </w:t>
      </w:r>
      <w:r>
        <w:rPr>
          <w:rFonts w:ascii="Times New Roman" w:cs="Times New Roman" w:eastAsia="Times New Roman" w:hAnsi="Times New Roman"/>
          <w:sz w:val="18"/>
          <w:szCs w:val="18"/>
          <w:i w:val="1"/>
          <w:iCs w:val="1"/>
          <w:u w:val="single" w:color="auto"/>
          <w:color w:val="auto"/>
        </w:rPr>
        <w:t>www.thesimplygoodfoodscompany.com</w:t>
      </w:r>
      <w:r>
        <w:rPr>
          <w:rFonts w:ascii="Times New Roman" w:cs="Times New Roman" w:eastAsia="Times New Roman" w:hAnsi="Times New Roman"/>
          <w:sz w:val="18"/>
          <w:szCs w:val="18"/>
          <w:color w:val="auto"/>
        </w:rPr>
        <w:t xml:space="preserve"> our Form 10-K, Quarterly Reports on Form 10-Q, Current Reports on Form 8-K, and amendments to those reports filed or furnished pursuant to Section 13(a) or 15(d) of the Exchange Act as soon as reasonably practicable after we electronically file such material with, or furnish it to, the SEC. We are not, however, including the information contained on our website, or information that may be accessed through links on our website, as part of, or incorporating such information by reference into, this Report.</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and other risks not currently known to us or that we currently consider immaterial, which could become material. The trading price of our securities could decline due to any of these risks, and, as a result, you may lose all or part of your investment.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Changing consumer preferences, habits, perceptions of certain nutritional snacking products, and discretionary spending may negatively affect our brand loyalty, purchase frequency rate, and net sales, and materially and adversely affect our business, financial condition and results of operations.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develop, market and sell products we believe have positive effects on health and compete in a market that relies on innovation and evolving consumer preferences. The packaged food industry in general, and the nutritional snacking industry in particular, is subject to changing consumer trends, demands, and preferences and nutrition science is constantly evolving. Products, ingredients, or methods of eating once considered healthy may become disfavored by consumers, scientifically questioned, no longer be perceived as healthy, or be affected by the expanding consumer use of weight management medications.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Trends within the food industry change over time and our failure to anticipate, identify or react to changes in these trends could, among other things, lead to reduced consumer demand, shelf or retail space and price reductions, and could materially and adversely affect our business, financial condition and results of operations. Additionally, certain ingredients used in our products may become negatively perceived by consumers for a variety of reasons, resulting in reformulation of existing products to remove such ingredients, which may negatively affect the taste or other qualities of our products. Factors that may affect consumer perception of healthy products include dietary trends and attention to different nutritional aspects of foods, concerns regarding the health effects of specific ingredients and nutrients, regulations on certain ingredients, trends away from specific ingredients and processing in products, and increasing awareness of the environmental and social effects of product production.</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Consumer perceptions of the nutritional profile of our products and related eating practices may shift. Consumers may also no longer perceive products with fewer carbohydrates, higher levels of protein, higher levels of fat, or additional fiber or which contain alternative sweeteners as healthy or needed to achieve wellness, lifestyle, fitness goals, or personal weight management with the increased use of weight management medications. Adverse messaging in the media, including social media, or within certain influencer communities, relating to the marketing of nutritional snacking products or weight-related dietary programs may adversely affect the overall consumer impression of certain products, programs or brands, which may materially and adversely affect our business. Nutritional and healthy lifestyle approaches are the subject of numerous studies and publications, often with differing views and opinions, some of which may be adverse to us.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Conflicting scientific information on what constitutes good nutrition, or the benefits of certain dietary approaches may also materially and adversely affect our business. Adverse public opinion, third-party studies, or other allegations, whether or not valid, regarding the perceived or potential negative health effects of processing of ingredients in our products, such as concerns about the use of nutritive and non-nutritive sweeteners, seed oils, or other substances such as PFAS (per- and polyfluoroalkyl substances) chemicals in our ingredients or materials, may contribute to actual or threatened legal action against us, negative consumer perception of our products, new or increased taxes on our products, or additional government regulation, any of which may be costly and reduce their appeal. Such risks may be increased if government officials make public statements about alleged risks purportedly associated with processing, particular ingredients used in our products, or unintentional contaminants that may be present in nature and are possibly measurable in trace amounts in our ingredients.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advance sound nutrition research and to anticipate the tastes and dietary habits of consumers and other consumer trends and to offer products with marketing that appeal to their needs and preferences on a timely and affordable basis. A change in consumer discretionary spending, due to inflationary pressures, economic downturn or other reasons may also materially and adversely affect our sales, and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successfully in the highly competitive nutritional snacking industry.</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is committed to providing people a more nutritious way to eat. We compete in the nutritional snacking industry, which is included in the general snack foods industry. The nutritious snacking industry is large and intensely competitive. Competitive factors in the nutritional snacking industry include product quality, taste, texture, brand awareness among consumers, nutritional content, the sourcing and degree of processing of ingredients, innovation of “on-trend” snacks, variety of snacks offered, allergen profile, grocery aisle placement, access to retailer shelf space, price, advertising and promotion, perceived level of protein to calorie ratio, price per gram of protein, and product packaging and package design. We compete in this market against numerous multinational, regional and local companies principally based on our nutritional content, product taste and quality, our brand recognition and loyalty, marketing, advertising, price and the ability to satisfy specific consumer dietary needs. An increasing focus on macronutrient-focused products in the marketplace will likely increase these</w:t>
      </w:r>
    </w:p>
    <w:p>
      <w:pPr>
        <w:sectPr>
          <w:pgSz w:w="11900" w:h="16838" w:orient="portrait"/>
          <w:cols w:equalWidth="0" w:num="1">
            <w:col w:w="11240"/>
          </w:cols>
          <w:pgMar w:left="320" w:top="684" w:right="339"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competitive pressures within the category in future periods.</w:t>
      </w:r>
    </w:p>
    <w:p>
      <w:pPr>
        <w:spacing w:after="0" w:line="25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competitors in the nutritional snacking industry include companies selling protein bars, chips, confections, shakes and nutritional supplements often with a focus on specific dietary approaches such as keto, paleo, vegan, gluten free, vegetarian and others. Views towards nutritional snacking, weight loss and management, and other nutritional approaches, are cyclical and trendy, with constantly changing consumer perceptions. Besides remaining competitive through the quality of our products and consumer perceptions of the effectiveness of a low-carb, low-sugar and protein-rich eating approach, our brands must continue to be viewed favorably, or our business and reputation may be materially and adversely affected. If other nutritional approaches become more popular, or are generally perceived to be more effective, we may not be able to compete effectively. In addition, public opinion on the use of chronic weight management medication continues to shift significantly as the popularity of clinical solutions grows and more weight management medications are approved by the FDA. Moreover, the growing acceptance and use of medication to manage weight could negatively affect the demand for many types of food in general and our products. If the use of weight management medication becomes more popular and more widely used and we are unable to communicate effectively to consumers how our products can support achieving or maintaining their weight management goals, our business could be materially and adversely affected.</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of our competitors have resources substantially greater than we have and market and sell brands that may be more widely recognized than our brands. Our current and potential competitors may offer products similar to our products, a wider range of products than we offer, and may offer such products at more competitive prices than we do. Local or regional markets often have significant additional competitors, many of whom offer products similar to ours and may have unique ties to regional or national retail chains. Any increased competition from new entrants into the nutritional snacking industry or any increased success by existing competition could cause reductions in our sales, require us to reduce our prices, or both, which could materially and adversely affect our business, financial condition and results of operations.</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For more information see </w:t>
      </w:r>
      <w:r>
        <w:rPr>
          <w:rFonts w:ascii="Times New Roman" w:cs="Times New Roman" w:eastAsia="Times New Roman" w:hAnsi="Times New Roman"/>
          <w:sz w:val="18"/>
          <w:szCs w:val="18"/>
          <w:i w:val="1"/>
          <w:iCs w:val="1"/>
          <w:color w:val="auto"/>
        </w:rPr>
        <w:t>“Management’s Discussion and Analysis of Financial Condition and Results of Operations - Business Trends.”</w:t>
      </w:r>
    </w:p>
    <w:p>
      <w:pPr>
        <w:spacing w:after="0" w:line="2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Our operations are dependent on a global supply chain and the effects on us or our suppliers of supply chain constraints and inflationary pressures, including those related to tariffs, could adversely affect our operating results.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operations and the operations of our contract manufacturers have been, and may continue to be, affected by supply chain constraints and packaging, ingredient and labor challenges resulting in increased costs. The continuing uncertain economic environment and macroeconomic and geopolitical events and trends may increase or prolong these risks. In addition, current or future governmental policies or regulations, which include the imposition of tariffs, or the effects on certain ingredients resulting from climate change or regulations associated with combating climate change may increase the risk of further inflation, which could further increase the costs of ingredients, packaging and finished goods for our business. Similarly, if costs of goods and labor continue to increase, our suppliers may continue to seek price increases from us. These circumstances have resulted in negative effects on our results of operations and are expected to continue. If we cannot mitigate the effect of supply chain constraints and inflationary pressure through price increases or cost saving measures, our results of operations and financial condition could be further negatively affected.</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Even if we can raise the prices of our products, consumers might react negatively to these price increases, which could have a material adverse effect on, among other things, our brands, reputation, and sales. If our competitors maintain or lower their prices while we raise prices, we may lose customers or the purchase frequency of our products may slow, which would both adversely affect sales. Our profitability has been and may in the future be negatively affected by higher costs, inadequate pricing or a reduction in purchase frequencies of our products, which may negatively affect gross margins and sales. Even though we continue to work to alleviate supply chain constraints through various measures, we cannot predict the effect of these constraints on the timing of revenue and operating costs of our business in the near future. Supply chain challenges and supply chain constraints relating to ingredients, freight and packaging, including cost inflation in general and as related to tariffs, have negatively affected our gross margins and profitability in the past and may continue to have a negative effect on our future operating results and profitability. In addition, p</w:t>
      </w:r>
      <w:r>
        <w:rPr>
          <w:rFonts w:ascii="Times New Roman" w:cs="Times New Roman" w:eastAsia="Times New Roman" w:hAnsi="Times New Roman"/>
          <w:sz w:val="18"/>
          <w:szCs w:val="18"/>
          <w:color w:val="212529"/>
        </w:rPr>
        <w:t>rolonged unfavorable economic 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including because of recession or slowed economic growth, labor strikes, or public health outbreaks, endemics or pandemics, may have an adverse effect on our sales and profitability.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or increase the prices of our products to cover elevated input costs, our margins may decrease.</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in part, on price increases to offset cost increases and maintain or improve the profitability of our business. Our ability to maintain prices or effectively implement price increases may be affected by several factors, including competition, effectiveness of our marketing programs, the continuing strength of our brands, market demand and general economic conditions, including broader inflationary pressures. During challenging economic times, consumers may be less willing or able to pay a price premium for our branded products and may shift purchases to lower-priced or other value offerings, making it more difficult for us to maintain prices and/or effectively implement price increases. In addition, our retail partners and distributors may refuse to accept our price increases and pressure us to rescind price increases we have announced or already implemented, whether through a change in list price or increased trade and promotional activity. If we cannot maintain or increase prices for our products or must increase trade and promotional activity, our margins may be adversely affected. Furthermore, price increases generally cause volume losses, as consumers tend to purchase fewer units at higher price points. If such losses are</w:t>
      </w:r>
    </w:p>
    <w:p>
      <w:pPr>
        <w:sectPr>
          <w:pgSz w:w="11900" w:h="16838" w:orient="portrait"/>
          <w:cols w:equalWidth="0" w:num="1">
            <w:col w:w="11240"/>
          </w:cols>
          <w:pgMar w:left="320" w:top="688" w:right="33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greater than expected or if we lose distribution due to price increases, our business, financial condition and results of operations may be materially and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our growth strategies successfully, timely, or at all, our ability to increase our revenue and operating profits could be materially and adversely affected.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largely, on our ability to implement our growth strategies effectively. However, we may fail to accomplish this. We expect to continue focusing on nutritional snacking and intend to add additional brands to our product portfolio. Our ability to successfully expand our nutritional snacking brands and other growth strategies depends on, among other things, our ability to identify, and successfully cater to, new demographics and consumer trends, develop new and innovative products, identify and acquire additional product lines and businesses, secure shelf space in grocery stores, wholesale clubs and other retailers, increase consumer awareness of our brands, enter into distribution and other strategic arrangements with third-party retailers and other potential distributors of our products, and compete with numerous other companies and products.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low carbohydrate lifestyle consumers of our products and those consumers using chronic weight management medication to support their weight loss goals may have different preferences and spending habits than the consumers of traditional weight loss products. We may also fail to adequately explain to consumers using chronic weight management medication how our products can support achieving and maintaining weight loss goals. We may fail in reaching and maintaining the loyalty or purchase frequency rate of new consumers to the same extent, or at all, as we have with our historical consumers. We may also not succeed in evolving our advertising and other efforts to appeal to our target consumers.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cannot identify and capture new audiences and demographics for our brands, our ability to integrate additional brands successfully may be adversely affected. Accordingly, we may not be able to successfully implement our growth strategies, expand the number of our brands, or continue to maintain growth in our sales, or at all. If we fail to implement our growth strategies or if we invest resources in growth strategies that ultimately prove unsuccessful, our sales and profitability may be negatively affected, which could materially and adversely affect our business, financial condition and results of operations.</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For more information see </w:t>
      </w:r>
      <w:r>
        <w:rPr>
          <w:rFonts w:ascii="Times New Roman" w:cs="Times New Roman" w:eastAsia="Times New Roman" w:hAnsi="Times New Roman"/>
          <w:sz w:val="18"/>
          <w:szCs w:val="18"/>
          <w:i w:val="1"/>
          <w:iCs w:val="1"/>
          <w:color w:val="auto"/>
        </w:rPr>
        <w:t>“Management’s Discussion and Analysis of Financial Condition and Results of Operations - Business Trends.”</w:t>
      </w:r>
    </w:p>
    <w:p>
      <w:pPr>
        <w:spacing w:after="0" w:line="2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continually enhance our brand recognition, maintain or increase distribution of our products, attract new consumers to our brands and introduce new and innovative products, either on a timely basis or at all, our business may suffer.</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nutritional snacking industry is subject to rapid and frequent changes in consumer demands. Because consumers are constantly seeking new products and strategies to achieve their healthy eating goals, our success relies heavily on our ability to continue to enhance our brand recognition amongst consumers, develop and market new and innovative products and extensions, and effectively inform consumers of these new products. New product sales represent a growing and important portion of our net sales. To respond to new and evolving consumer demands, achieve market acceptance and keep pace with new nutritional, scientific, technological and other developments, we must constantly introduce new and innovative products into the market, some of which may not be accepted by consumers, may be sent to market prematurely, or may contravene our or consumers’ taste or texture standards. Accordingly, we may fail in timely developing, introducing, or marketing any new or enhanced products. If we cannot commercialize new products, our revenue may not grow as expected, which would materially and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may be limited if we cannot maintain or secure additional shelf or retail space for our products in brick-and-mortar retailers.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results depend on our ability to drive revenue growth, in part, by maintaining and expanding the distribution for our products. Our ability to do so may be limited by an inability to secure new retailers or maintain or add shelf and retail space for our products. Shelf and retail space for nutritional snacks is limited and subject to competitive and other pressures. There can be no assurance that retailers will provide sufficient, or any, shelf space, nor that online retailers will provide online access to, or adequate product visibility on, their platform to enable us to meet our growth objectives. Recently, the Atkins and OWYN brands have seen a reduction of retailer shelf space and total points of distribution, which has had, and we expect will continue to have, a negative effect on those brands’ net sales.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Unattractive placement or pricing may put our products at a disadvantage compared to those of our competitors. Even if we obtain shelf space or preferable shelf placement, our new and existing products may fail to achieve the sales expectations set by our retailers, potentially causing these retailers to remove our products from their shelves. Additionally, an increase in the availability, quantity and quality of private label products in the product categories in which we compete could create more pressure for shelf space and placement for branded products within each such category, which could materially and adversely affect our sales.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perception of our brands or organizational reputation is damaged, our consumers, distributors and retailers may react negatively, which could materially and adversely affect our business, financial condition and results of operations.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we have built our reputation on the efficacy of our nutritional approach, and the high-quality flavor and nutritional content of our food. We must protect and expand on the value of our brands to continue to succeed in the future. Any incident that erodes consumer affinity for our brands or our business operations could significantly reduce our value and damage our business. For example, negative third-party research or media reports on our nutritional approach, use of ingredients or the quality of our food, whether accurate or not, may adversely affect consumer perceptions, which could cause the value of our brands to suffer and adversely affect our business. In addition, if we recall certain products, including licensed products over which we may not have full quality control, the public perception of the quality of our food may be diminished. We may also be adversely affected by news or other negative publicity, regardless of accuracy, regarding other aspects of our business, such as:</w:t>
      </w:r>
    </w:p>
    <w:p>
      <w:pPr>
        <w:spacing w:after="0" w:line="21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concerns, illness or safety;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our environmental stewardship and the effects our business has on the environment;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confidential consumer or employee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related claims relating to alleged employment discrimination, health care and benefit issues;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industry findings about or the financial stability of our retailers, distributors, manufacturers or others across our supply chain.</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our marketing initiatives, we have contracted with certain public figures to market and endorse our products. While we maintain specific selection criteria and are diligent in our efforts to seek out public figures that resonate genuinely and effectively with our consumer audience, the individuals we choose to market and endorse our products may fall into negative favor with the general public. Because our consumers may associate the public figures that market and endorse our products with us, any negative publicity on behalf of such individuals may cause negative publicity about us and our products. This negative publicity could materially and adversely affect our brands and reputation and our revenue and profits.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Negative information, including inaccurate information, about us on social media or online applications that report on the nutritional value of products may harm our reputation and brands, which could have a material and adverse effect on our business, financial condition and results of operations.</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use of social media platforms and similar channels and online applications is pervasive and can provide individuals with access to a broad audience of consumers and other interested persons and access to commentary or ratings on the nutritional value of products. The availability of this information is virtually immediate, as is its effect. Many social media platforms provide the content their subscribers and participants post, often without filters or checks on accuracy of the content posted. In addition, many online applications that provide ratings of the nutritional value of products present their ratings with a particular viewpoint that may not be understood by consumers. The opportunity for dissemination of information, including inaccurate information, is potentially limitless. Information about our business and/or products may be circulated on such platforms or through such applications at any time. Negative views regarding our products and the efficacy of our eating approaches have been posted on various social media platforms and ranking applications, may continue to be posted in the future, and are out of our control. Regardless of their accuracy or authenticity, such information and views may be adverse to our interests and may harm our reputation and brands. The harm may be immediate without affording an opportunity for redress or correction. Ultimately, the risks associated with any such negative publicity cannot be eliminated or completely mitigated and may materially and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appropriately allocate resources to maintain consumer awareness of our brands, build brand loyalty and generate interest in our products.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marketing strategies and channels will evolve, and our programs may or may not be successful.</w:t>
      </w:r>
    </w:p>
    <w:p>
      <w:pPr>
        <w:spacing w:after="0" w:line="2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remain competitive and expand and keep shelf placement for our products, we may need to increase our marketing and advertising spending to maintain and increase consumer awareness, protect and grow our existing market share or promote new products, which could affect our operating results. Substantial advertising and promotional expenditures may be required to maintain or improve the market position of our brands or to introduce new products to the market. We, along with participants in our industry, are increasingly engaging with non-traditional and evolving media channels, including consumer outreach through social media and web-based communications, which may not prove successful. An increase in our marketing and advertising efforts may not maintain our current reputation or lead to increased awareness for our brands. Moreover, we may not maintain current awareness of our brands due to any potential fragmentation of our marketing efforts as we continue to focus primarily on a low-carb, low-sugar and protein-rich nutritional approach for everyday snacking consumers. In addition, as media becomes increasingly fragmented, with consumers viewing media more and more through a variety of different platforms, channels and devices such as mobile devices and online streaming and less from traditional broadcast and cable television outlets, our costs to reach a comparable number of target consumers for our advertising activities have increased.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consistently evaluate our product lines to determine whether to redesign or discontinue certain products. Redesigning or discontinuing products may increase our profit margin but could reduce our sales and cause consumers to shop other brands. The reformulation or discontinuation of product lines may have an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geographic focus makes us particularly vulnerable to economic and other events and trends in North America.</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mainly in North America and, therefore, are particularly susceptible to adverse regulations, economic climate, consumer trends, market fluctuations, including commodity price fluctuations or supply shortages of key ingredients, and other adverse events in North America. The concentration of our businesses in North America could present challenges and may increase the likelihood that an adverse event in North America would disproportionately materially and adversely affect product sales, financial condition and operating results.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disease outbreaks have in the past and may in the future disrupt our business, including, among other things, consumption and trade patterns, our supply chain and production processes, each of which could materially affect our operations, liquidity, financial condition and results of operations.</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actual or perceived effects of a disease outbreak, epidemic, pandemic or similar widespread public health concern, could negatively affect our operations, liquidity, financial condition and results of operations.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Pandemics, epidemics or disease outbreaks may affect demand for our products because quarantines or other government restrictions on movement may cause erratic consumer purchase behavior. Future governmental or societal impositions of restrictions on public gatherings, especially if prolonged, may have adverse effects on consumption rates and in-person traffic to retail stores and, in turn, our business. Even the perceived risk of infection or health risk may adversely affect traffic to our store-based retail customers and, in turn, our business, liquidity, financial condition and results of operations, particularly if any mobility restrictions are in place for significant time.</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spread of pandemics, epidemics or disease outbreaks may also disrupt our third-party business partners’ ability to meet their obligations to us, which may negatively affect our operations. These third parties include those who supply our ingredients, packaging, and other necessary operating materials, contract manufacturers, distributors, and logistics and transportation services providers. As a result of such events, ports and other channels of entry may be closed or operate at only a portion of capacity, as workers may be prohibited or otherwise unable to report to work and means of transporting products within regions or countries may be limited for the same reason. For example, the operations of several of our contract manufacturers were affected by the COVID-19 pandemic’s effect during fiscal years 2020 and 2021 on the availability of labor. During the COVID-19 pandemic, transport restrictions were put in place and global supply was constrained, each of which caused price increases or shortages of certain ingredients and raw materials used in our products. Further, our contract manufacturers’ ability to manufacture our products was, and may again in the future be, impaired by disruption to their employee staffing, procurement, manufacturing, or warehousing capabilities because of health pandemics, epidemics or disease outbreaks.</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results of operations depend on, among other things, our ability to maintain and increase sales volume with our existing customers, to attract new consumers and to provide products that appeal to consumers at prices they are willing and able to pay. Our ability to implement our innovation, advertising, display and promotion activities designed to maintain and increase our sales volumes on a timely basis may be negatively affected because of modifications to retailer shelf reset timing or retailer pullback on in-store display and promotional activities during pandemic or similar situations. Retailers may also alter their normal inventory receiving and product restocking practices during pandemics, epidemics or disease outbreaks, which may negatively affect our business.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Workforce limitations and travel restrictions resulting from pandemics, epidemics or disease outbreaks and related government actions may affect many aspects of our business. If a significant percentage of our workforce cannot work or we cannot visit our contract manufacturers’ locations, including because of illness, travel or government restrictions related to pandemics or disease outbreaks, our operations may be negatively affected. In addition, pandemics or disease outbreaks could cause a widespread health crisis that could adversely affect the economies and financial markets of many countries where we offer products, resulting in an economic downturn that could affect customers’ and consumers’ demand for our products.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Adverse and uncertain economic conditions, such as decreases in per capita income and level of disposable income, increased unemployment or a decline in consumer confidence because of pandemic or similar situations, could have an adverse effect on distributor, retailer and consumer demand for our products. Consumers may shift purchases to lower-priced or other perceived value offerings during economic downturns.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efforts to manage and mitigate these factors may be unsuccessful, and the effectiveness of these efforts depends on factors beyond our control, including the duration and severity of any pandemic, epidemic or disease outbreak, and third-party actions taken to contain its spread and mitigate public health effects.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Operating Model</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Ingredient and packaging costs are volatile and have risen and may rise significantly for a variety of reasons, many of which are outside our control, which may negatively affect the profitability of our business.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source ingredients and packaging from a variety of vendors and suppliers, including domestic and international sources. We negotiate the prices for large quantities of core ingredients, such as nuts, protein, fiber and packaging materials. Several ingredients are farmed or manufactured outside of the United States. Costs of ingredients and packaging are volatile and can fluctuate due to conditions difficult to predict, including global competition for resources, fluctuations in currency and exchange rates, weather conditions, the effects of climate change, natural or man-made disasters, consumer demand, geopolitical events, and changes in governmental trade regulations, including the imposition of tariffs in the United States and other countries, and agricultural programs and environmental regulations affecting the production or manufacturing of ingredients and packaging. Volatility in the prices of the core ingredients and other supplies we purchase increased in recent fiscal years and we experienced increased costs for certain core ingredients and supplies during fiscal year 2026. We also anticipate increases in the cost of certain core ingredients and supplies during fiscal year 2027. For more information, see </w:t>
      </w:r>
      <w:r>
        <w:rPr>
          <w:rFonts w:ascii="Times New Roman" w:cs="Times New Roman" w:eastAsia="Times New Roman" w:hAnsi="Times New Roman"/>
          <w:sz w:val="18"/>
          <w:szCs w:val="18"/>
          <w:i w:val="1"/>
          <w:iCs w:val="1"/>
          <w:color w:val="auto"/>
        </w:rPr>
        <w:t>“Management’s Discussion and Analysis of Financial Condition and Results of Operations - Business Trends.”</w:t>
      </w:r>
    </w:p>
    <w:p>
      <w:pPr>
        <w:spacing w:after="0" w:line="2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United States trade policies, including tariffs, and potential related actions by other countries are all outside of our control and may affect our financial condition or results of operations. The United States has announced tariffs on imports from a broad range of countries, including the European Union, Canada, Mexico, and China, which are causing inflationary pressures and higher costs on certain of our ingredients and packaging and imports from the affected countries during fiscal year 2026, which is expected to continue in fiscal year 2027. If maintained, the announced tariffs, as well as related measures that have been and could be taken by other countries and the potential escalation of trade disputes, are expected to affect our business and results of operations. The extent and duration of the tariffs and the resulting effect on general economic conditions and on our business as a result of increases in prices for ingredients and packaging we import or our suppliers and vendors purchase to produce these items that we acquire through our supply chain are uncertain and depend on various factors, such as negotiations between the United States and affected countries, the responses of other countries or regions, exemptions or exclusions that may be granted, availability and cost of alternative sources of supply, and demand for our products.</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attempts to potentially offset these pressures through increases in the selling prices of some of our products or cost savings initiatives may not be successful and may result in reductions in sales volume and/or profitability. To the extent that price increases or cost savings initiatives are not sufficient to offset increased costs, and/or if they result in significant decreases in sales volume and/or profitability, our business, financial condition, or operating results may be adversely affected.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use hedges for availability of any core ingredients or packaging. Any material upward movement in core ingredient or packaging pricing could negatively affect our margins if we cannot find efficiencies or pass these costs on to our consumers. If we are unsuccessful in managing our ingredient and packaging costs, if we cannot increase our prices to cover increased costs, or if such price increases reduce our sales volumes, then such increases in costs will materially and adversely affect our business, financial condition and results of operations.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of our core ingredient contracts have minimum volume commitments that could require purchases without matching revenue during weaker sales periods. Future core ingredient and packaging prices may be affected by new laws or regulations, tariffs, suppliers’ allocations to other purchasers, interruptions in production by suppliers, natural disasters, volatility in the price of crude oil and related petrochemical products and changes in exchange rates.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Shortages or interruptions in the supply or delivery of our core ingredients, packaging, products or equipment we purchase could materially and adversely affect our operating results as we rely on a limited number of third-party suppliers to supply our core ingredients and packaging and a limited number of contract manufacturers to manufacture our products.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core ingredients used in manufacturing our products include nuts, protein and fiber. We rely on a limited number and in certain cases single third-party suppliers to provide our core ingredients, a portion of which are international companies. There may be a limited market supply of any of our core ingredients. Any disruption in supply could materially and adversely affect our business, particularly our profitability and margins. Events that adversely affect our suppliers could impair our ability to obtain core ingredient inventories in the quantities desired. Such events include problems with our suppliers’ businesses, finances, labor relations, sustainability concerns, evolving applicable environmental regulations, ability to import core ingredients, delays in imported core ingredients being processed through local customs, costs, production, insurance, reputation and weather conditions during growing, harvesting or shipping, including flood, drought, frost and earthquakes, man-made disasters or other catastrophic occurrences, and geopolitical events.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financial performance depends largely on our ability to purchase core ingredients and packaging in sufficient quantities at competitive prices. We may not have continued supply, pricing or exclusive access to core ingredients and packaging from these sources. Any of our suppliers could discontinue or seek to alter their relationships with us. We may be adversely affected by increased demand for our specific core ingredients, a reduction in the overall supply of required core ingredients, suppliers raising their prices, and increases in the cost of</w:t>
      </w:r>
    </w:p>
    <w:p>
      <w:pPr>
        <w:sectPr>
          <w:pgSz w:w="11900" w:h="16838" w:orient="portrait"/>
          <w:cols w:equalWidth="0" w:num="1">
            <w:col w:w="11240"/>
          </w:cols>
          <w:pgMar w:left="320" w:top="684" w:right="339" w:bottom="1440" w:gutter="0" w:footer="0" w:header="0"/>
        </w:sect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packaging and distributing core ingredients. We may not be able to identify and qualify new suppliers of core ingredients promptly, which could adversely affect our ability to make timely deliveries of products. Additionally, we may be adversely affected if suppliers stop selling to us or enter arrangements that impair their abilities to provide us with core ingredients and packaging.</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rely on a limited number of contract manufacturers to manufacture our products. If any of these manufacturers:</w:t>
      </w:r>
    </w:p>
    <w:p>
      <w:pPr>
        <w:spacing w:after="0" w:line="25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adverse effects on their businesses, including an inability to fulfill their labor or other human capital needs;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continue manufacturing our products at required levels, on a timely basis, or at all;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choose to cancel or not renew our contract with them to manufacture our products;</w:t>
      </w:r>
    </w:p>
    <w:p>
      <w:pPr>
        <w:spacing w:after="0" w:line="220"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we may be forced to seek other manufacturers. We may not be able to identify and qualify new manufacturers promptly that could allocate sufficient capacity to meet our requirements, which could adversely affect our ability to make timely deliveries of products. Furthermore, we may be unable to negotiate pricing or other terms with existing or new manufacturers as favorable as what we currently enjoy. In addition, there is no guarantee a new manufacturing partner could accurately replicate the production process and taste profile of the existing products. In addition, occasionally we determine to select new contract manufacturers to replace existing manufacturers to produce our products. If the transition to a new manufacturer is delayed or we experience product quality or other production issues during the transition to the new manufacturer, our business may be negatively affected until these issues are resolved. We also from time to time are required to establish relationships with one or more new manufacturers and ingredient suppliers to produce new products or product formats. We may not be able to identify and qualify these new manufacturers and suppliers promptly, which could adversely affect our ability to make timely deliveries of these new products or product formats to our customers.</w:t>
      </w:r>
    </w:p>
    <w:p>
      <w:pPr>
        <w:spacing w:after="0" w:line="2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contract manufacturers also independently contract for and obtain certain ingredients and packaging for our products. If we or our contract manufacturers cannot obtain certain ingredients or packaging in the required amounts or at all, their ability to manufacture our products could be adversely affected. It could take a significant period of time to locate and qualify such alternative production sources or alternative ingredients or packaging, which could materially and adversely affect our business.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having our products available for consumer purchase through our retail customers is disrupted for any reason, including because of an inability to obtain ingredients or packaging, labor challenges at our logistics providers or our contract manufacturers, or if our customers experience delays in stocking our products in their locations, we may experience a reduction in sales at retail and our results of operations could be materially and adversely affected.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in large part on our third-party contract manufacturers to maintain the quality of our products. The failure or inability of contract manufacturers to comply with the specifications and requirements of our products could cause product recalls, which could materially and adversely affect our reputation and subject us to significant liability should the consumption of any of our products cause or be claimed to cause illness or injury. Our products implicate risks such as product contamination, spoilage, product tampering, other adulteration, mislabeling and misbranding. We also license certain products that contain our brands and logos, but which are produced and distributed exclusively by third parties over whom we have limited control. In addition, we do not own our warehouse facilities, but they are managed for us by a third party.</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certain circumstances, we may be required to, or may voluntarily, recall or withdraw products. A widespread recall or withdrawal of any of our own or licensed products may negatively and significantly affect our sales and profitability and could cause significant losses depending on the costs of the recall, destruction of product inventory, reduction in product availability, and reaction of competitors and consumers.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and may in the future be, subject to claims or lawsuits, including class action lawsuits which may result in liability for actual or claimed injuries, illness, death, damages, or reimbursements. Any of these events could materially and adversely affect our business, financial condition and results of operations. Whether or not a claim or lawsuit is unsuccessful or is not fully pursued, the negative publicity surrounding any assertion that our products caused illness, injury, damages, or were sold using misleading marketing claims could adversely affect our reputation with existing and potential consumers and our corporate and brand image. Moreover, claims or liabilities of this sort might not be covered by our available insurance or by any rights of indemnity or contribution we may have against others. We maintain product liability insurance for an amount we believe to be adequate. However, we may incur claims or liabilities for which we are not insured or that exceed our insurance coverage. A product liability judgment against us or a product recall could materially and adversely affect our business, financial condition and results of operations.</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risks associated with protection of our trade secrets by our third-party contract manufacturers. If our contract manufacturers fail to protect our trade secrets, either intentionally or unintentionally, our business, financial condition and results of operations could be materially and adversely affected. If we experience significant increased demand for our products, or need to replace an existing supplier or manufacturer, additional supplies of core ingredients or manufacturers may not be available when required, on acceptable terms, or at all. Suppliers may not allocate sufficient capacity to meet our requirements, fill our orders promptly or meet our strict quality standards. Even if our existing suppliers and manufacturers can expand their capacities to meet our needs, or we can find new sources of core ingredients or new contract manufacturers, we may encounter delays in production, inconsistencies in quality and added costs. We may not be able to pass</w:t>
      </w:r>
    </w:p>
    <w:p>
      <w:pPr>
        <w:sectPr>
          <w:pgSz w:w="11900" w:h="16838" w:orient="portrait"/>
          <w:cols w:equalWidth="0" w:num="1">
            <w:col w:w="11240"/>
          </w:cols>
          <w:pgMar w:left="320" w:top="688" w:right="33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increased costs onto the consumer immediately, if at all, which may decrease or eliminate our profitability. Any manufacturing and/or supply disruptions or cost increases could have an adverse effect on our ability to meet consumer demand for our products and result in lower net sales and profitability, both in the short and long-term.</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sales to a limited number of retailers for a substantial portion of our net sales and losing one or more such retailers may materially harm our business. In addition, we maintain “at-will” contracts with these retailers, which do not require recurring or minimum purchase amounts of our products.</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substantial amount of our sales are generated from a limited number of retailers. Sales to our largest retailer customer, Walmart Inc., represented approximately 30% of consolidated sales in fiscal year 2026, with approximately 24% through their mass retail and e-commerce channels and approximately 6% through their Sam’s Club channel. Sales to our next largest retailer, Amazon, represented approximately 20% of consolidated sales in fiscal year 2026. No other customer represents more than 10% of sales. Although the composition of our significant retailers may vary from period to period, we expect most of our sales will continue to come from a relatively small number of retailers for the foreseeable future. These retailers may take actions that affect us for reasons we cannot anticipate or control, such as their financial condition, changes in their business strategy or operations, including their inability to meet their labor or other human capital needs, the perceived quality of their products and introducing competing products. There can be no assurance that Walmart or Amazon or our other significant customers will continue to purchase our products in the same quantities or on the same terms as in the past, particularly as increasingly powerful retailers continue to demand lower pricing. During fiscal year 2026, Walmart and other retailers reduced the number of Atkins products they carry in their stores and in the future may reduce the total assortment of Atkins and OWYN products they carry.</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retailers rarely provide us with firm, long- or short-term volume purchase commitments. As a result, we could have periods with little to no orders for our products while still incurring costs related to workforce maintenance, marketing, general corporate and debt service. Furthermore, despite operating in different channels, our retailers sometimes compete for the same consumers. Because of actual or perceived conflicts resulting from competition, retailers may take actions that negatively affect us. We may not find new retailers to supplement our revenue in periods when we experience reduced purchase orders or recover fixed costs because of experiencing reduced purchase orders. Periods of reduced purchase orders could materially and adversely affect our business, financial condition and results of operations.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Conversely, occasionally, we may experience unanticipated increases in orders for our products from these retailers that can create supply chain problems and may cause unfilled orders. If we cannot meet increased demand for our products, our reputation with these retailers, and ultimately our consumers, may be harmed. Unanticipated fluctuations in product requirements could cause fluctuations in our results from quarter to quarter. Consolidation among retailers may also materially and adversely affect our results. An increase in the concentration of our sales to large customers may negatively affect our profitability due to the effect of higher shelving fees and reduced volumes of product sold. Furthermore, as retailers consolidate or account for a larger percentage of our sales, they may reduce the number of branded products they offer to accommodate private label products and pressure us to lower the prices of our products.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disruption in or an inability to efficiently operate our fulfillment network could materially and adversely affect our business, financial condition, and results of operations.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our U.S. operations, we utilize distribution centers in Greenfield, Indiana. A substantial portion of our inventory is shipped directly to our retailers from these centers by a third-party logistics provider. Many of our other customers pick-up their orders at our distribution centers and arrange for delivery to their fulfillment network. A small percentage of our customers are shipped certain products directly from a co-manufacturing location. We rely significantly on the orderly operation of our distribution centers and logistics providers. If complications arise, a particular facility is damaged or destroyed or if either our third-party logistics partners or our customers who transport their own orders to their fulfillment network cannot meet their labor or other human capital needs for delivery drivers or other warehouse personnel or if trucking regulations affect current trucking norms (such as a shift to electric vehicles), our ability to deliver inventory timely or cost effectively could be significantly impaired, which could materially and adversely affect our business because of lost consumer purchases at retail thereby negatively affecting our operations.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rely primarily on a single-sourced logistics provider for distribution and product shipments in the United States from our distribution centers. Our utilization of delivery services for shipments is subject to risks that may affect the ability to provide delivery services that adequately meet our shipping needs including increases in fuel prices, labor shortages, employee strikes and inclement weather. Occasionally, we may change third-party logistics providers and we could face logistical difficulties that could adversely affect deliveries. In addition, we could incur costs and expend resources in connection with such change and fail to obtain terms as favorable as those we currently receive.</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Disruptions at our distribution facilities or in our operations due to natural or man-made disasters, pandemics or other disease outbreaks, fire, flooding, terrorism or other catastrophic events, system failure, labor shortages or disagreements or shipping problems may cause delays in the delivery of products to retailers and could materially and adversely affect our results of operations.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3" w:name="page24"/>
    <w:bookmarkEnd w:id="2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Severe weather conditions, natural disasters such as fires, floods, droughts, hurricanes, earthquakes and tornadoes, government regulation related to climate change, and the effects of climate change and geopolitical events can affect crop supplies, and supply chain infrastructure, and negatively affect the operating results of our business.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Severe weather conditions and natural disasters, such as fires, floods, droughts, frosts, hurricanes, earthquakes, tornadoes, insect infestations and plant disease, and geopolitical events may affect the supply of core ingredients and packaging used to make and protect food products or may prevent the manufacturing or distribution of food products by third parties. In addition, a number of these weather conditions could become even more severe over time because of the effects of climate change. Competing manufacturers might be affected differently by weather conditions, natural disasters, and geopolitical events depending on the location of their sources of supplies and manufacturing or distribution facilities. If supplies of core ingredients and packaging available to us are reduced, we may not find enough supplemental supply sources on favorable terms, which could materially and adversely affect our business, financial condition and results of operations. In addition, because we rely on few contract manufacturers for most of our manufacturing needs and because our distribution warehouses are all in a similar geographic location, adverse weather conditions could affect the ability for those third-party operators to manufacture, store or move our products.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and operations.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is concern that carbon dioxide and other greenhouse gases in the atmosphere may have an adverse effect on global temperatures, weather patterns, and the frequency and severity of extreme weather and natural disasters. If such climate change has a negative effect on agricultural productivity, we may be subject to decreased availability or less favorable pricing for certain commodities that are necessary for our products, such as whey, cocoa and palm or other plant-based oils. Adverse weather conditions and natural disasters can reduce crop size and crop quality, which in turn could reduce our supplies of raw materials, lower recoveries of usable raw materials, increase the prices of our raw materials, or disrupt production schedules. The physical effects and transitional costs of climate change and the legal, regulatory or market initiatives to address climate change could have a negative effect on our business, financial condition, and results of operations.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is an ongoing focus by regulatory and legislative bodies regarding environmental policies relating to climate change, regulating greenhouse gas emissions, energy policies, recycling, and sustainability. Increased compliance costs and expenses because of climate change and additional legal or regulatory requirements regarding climate change that are designed to reduce or mitigate the effects of carbon dioxide and other greenhouse gas emissions on the environment may cause disruptions in, or an increase in the costs associated with, our business. Moreover, compliance with any such legal or regulatory requirements may require us to make significant changes in our business operations and strategy, which will likely require us to devote substantial time and attention to these matters and cause us to incur additional costs. Even if we make changes to align ourselves with such legal or regulatory requirements, we may still be subject to significant penalties or potential litigation if such laws and regulations are interpreted and applied in a manner inconsistent with our practices. The effects of climate change and legal or regulatory initiatives to address climate change could have a long-term adverse effect on our business and results of operations.</w:t>
      </w:r>
    </w:p>
    <w:p>
      <w:pPr>
        <w:spacing w:after="0" w:line="21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grow through mergers and acquisitions or joint ventures, and we may not successfully integrate, operate or realize the anticipated benefits of such business combinations.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our strategic initiatives, we intend to pursue acquisitions or joint ventures. Our acquisition strategy is based on identifying and acquiring brands with products that complement our existing products and identifying and acquiring brands in new categories and new geographies to expand our platform of nutritional snacks and potentially other food products. Although we regularly evaluate multiple acquisition candidates, we cannot be certain that we can successfully identify suitable acquisition candidates, negotiate acquisitions of identified candidates on favorable terms, or integrate acquisitions we complete.</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Acquisitions involve numerous risks and uncertainties, including intense competition for suitable acquisition targets, which could increase target prices and/or materially and adversely affect our ability to consummate deals on favorable terms, the potential unavailability of financial resources necessary to consummate acquisitions, the risk we improperly value and price a target, the potential inability to identify all of the risks and liabilities inherent in a target company or assets notwithstanding our diligence efforts, the diversion of management’s attention from the day-to-day operations of our business and additional strain on our existing personnel, increased leverage resulting from the additional debt financing that may be required to complete an acquisition, dilution of our net current book value per share if we issue additional equity securities to finance an acquisition, difficulties in identifying suitable acquisition targets or in completing any transactions identified on sufficiently favorable terms and the need to obtain regulatory or other governmental approvals that may be necessary to complete acquisitions.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future acquisitions may pose risks associated with entry into new geographic markets, including outside the United States and our current international markets, distribution channels, lines of business or product categories, where we may not have significant prior experience and where we may not be as successful or profitable as we are in businesses and geographic regions where we have greater familiarity and brand recognition. Potential acquisitions may entail significant transaction costs and require significant management time and distraction from our core business, even where we cannot consummate or decide not to pursue a particular transaction.</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24" w:name="page25"/>
    <w:bookmarkEnd w:id="2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Besides the risks above, even when acquisitions are completed, integration of acquired entities can involve significant difficulties. These include failure to achieve financial or operating objectives regarding an acquisition, systems, operational and managerial controls and procedures, the need to modify systems or to add management resources, difficulties in the integration and retention of consumers or personnel and the integration and effective deployment of operations or technologies, amortization of acquired assets (which would reduce future reported earnings), possible adverse short-term effects on cash flows or operating results, the integration of personnel with diverse backgrounds and organizational cultures, the coordination of sales and marketing functions and failure to obtain and retain key personnel of an acquired business. Failure to manage these acquisition growth risks could have an adverse effect on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of acquisitions, including the OWYN Acquisition, because of integration difficulties and other challenges.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historically seen growth in our business through acquisitions of complementary products and businesses. For example, we completed the OWYN Acquisition in June 2024. The success of acquisitions, including the OWYN Acquisition, will depend, in part, on our ability to realize all or some of the anticipated benefits from integrating these acquired businesses with our existing business. The integration process may be complex, costly and time-consuming. The difficulties of integrating the operations of an acquired business, including OWYN, consist of, among others:</w:t>
      </w:r>
    </w:p>
    <w:p>
      <w:pPr>
        <w:spacing w:after="0" w:line="20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our business plan for the combined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issues in integrating co-manufacturing, logistics, information, communications and other systems;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inconsistencies in standards, controls, procedures and policies, and compensation structures between the acquired structure and our structure;</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employees, customers and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applicable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associated with integrating personnel from another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risks inherent in the acquired company’s business and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operations;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issues, expenses and liabilities.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maintain the levels of net sales, earnings or operating efficiency that each company had achieved historically or might achieve separately. In addition, we may not accomplish the integration of an acquired business smoothly, successfully or within the anticipated costs or timeframe. If we experience difficulties with the integration process, the anticipated benefits of the acquisition may not be realized fully, or at all, or may take longer to realize than expected.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may not provide adequate levels of coverage against claims.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maintain insurance policies customary for businesses of our size and type. However, there are losses we may incur that cannot be insured against or that we believe are not economically reasonable to insure. Such losses could have a material adverse effect on our business, financial condition and results of operations.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our key executive officers or other personnel, or an inability to attract and retain such management and other personnel, could negatively affect our business.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future success depends to a significant degree on the skills, experience and efforts of our key executives and the strength of our talent positions throughout the organization. The sudden loss of key personnel or our failure to appropriately plan for any expected key executive succession could materially and adversely affect our business and prospects, as we may not be able to find suitable individuals to replace them on a timely basis, if at all. Additionally, we also depend on our ability to attract and retain qualified personnel to operate and expand our business. If we fail to attract talented new employees, our business and results of operations could be negatively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and other proprietary rights that are material to our business.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compete effectively depends in part upon protection of our rights in trademarks, trade dress, copyrights and other intellectual property rights we own or license. Our use of contractual provisions, confidentiality procedures and agreements, and trademark, copyright, unfair competition, trade secret and other laws to protect our intellectual property and other proprietary rights may not be adequate. We may not be able to preclude third parties from using our intellectual property regarding food or beverage products and may not be able to leverage our branding beyond our current product offerings. In addition, our trademark or other intellectual property applications may not always be granted. Third parties may oppose our intellectual property applications, or otherwise challenge our use of trademarks or other intellectual property. Third parties may infringe, misappropriate, or otherwise violate our intellectual property. Changes in applicable laws could lessen or remove the current legal protections available for intellectual property. Any legal action we may bring to protect our brand and other intellectual property could be unsuccessful, result in substantial costs and could divert management’s attention from other business concerns. A</w:t>
      </w:r>
    </w:p>
    <w:p>
      <w:pPr>
        <w:sectPr>
          <w:pgSz w:w="11900" w:h="16838" w:orient="portrait"/>
          <w:cols w:equalWidth="0" w:num="1">
            <w:col w:w="11240"/>
          </w:cols>
          <w:pgMar w:left="320" w:top="688" w:right="33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successful claim of trademark, copyright or other intellectual property infringement, misappropriation, or other violation against us could prevent us from providing our products or services or could require us to redesign or rebrand our products or packaging if we cannot license such third-party intellectual property on reasonable terms. Certain of our intellectual property licenses have fixed terms, and even for those that do not, we cannot guarantee all our intellectual property licenses will remain in effect indefinitely. Termination or breaches of intellectual property licenses granted by or to us could cause the loss of profits generated under such licenses. Any of the foregoing outcomes could materially and adversely harm our business, financial condition or results of our operations.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inadequacy, failure or interruption of our information technology systems may harm our ability to effectively operate our business, and our business is subject to online security risks, including security breaches and identity theft.</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heavily on information systems for management of our supply chain, inventory, payment of obligations, collection of cash, human capital management, financial tools and other business processes and procedures. Our ability to efficiently and effectively manage our business functions depends significantly on the reliability and capacity of these systems. Our operations depend upon our ability to protect our computer equipment and systems against damage from physical theft, fire, power loss and outages, telecommunications failure or other catastrophic events and from internal and external security breaches, viruses and other disruptive problems. The failure of these systems to operate effectively, whether from maintenance problems, upgrading or transitioning to new platforms, or a breach in security of these systems, could result in interruptions or delays in our operations, reduce efficiency or negatively affect our operations. If our information technology systems fail and our redundant systems or disaster recovery plans are not adequate to address such failures, or if our business interruption or cyber-security insurance does not sufficiently compensate us for any losses we may incur, our revenue and profits could be reduced, and the reputation of our brand and our business could be materially adversely affected. In addition, remediation of any problems with our systems could result in significant, unplanned expenses.</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instituted controls, including information system governance controls intended to protect our computer systems and our information technology systems and networks. We also have business continuity plans that attempt to anticipate and mitigate failures. However, we cannot control or prevent every potential technology failure, adverse environmental event, third-party service interruption or cybersecurity risk.</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Unauthorized users who penetrate our information security systems could misappropriate proprietary, employee, or consumer information. As a result, it may become necessary to expend additional amounts of capital and resources to protect against, or to alleviate, problems caused by unauthorized access. Data security breaches could cause damaged reputation with consumers and reduced demand for our products. Additional expenditures may not prove to be a timely remedy against breaches by unauthorized users who are able to penetrate our information security. Besides purposeful security breaches, the inadvertent transmission of computer viruses could adversely affect our computer systems and, in turn, harm our business.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increasingly rely on cloud computing and other technologies that result in third parties holding significant amounts of customer, consumer or employee information on our behalf. There continues to be an increase in the frequency and sophistication of attempts to compromise the security of these systems. If the security and information systems we or our outsourced third-party providers use to store or process such information are compromised or if we, or such third parties, otherwise fail to comply with applicable laws and regulations, we could face litigation and the imposition of penalties that could adversely affect our financial performance. Our reputation as a brand or as an employer could also be adversely affected by these types of security breaches or regulatory violations, which could impair our ability to attract and retain qualified employees.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states require that consumers be notified if a security breach results in disclosing their personal financial account or other information. Additional states and governmental entities are considering such “notice” laws. In addition, other public disclosure laws may require that material security breaches be reported. If we experience a security breach, and such notice or public disclosure is required in the future, our reputation and our business may be harmed.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for limited information voluntarily submitted by users of our websites, we typically do not collect or store consumer data or personal information, although we do share information with third-party providers to provide consumer advertising. However, third-party providers, including our licensees, contract manufacturers, e-commerce contractors and third-party sellers may do so. The website operations of such third parties may be affected by reliance on other third-party hardware and software providers, technology changes, risks related to the failure of computer systems through which these website operations are conducted, telecommunications failures, data security breaches and similar disruptions.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or our third-party providers fail to maintain or protect our respective information technology systems and data integrity effectively, fail to implement new systems, update or expand existing systems, fail to provide necessary privacy law disclosures or fail to anticipate, plan for or manage significant disruptions to or compromises of systems involved in our operations, we could:</w:t>
      </w:r>
    </w:p>
    <w:p>
      <w:pPr>
        <w:spacing w:after="0" w:line="20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existing customers;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difficulty preventing, detecting, and controlling fraud;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disputes with customers, suppliers, distributors or others;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regulatory sanctions, including sanctions stemming from violations of the Health Insurance Portability and Accountability Act of 1996 or other federal or state privacy laws;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 reputational harm;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unexpected costs to remediate any unauthorized access of our systems and implement protective measures against future attacks.</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these possible outcomes we could incur increases in operating expenses and our results of operations could be materially and adversely affected. While we maintain insurance against losses related to unauthorized access to our systems, there can be no assurance our level of coverage will be sufficient to address the losses we sustain.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Risks and Litigation Risks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 of our products must comply with federal, state and local regulations. Any non-compliance with the FDA or other applicable regulations could harm our business.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products must comply with various rules and regulations, including those regarding product manufacturing, food safety, required testing, and appropriate labeling of our products. The FDA has not defined nutrient content claims regarding low-carbohydrates, but it has not objected to using net carbohydrate information on food labels if the label adequately explains how the term is used so it would not be false or misleading to consumers. The FDA requires all carbohydrates per serving to be listed on the Nutrition Facts Panel (“NFP”) of a package. Besides the information on the NFP, we often use the term “net carbohydrate” (or “net carbs”) on our existing product packaging. We determine the number of net carbs in a serving by subtracting fiber, and sugar alcohols if any, from the total carbohydrates listed on the NFP. It is possible that FDA regulations and/or their interpretations may materially change related to, for example, definitions of certain of our core ingredients, such as fiber, labeling requirements for describing other ingredients or nutrients, such as sugar alcohols or protein, or disclosures of any ingredient labeled as genetically modified (“GMO”). As such, there is a risk that our products could become non-compliant with the FDA’s regulations, and any such non-compliance could harm our business.</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if FDA or other regulations restrict us from labeling and marketing certain ingredients or product attributes, such as fiber or “net carb” count, we may not effectively reach our target demographics, promote what we believe to be the benefits of our products or communicate that our products are composed of what we consider to be low-carb, low-sugar and protein-rich ingredients.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must rely on the contract manufacturers we engage to produce our products to maintain compliance with applicable regulatory requirements. Although we require our contract manufacturers to be compliant with regulatory requirements, we do not have direct control over such facilities. Failure of our contract manufacturers to comply with applicable regulation could have a material and adverse effect on our ability to sell our products to our customers and our results of operations.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Conflicts between state and federal law regarding definitions of our core ingredients, and labeling requirements, may lead to non-compliance with state and local regulations. For example, certain states may maintain narrower definitions of certain ingredients, and more stringent labeling requirements that we are unable to timely implement, or which may cause confusion for consumers. Any non-compliance at the state or local level or resulting from confusion or decrease in appeal with consumers could materially and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advertising is regulated for accuracy, and if our advertising is determined to be false or misleading, we may face fines or sanctions.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advertising is subject to regulation by the FTC under the Federal Trade Commission Act, which prohibits dissemination of false or misleading advertising. In addition, the National Advertising Division of the Council of Better Business Bureaus, Inc., which we refer to as NAD, administers a self-regulatory program of the advertising industry to ensure truth and accuracy in national advertising. NAD both monitors national advertising and entertains inquiries and challenges from competing companies and consumers. Should our advertising be determined to be false or misleading, we may have to pay damages, revise or withdraw our campaign and possibly face fines or sanctions, which could have a material adverse effect on our sales and operating results.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legal and regulatory environment could limit our business activities, increase our operating costs, reduce demand for our products or result in litigation.</w:t>
      </w:r>
    </w:p>
    <w:p>
      <w:pPr>
        <w:spacing w:after="0" w:line="172"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Elements of our business, including the production, storage, distribution, sale, display, advertising, marketing, labeling, health and safety practices, transportation and use of many of our products, are subject to various laws and regulations administered by federal, state and local governmental agencies in the United States, and the laws and regulations administered by government entities and agencies outside the United States in markets in which our products or components thereof, such as core ingredients and packaging, may be made, manufactured or sold. These laws, regulations and interpretations thereof may change, sometimes dramatically, because of a variety of factors, including political, economic or social events. Such factors may include changes in:</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7" w:name="page28"/>
    <w:bookmarkEnd w:id="27"/>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drug laws (including FDA regulations);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product labeling, advertising and marketing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programs restricting the sale and advertising of certain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programs aimed at reducing, restricting or eliminating ingredients present in certain of our products;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programs aimed at reducing, restricting or eliminating ingredients or packaging present in certain of our products to meet government objectives to combat climate change or certain labor practices;</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programs aimed at discouraging the consumption of products or ingredients or altering the package or portion size of certain of our products;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consumer protection and disclosure laws;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 requirements, including the imposition or proposed imposition of new or increased taxes or other limitations on the sale of our products; competition laws;</w:t>
      </w:r>
    </w:p>
    <w:p>
      <w:pPr>
        <w:ind w:left="660" w:right="2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anti-corruption laws, including the U.S. Foreign Corrupt Practices Act of 1977, as amended (the “FCPA”), and the UK Bribery Act of 2010 (the “Bribery Act”);</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sanctions and anti-boycott laws, including laws administered by the U.S. Department of Treasury, Office of Foreign Assets Control (“OFAC”) and the European Union (“EU”);</w:t>
      </w:r>
    </w:p>
    <w:p>
      <w:pPr>
        <w:jc w:val="both"/>
        <w:ind w:left="660" w:right="2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relating to export, re-export, transfer, tariffs and import controls, including the Export Administration Regulations, the EU Dual Use Regulation and the customs and import laws administered by the U.S. Customs and Border Protection and other local governments where our contract manufacturers are located;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regulating the price we may charge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from any required disclosures related to climate change;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transportation and environmental laws.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New laws, regulations or governmental policies and their related interpretations, or changes in any of the foregoing, including taxes, tariffs or other limitations on the sale of our products, ingredients in our products or commodities used in the production of our products, may alter the environment in which we do business and, therefore, may affect our operating results or increase our costs or liabilities. In addition, if we fail to adhere to such laws and regulations, we could be subject to regulatory investigations, civil or criminal sanctions, and class action litigation, which has increased in the industry in recent years.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effect on our reputation.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Occasionally, we may defend against various claims and litigation. We evaluate these claims and litigation, assess the likelihood of unfavorable outcomes, and estimate, if possible, potential losses when appropriate. We may establish reserves, as appropriate based on the information available to management at the time. These assessments and estimates involve a significant amount of management judgment and may differ materially from actual outcomes.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is an additional risk that potential litigation may lead to adverse publicity, consumer confusion, distrust and additional legal challenges for us. Should we become subject to related or additional lawsuits, including claims related to our products, labeling or advertising, which may vary under state and federal rules and regulations, consumers may avoid purchasing our products or seek alternative products, even if the basis for the claims against us is unfounded.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Capital Structure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materially and adversely affect our financial condition and ability to operate our company, and we may incur additional debt.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August 29, 2026, we had approximately $350 million in outstanding term loan indebtedness and a revolving credit facility with availability of up to $75 million with no amounts drawn on that revolving credit facility. Our current and future debt level and the terms of our debt arrangements could materially and adversely affect our financial condition and limit our ability to successfully implement our growth strategies. In addition, under the credit facilities governing our indebtedness, we have granted the lenders a security interest in substantially all of our assets, including the assets of our subsidiaries and an affiliate.</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meet our debt service obligations will depend on our future performance, which will be affected by the other risk factors described herein. If we do not generate enough cash flow to pay our debt service obligations, we may have to refinance all or part of our existing debt, sell our assets, borrow more money or raise equity. We may not be able to take any of these actions timely, on terms satisfactory to us, or at all.</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The credit facilities governing our debt arrangements contain financial and other covenants.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credit facilities governing our existing debt arrangements contain certain financial and other covenants. Our revolving credit facility has a maximum total net leverage ratio equal to or less than 6.00:1.00 contingent on credit extensions in excess of 30% of the total amount of commitments available under the revolving credit facility, and limitations on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Any failure to comply with the restrictions of the credit facilities may cause an event of default. The credit facilities governing our existing debt arrangements bear interest at variable rates. If market interest rates increase, variable rate debt will create higher debt service requirements, which could materially and adversely affect our cash flow.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interest rates may adversely affect our earnings and cash flows.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indebtedness under our revolving credit facility bears interest at variable interest rates that use the Secured Overnight Financing Rate (“SOFR”) as a benchmark rate. SOFR is calculated based on short-term repurchase agreements, backed by Treasury securities. SOFR is observed and backward looking. Given SOFR is a secured rate backed by government securities, it is a rate that does not take into account bank credit risk. SOFR is therefore less likely to correlate with the funding costs of financial institutions.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this time, it is not possible to predict the effect of any establishment of alternative reference rates or any other reforms that may be enacted. Uncertainty as to the nature of such potential changes, alternative reference rates, including SOFR, or other reforms may adversely affect the trading market for SOFR-based securities, including ours. As a result, our interest expense may increase, our ability to refinance some or all our existing indebtedness may be affected, and our available cash flow may be adversely affected.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and it may not be available on acceptable terms or at all.</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historically relied upon cash generated by our operations to fund our operations and strategy. We may also need to access the debt and equity capital markets; however, these sources of financing may not be available on acceptable terms, or at all. Our ability to obtain additional financing will be subject to several factors, including market conditions, our operating performance, investor sentiment and our ability to incur additional debt in compliance with agreements governing our outstanding debt. These factors may make the timing, amount, terms or conditions of additional financing unattractive to us. If we cannot generate sufficient funds from operations or raise additional capital, our growth could be impeded.</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costs because of operating as a public company, and our management has been and will continue to be required to devote substantial time to compliance efforts.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legal, accounting, insurance and other expenses because of being a public company. The Dodd-Frank Wall Street Reform and Consumer Protection Act (the “Dodd-Frank Act”) and the Sarbanes-Oxley Act of 2002 (the “Sarbanes-Oxley Act”), and related rules implemented by the SEC and listing exchange rules and requirements, have required changes in corporate governance practices of public companies. In addition, rules that the SEC is implementing or is required to implement pursuant to the Dodd-Frank Act may require additional changes. Compliance with these and other similar laws, rules and regulations, including compliance with Section 404 of the Sarbanes-Oxley Act (“Section 404”), has increased and will continue to increase expense, including our legal and accounting costs, and make some activities more time-consuming and costly. We may be unable to hire, train or retain necessary staff and may be reliant on engaging outside consultants or professionals, which could adversely affect our business if our internal infrastructure is inadequate to fulfill our public company obligations. These laws, regulations and rules, including new compensation clawback rules, could also make it more expensive for us to obtain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more investors and other market professionals are expecting more detailed environmental, social and governance or ESG reporting from public companies of our size that is currently produced by public companies with human and financial resources that are greater than ours. Furthermore, the SEC has adopted rule changes, and the State of California has enacted legislation that would require us to include certain climate-related disclosures, including greenhouse gas emission data with third-party attestation and climate-related financial statement metrics in a note to our audited financial statements. These rules and legislation may require us to change our accounting policies, to alter our operational policies and to implement new or enhance existing systems so that they reflect new or amended financial reporting standards, or to restate our published financial statements. Such changes may have an adverse effect on our business, financial position and operating results, or cause an adverse deviation from our revenue and operating profit targets, which may negatively affect our financial results.</w:t>
      </w:r>
    </w:p>
    <w:p>
      <w:pPr>
        <w:spacing w:after="0" w:line="2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we expect to incur additional expenses to meet these reporting expectations as well as any climate related reporting mandated in the future by government regulations.</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implement appropriate systems, procedures and controls, we may not be able to successfully procure, offer or ship our products, grow our business and account for transactions in an appropriate and timely manner.</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ability to successfully offer our products, grow our business and account for transactions in an appropriate and timely manner requires an effective planning and management process and certain other automated management and accounting systems. We have an integrated enterprise resource planning system and certain other automated management and accounting systems. We periodically update our operations and financial systems, procedures and controls; however, we still rely on certain manual processes and procedures that may not scale proportionately with our business growth. Our systems will continue to require automation, modifications and improvements to respond to current and future changes in our business. Failure to implement promptly appropriate internal systems, procedures and controls could materially and adversely affect our business, financial condition and results of operations.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effective internal control over financial reporting, we may not be able to accurately report our financial results in a timely manner or prevent fraud, which may adversely affect investor confidence in our financial reporting and adversely affect our business and operating results and the market price for our common stock.</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In the future, we may discover areas of our internal control over financial reporting that need improvement. In addition, our internal financial and accounting team is leanly staffed, which can lead to inefficiencies regarding segregation of duties. If we fail to properly and efficiently maintain an effective internal control over financial reporting, we could fail to report our financial results accurately and timely.</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Effective internal controls are necessary for us to provide reliable financial reports and prevent fraud. Remediation measures may from time to time be time consuming and costly and there is no assurance that the remedial measures we have taken to date, or any remedial measures we may take in the future, will be sufficient to avoid potential future material weaknesses. A material weakness will not be considered remediated until a sustained period of time has passed to allow management to test the design and operational effectiveness of the corrective actions.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identify material weaknesses in the future, which could limit our ability to prevent or detect a material misstatement of our annual or interim financial statements. The occurrence of, or failure to remediate, any material weakness we have identified or any other material weakness could result in our failure to maintain compliance with legal requirements, including Section 404 of the Sarbanes-Oxley Act and rules regarding timely filing of periodic reports, in addition to applicable stock exchange listing requirements, could cause investors to lose confidence in our financial reporting and could have an adverse effect on the market price of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recognize impairment charges that could materially affect our financial results.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assess our noncurrent assets, including trademarks, goodwill and other intangible assets, and other long-lived assets, as and when required by accounting principles generally accepted in the United States to determine whether they are impaired and, if they are, we record appropriate impairment charges. We have recorded, and we may be required to record in the future, significant impairment charges and, if we do so, our net income could be materially adversely affected. Refer to Note 5, Goodwill and Intangibles, for additional information regarding the Company’s impairment assessments and related impairment charges recorded during fiscal year 2026.</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only significant asset is ownership of 100% of Atkins Intermediate Holdings, LLC and such ownership may not be sufficient to pay dividends or make distributions or loans to enable us to pay any dividends on our common stock or satisfy our other financial obligations.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no direct operations and no significant assets other than the direct ownership of 100% of Atkins Intermediate Holdings, LLC. We currently depend on Atkins Intermediate Holdings, LLC for distributions, loans and other payments to generate the funds necessary to meet our financial obligations and to pay any dividends regarding our common stock. Legal and contractual restrictions in agreements governing our debt arrangements and future indebtedness of Atkins Intermediate Holdings, LLC, and the financial condition and operating requirements of Atkins Intermediate Holdings, LLC, may limit our ability to obtain funds in a timely manner from Atkins Intermediate Holdings, LLC. The earnings from, or other available assets of, Atkins Intermediate Holdings, LLC may not be sufficient to pay dividends, make distributions or loans to enable us to pay any dividends on our common stock, or satisfy our other financial obligations.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Capital Market (“Nasdaq”). The market price of our common stock has fluctuated in the past and could fluctuate substantially in the future, based on a variety of factors, including future announcements covering us or our key customers or competitors, government regulations, litigation, changes in earnings estimates by analysts, fluctuations in quarterly operating</w:t>
      </w:r>
    </w:p>
    <w:p>
      <w:pPr>
        <w:sectPr>
          <w:pgSz w:w="11900" w:h="16838" w:orient="portrait"/>
          <w:cols w:equalWidth="0" w:num="1">
            <w:col w:w="11240"/>
          </w:cols>
          <w:pgMar w:left="320" w:top="684" w:right="3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results or general conditions in our industry and may be exacerbated by historical limited trading volume in our common stock. Furthermore, stock prices for many companies fluctuate widely for reasons that may be unrelated to their operating results. Those fluctuations and general economic, political and market conditions, such as recessions or international currency fluctuations and demand for our services, may adversely affect the market price of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anticipate declaring any cash dividends to holders of our common stock in the foreseeable future. Consequently, investors may need to rely on sales of their shares of common stock after the price has appreciated, which may never occur, as the only way to realize any future gains on their investment. Investors seeking cash dividends should not purchase our common stock.</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certificate of incorporation and third amended and restated bylaws, and provisions of Delaware law, could impair a takeover attempt.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third amended and restated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 These provisions include:</w:t>
      </w:r>
    </w:p>
    <w:p>
      <w:pPr>
        <w:spacing w:after="0" w:line="20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the board of directors or the resignation, death, or removal of a director in certain circumstances, which prevents stockholders from filling vacancies on our board of directors;</w:t>
      </w: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stockholders calling a special meeting, which forces stockholder action to be taken at an annual meeting of our stockholders or at a special meeting of our stockholders called by the chairman of the board or the chief executive officer pursuant to a resolution adopted by a majority of the board of directors;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meeting of stockholders may be called only by the board of directors, which may delay the ability of our stockholders to force consideration of a proposal or to take action, including the removal of directors;</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prior to the expiration of their terms by stockholders only for cause and upon the affirmative vote of a majority of the voting power of all outstanding shares of the combined company; and</w:t>
      </w:r>
    </w:p>
    <w:p>
      <w:pPr>
        <w:jc w:val="both"/>
        <w:ind w:left="660" w:hanging="328"/>
        <w:spacing w:after="0" w:line="25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the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in the worldwide economy may materially and adversely affect our business, financial condition and results of operations.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Adverse and uncertain economic conditions, such as those caused by the inflationary environment, geopolitical events and public health emergencies have, in the past, affected, and, in the future, may affect distributor, retailer and consumer demand for our products. In addition, our ability to manage normal commercial relationships with our suppliers, contract manufacturers, distributors, retailers, consumers and creditors may suffer. Consumers may shift purchases to lower-priced or other perceived value offerings during economic downturns and periods of high inflation, making it more difficult to sell our premium products. Due to the relative costs of our products, during economic downturns and periods of high inflation, it may be more difficult to convince consumers to switch to or continue to use our brands or convince new users to choose our brands without expensive sampling programs and price promotions. In addition, consumers may choose to purchase private-label products rather than branded products because they are generally less expensive. Distributors and retailers may become more conservative in their ordering in response to these conditions and seek to reduce their inventories. Our results of operations depend on, among other things, our ability to maintain or increase sales volume with our existing distributors and retailers, to attract new consumers and to provide products that appeal to consumers at prices they are willing and able to pay. Prolonged unfavorable economic conditions may have an adverse effect on our sales and profitability.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regulatory, economic, political and social risks in the countries in which we operate.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international nature of our operations involves several risks, including changes in U.S. and foreign regulations, tariffs, taxes and exchange controls, economic downturns, inflation and political and social instability in the countries in which we operate and our dependence on foreign personnel. Moreover, although our products in our foreign operations typically mirror those in the United States, consumers outside the United States may have different tastes, preferences, nutritional approaches and perceptions of our brands and business operations than U.S. consumers. Our international business is small compared to our U.S. business, and as a result, our operations are more spread out which can add to our costs and limit our ability to react effectively and timely to adverse events. We cannot be certain that we can enter and successfully compete in additional foreign markets or that we can continue to compete in the foreign markets in which we currently operate.</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Doing business outside the United States requires us to comply with the laws and regulations of the U.S. government and various foreign jurisdictions, which place restrictions on our operations, trade practices, partners and investment decisions. In particular, our operations are subject to U.S. and foreign anti-corruption and trade control laws and regulations, such as the FCPA, export controls and economic sanctions programs, including those administered by the OFAC. Because of doing business in foreign countries and with foreign partners, we are exposed to a heightened risk of violating anti-corruption and trade control laws and sanctions regulations. The FCPA prohibits us from providing anything of value to foreign officials for the purposes of obtaining or retaining business or securing any improper business advantage.</w:t>
      </w:r>
    </w:p>
    <w:p>
      <w:pPr>
        <w:spacing w:after="0" w:line="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continued expansion outside the United States, including in developing countries, and our development of new partnerships and joint venture relationships worldwide, could increase the risk of FCPA, OFAC or other sanctions violations in the future. Violations of anti-corruption and trade control laws and sanctions regulations may cause reputational damage and are punishable by civil penalties, including fines, denial of export privileges, injunctions, asset seizures, debarment from government contracts and revocations or restrictions of licenses, and criminal fines and imprisonment.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Finally, our business could be negatively affected by changes in the U.S. and Canadian political environments, in particular. We operate primarily in the United States, and we ship a large number of products between the U.S. and Canada. Adverse changes to trade agreements, import or export regulations, customs duties or tariffs, including exemptions to customs duties or tariffs by either or both governments may have a negative effect on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fluctuations in exchange rates, which may materially and adversely affect our operating results.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source large quantities of our core ingredients from foreign suppliers, and as a result, any material upward movement in foreign exchange rates relative to the U.S. dollar will adversely affect our profitability. Furthermore, the substantial majority of our revenue is generated domestically, while a portion of our third-party manufacturing is completed in Canada. Any U.S. dollar weakness may therefore materially and adversely affect revenue and cash flows while also increasing supply and manufacturing costs.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to the extent allowed by law, the doctrine of “corporate opportunity” does not apply with respect to the directors, officers, employees or representatives of Conyers Park Sponsor, LLC (“Conyers Park Sponsor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Centerview Capital Holdings LLC (“Centerview Capital”) and Centerview Partners and their respective affiliates, except as provided below.</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Our amended and restated certificate of incorporation provides that, to the extent allowed by law, the doctrine of “corporate opportunity” does not apply with respect to the directors, officers, employees or representatives of Centerview Capital, Centerview Partners, our original sponsor, and their respective affiliates. The doctrine of corporate opportunity shall apply with respect to any of our directors or officers with respect to a corporate opportunity that was offered in writing to such person solely in his or her capacity as our director or officer and such opportunity is one which they are legally and contractually permitted to undertake and would otherwise be reasonable for us to pursue. Therefore, except as provided above, these parties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w:t>
      </w: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know of, or be able to pursue, transactions that could potentially be beneficial to us. Accordingly, we may lose a corporate opportunity or suffer competitive harm, which could negatively affect our business or prospects.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and Leadership</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enterprise risk management framework considers cybersecurity risk alongside other risks as part of our overall enterprise risk assessment process. As part of our enterprise risk management, we maintain a comprehensive information technology, data governance and cybersecurity program that leverages people, processes and technology to support the effectiveness of our information technology systems and identify, prevent and mitigate information technology and data security risks. Our cybersecurity program is aligned to the National Institute of Standards and Technology (NIST) Cybersecurity Framework (CSF). Our cybersecurity team utilizes a variety of tools, processes and outside resources to continue to evolve and maintain our cybersecurity program’s maturity across the elements of NIST CSF.</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information security program is focused on detecting, identifying, defending against and mitigating the effect of cybersecurity risks to guard our information technology systems and protect the confidentiality, integrity, and availability of our information technology processes and data. Our Board of Directors is responsible for the oversight of cybersecurity risks, including through the delegation of certain cybersecurity oversight authority to the Audit Committee of the Board.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information security program also addresses cybersecurity risks associated with our use of third-party service providers. We use systems and processes designed to assess, identify and reduce the potential impact of a cybersecurity incident at any of our third-party service providers. We assess information security controls of certain of our third-party service providers as part of our third-party information technology risk due diligence, and we conduct third-party vulnerability analysis regularly.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information security function and management team is led by our Chief Information Officer, who has approximately 26 years of experience in the information technology area and reports to our Chief Financial Officer. Our Director of Infrastructure and Controls has approximately 20 years of experience in the information technology area.</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information security team is responsible for monitoring, managing, assessing and mitigating cybersecurity risks and threats on a day-to-day basis and is responsible for improving and strengthening our cybersecurity environment. As discussed below, the information security team works with nationally recognized third parties and licenses various cybersecurity tools and products to assist with assessing and managing cybersecurity risks. The information security team regularly interacts with and discusses cybersecurity matters with our Chief Financial Officer and a member of our Board who serves as the Board’s primary contact on cybersecurity matters as a part of our company-wide risk management system. The information security team has plans and processes in place to escalate certain cybersecurity issues to senior management and the Board or the Audit Committee, including to determine whether, when and how to publicly disclose any material cybersecurity event. In addition, we maintain insurance to help reduce our exposure from potential losses should a cybersecurity incident arise.</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security team undertakes or engages in these practices and activities, among others, as part of the Company’s risk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w:t>
      </w:r>
    </w:p>
    <w:p>
      <w:pPr>
        <w:spacing w:after="0" w:line="23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of software and hardware (including firmware) for vulnerabilities and required patches;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employee training and education to identify and avoid cybersecurity risks and threats;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implementing and testing incident response and information recovery plans to assess and respond to cybersecurity threats and incidents;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collaborating with our internal audit function and other internal teams for testing cybersecurity controls and procedures;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managing cybersecurity risks presented by third parties, including cybersecurity vendors, cybersecurity software and hardware providers, other vendors and customers, service providers and other parties with access to our systems and data; and the systems of third parties that could adversely affect our operations or business in the event of a cybersecurity incident affecting those third-party systems;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threat intelligence systems and notification procedures;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technology solutions for cybersecurity prevention and defense, including outside firewalls, multi-factor authentication systems, separate intrusion prevention and detection systems, anti-virus and anti-malware products and remote access controls.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Third Parties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engaged, and intend to continue to engage, nationally recognized third parties to assist us in assessing, among other things:</w:t>
      </w:r>
    </w:p>
    <w:p>
      <w:pPr>
        <w:spacing w:after="0" w:line="25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cybersecurity risks;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identification;</w:t>
      </w:r>
    </w:p>
    <w:p>
      <w:pPr>
        <w:sectPr>
          <w:pgSz w:w="11900" w:h="16838" w:orient="portrait"/>
          <w:cols w:equalWidth="0" w:num="1">
            <w:col w:w="11240"/>
          </w:cols>
          <w:pgMar w:left="320" w:top="684" w:right="33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3" w:name="page34"/>
    <w:bookmarkEnd w:id="33"/>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neutralization;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environment testing;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testing;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phishing and social engineering methods;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 practices for continued compliance and training.</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risks or threats are identified to us by a third party, the information security team is responsible for assessing the risk or threat and determining a course of action to mitigate the risk or neutralize the threat.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Cybersecurity Events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no previous cybersecurity incidents have materially affected the Company, a cybersecurity incident could have a material effect on our results of operations and financial condition. As described above under “Item 1A-Risk Factors - Any inadequacy, failure or interruption of our information technology systems may harm our ability to effectively operate our business, and our business is subject to online security risks, including security breaches and identity theft,” a material cybersecurity incident could disrupt our business, lead to the loss of data or cause us to suffer financial and/or reputational damage, in addition to litigation or remediation costs or penalties.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Overview</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oversees cybersecurity risk through multiple methods. The Audit Committee of the Board has been delegated certain cybersecurity oversight responsibility and, among other things, receives quarterly updates and presentations from our Chief Information Officer regarding our cybersecurity environment, cybersecurity risks and threats, cybersecurity projects we have implemented and plan to implement and other cybersecurity developments. The chair of the Audit Committee reports to the full Board after each meeting. In addition, our information security team regularly interacts with and discusses cybersecurity matters with a member of the Board who serves as the Board’s primary contact on cybersecurity matters as part of our company-wide risk management system. On a quarterly basis, the Board receives a Quarterly Enterprise Risk Assessment Update that typically includes content regarding Information Technology systems and cybersecurity.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Our corporate headquarters is located at 1225 17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 Suite 1000, Denver, CO 80202. We lease this property, which occupies approximately 27,600 square feet. In addition, we lease or otherwise have rights to use office space and storage space in El Segundo, California, Broomfield, Colorado, and Bentonville metro-area, Arkansas. We also lease two distribution centers in Greenfield, Indiana. We utilize over 1.6 million square feet of floor space among our distribution centers.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Except as described below,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20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August 14, 2026, a putative class action complaint captioned </w:t>
      </w:r>
      <w:r>
        <w:rPr>
          <w:rFonts w:ascii="Times New Roman" w:cs="Times New Roman" w:eastAsia="Times New Roman" w:hAnsi="Times New Roman"/>
          <w:sz w:val="18"/>
          <w:szCs w:val="18"/>
          <w:i w:val="1"/>
          <w:iCs w:val="1"/>
          <w:color w:val="auto"/>
        </w:rPr>
        <w:t>Monroe County Employees’ Retirement System v. The Simply Good Foods Co.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No. 1:26-cv-06971-JAV, was filed in the United States District Court for the Southern District of New York. The complaint names as defendants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our former CEO Geoff E. Tanner, our former CFO Shaun P. Mara, and our current CFO Christopher J. Bealer. The complaint alleges that the defendants made materially false and/or misleading statements or omissions regarding our integration of OWYN and asserts claims under Sections 10(b) and 20(a) of the Securities Exchange Act of 1934. Plaintiff seeks to represent a putative class of stockholders who purchased our common stock between October 24, 2024, and April 8, 2026, both dates inclusive. We believe the complaint lacks merit and intend to defend the claims vigorously.</w:t>
      </w:r>
    </w:p>
    <w:p>
      <w:pPr>
        <w:spacing w:after="0" w:line="207"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currently quoted on the Nasdaq Capital Market under the symbol “SMPL.”</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October 22, 2026, there were 86,861,967 shares outstanding and 9 record holders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do not pay dividends and have not paid any cash dividends on our common stock to date. We currently intend to retain our future earnings to finance the development and expansion of our business and as such, we do not expect to pay any cash dividends on our common stock in the foreseeable future. The payment of future dividends, if any, will be at the discretion of our Board of Directors and will depend on our financial condition, results of operations, capital requirements, restrictions contained in current and/or future financing instruments, provisions of applicable law, and any other factors our Board of Directors deems relevant.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79"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Total number of shares</w:t>
            </w:r>
          </w:p>
        </w:tc>
        <w:tc>
          <w:tcPr>
            <w:tcW w:w="120" w:type="dxa"/>
            <w:vAlign w:val="bottom"/>
          </w:tcPr>
          <w:p>
            <w:pPr>
              <w:spacing w:after="0"/>
              <w:rPr>
                <w:sz w:val="16"/>
                <w:szCs w:val="16"/>
                <w:color w:val="auto"/>
              </w:rPr>
            </w:pPr>
          </w:p>
        </w:tc>
        <w:tc>
          <w:tcPr>
            <w:tcW w:w="2300" w:type="dxa"/>
            <w:vAlign w:val="bottom"/>
            <w:vMerge w:val="restart"/>
          </w:tcPr>
          <w:p>
            <w:pPr>
              <w:jc w:val="right"/>
              <w:ind w:right="84"/>
              <w:spacing w:after="0"/>
              <w:rPr>
                <w:sz w:val="20"/>
                <w:szCs w:val="20"/>
                <w:color w:val="auto"/>
              </w:rPr>
            </w:pPr>
            <w:r>
              <w:rPr>
                <w:rFonts w:ascii="Times New Roman" w:cs="Times New Roman" w:eastAsia="Times New Roman" w:hAnsi="Times New Roman"/>
                <w:sz w:val="16"/>
                <w:szCs w:val="16"/>
                <w:color w:val="auto"/>
              </w:rPr>
              <w:t>Maximum dollar value of shares</w:t>
            </w:r>
          </w:p>
        </w:tc>
        <w:tc>
          <w:tcPr>
            <w:tcW w:w="0" w:type="dxa"/>
            <w:vAlign w:val="bottom"/>
          </w:tcPr>
          <w:p>
            <w:pPr>
              <w:spacing w:after="0"/>
              <w:rPr>
                <w:sz w:val="1"/>
                <w:szCs w:val="1"/>
                <w:color w:val="auto"/>
              </w:rPr>
            </w:pPr>
          </w:p>
        </w:tc>
      </w:tr>
      <w:tr>
        <w:trPr>
          <w:trHeight w:val="81"/>
        </w:trPr>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40" w:type="dxa"/>
            <w:vAlign w:val="bottom"/>
            <w:gridSpan w:val="2"/>
            <w:vMerge w:val="restart"/>
          </w:tcPr>
          <w:p>
            <w:pPr>
              <w:jc w:val="center"/>
              <w:ind w:right="160"/>
              <w:spacing w:after="0" w:line="162" w:lineRule="exact"/>
              <w:rPr>
                <w:sz w:val="20"/>
                <w:szCs w:val="20"/>
                <w:color w:val="auto"/>
              </w:rPr>
            </w:pPr>
            <w:r>
              <w:rPr>
                <w:rFonts w:ascii="Times New Roman" w:cs="Times New Roman" w:eastAsia="Times New Roman" w:hAnsi="Times New Roman"/>
                <w:sz w:val="16"/>
                <w:szCs w:val="16"/>
                <w:color w:val="auto"/>
                <w:w w:val="99"/>
              </w:rPr>
              <w:t>Total number of</w:t>
            </w:r>
          </w:p>
        </w:tc>
        <w:tc>
          <w:tcPr>
            <w:tcW w:w="1400" w:type="dxa"/>
            <w:vAlign w:val="bottom"/>
            <w:gridSpan w:val="4"/>
            <w:vMerge w:val="restart"/>
          </w:tcPr>
          <w:p>
            <w:pPr>
              <w:ind w:left="20"/>
              <w:spacing w:after="0" w:line="162" w:lineRule="exact"/>
              <w:rPr>
                <w:sz w:val="20"/>
                <w:szCs w:val="20"/>
                <w:color w:val="auto"/>
              </w:rPr>
            </w:pPr>
            <w:r>
              <w:rPr>
                <w:rFonts w:ascii="Times New Roman" w:cs="Times New Roman" w:eastAsia="Times New Roman" w:hAnsi="Times New Roman"/>
                <w:sz w:val="16"/>
                <w:szCs w:val="16"/>
                <w:color w:val="auto"/>
              </w:rPr>
              <w:t>Average price paid</w:t>
            </w:r>
          </w:p>
        </w:tc>
        <w:tc>
          <w:tcPr>
            <w:tcW w:w="2120" w:type="dxa"/>
            <w:vAlign w:val="bottom"/>
            <w:gridSpan w:val="2"/>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purchased as part of publicly</w:t>
            </w:r>
          </w:p>
        </w:tc>
        <w:tc>
          <w:tcPr>
            <w:tcW w:w="1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80" w:type="dxa"/>
            <w:vAlign w:val="bottom"/>
            <w:gridSpan w:val="2"/>
            <w:vMerge w:val="restart"/>
          </w:tcPr>
          <w:p>
            <w:pPr>
              <w:ind w:left="360"/>
              <w:spacing w:after="0" w:line="165" w:lineRule="exact"/>
              <w:rPr>
                <w:sz w:val="20"/>
                <w:szCs w:val="20"/>
                <w:color w:val="auto"/>
              </w:rPr>
            </w:pPr>
            <w:r>
              <w:rPr>
                <w:rFonts w:ascii="Times New Roman" w:cs="Times New Roman" w:eastAsia="Times New Roman" w:hAnsi="Times New Roman"/>
                <w:sz w:val="16"/>
                <w:szCs w:val="16"/>
                <w:color w:val="auto"/>
              </w:rPr>
              <w:t>Period</w:t>
            </w:r>
          </w:p>
        </w:tc>
        <w:tc>
          <w:tcPr>
            <w:tcW w:w="1640" w:type="dxa"/>
            <w:vAlign w:val="bottom"/>
            <w:gridSpan w:val="2"/>
            <w:vMerge w:val="continue"/>
          </w:tcPr>
          <w:p>
            <w:pPr>
              <w:spacing w:after="0"/>
              <w:rPr>
                <w:sz w:val="7"/>
                <w:szCs w:val="7"/>
                <w:color w:val="auto"/>
              </w:rPr>
            </w:pPr>
          </w:p>
        </w:tc>
        <w:tc>
          <w:tcPr>
            <w:tcW w:w="1400" w:type="dxa"/>
            <w:vAlign w:val="bottom"/>
            <w:gridSpan w:val="4"/>
            <w:vMerge w:val="continue"/>
          </w:tcPr>
          <w:p>
            <w:pPr>
              <w:spacing w:after="0"/>
              <w:rPr>
                <w:sz w:val="7"/>
                <w:szCs w:val="7"/>
                <w:color w:val="auto"/>
              </w:rPr>
            </w:pPr>
          </w:p>
        </w:tc>
        <w:tc>
          <w:tcPr>
            <w:tcW w:w="2120" w:type="dxa"/>
            <w:vAlign w:val="bottom"/>
            <w:gridSpan w:val="2"/>
            <w:vMerge w:val="continue"/>
          </w:tcPr>
          <w:p>
            <w:pPr>
              <w:spacing w:after="0"/>
              <w:rPr>
                <w:sz w:val="7"/>
                <w:szCs w:val="7"/>
                <w:color w:val="auto"/>
              </w:rPr>
            </w:pPr>
          </w:p>
        </w:tc>
        <w:tc>
          <w:tcPr>
            <w:tcW w:w="2420" w:type="dxa"/>
            <w:vAlign w:val="bottom"/>
            <w:gridSpan w:val="2"/>
            <w:vMerge w:val="restart"/>
          </w:tcPr>
          <w:p>
            <w:pPr>
              <w:ind w:left="40"/>
              <w:spacing w:after="0" w:line="165" w:lineRule="exact"/>
              <w:rPr>
                <w:sz w:val="20"/>
                <w:szCs w:val="20"/>
                <w:color w:val="auto"/>
              </w:rPr>
            </w:pPr>
            <w:r>
              <w:rPr>
                <w:rFonts w:ascii="Times New Roman" w:cs="Times New Roman" w:eastAsia="Times New Roman" w:hAnsi="Times New Roman"/>
                <w:sz w:val="16"/>
                <w:szCs w:val="16"/>
                <w:color w:val="auto"/>
              </w:rPr>
              <w:t>that may yet be purchased under the</w:t>
            </w:r>
          </w:p>
        </w:tc>
        <w:tc>
          <w:tcPr>
            <w:tcW w:w="0" w:type="dxa"/>
            <w:vAlign w:val="bottom"/>
          </w:tcPr>
          <w:p>
            <w:pPr>
              <w:spacing w:after="0"/>
              <w:rPr>
                <w:sz w:val="1"/>
                <w:szCs w:val="1"/>
                <w:color w:val="auto"/>
              </w:rPr>
            </w:pPr>
          </w:p>
        </w:tc>
      </w:tr>
      <w:tr>
        <w:trPr>
          <w:trHeight w:val="83"/>
        </w:trPr>
        <w:tc>
          <w:tcPr>
            <w:tcW w:w="1280" w:type="dxa"/>
            <w:vAlign w:val="bottom"/>
            <w:gridSpan w:val="2"/>
            <w:vMerge w:val="continue"/>
          </w:tcPr>
          <w:p>
            <w:pPr>
              <w:spacing w:after="0"/>
              <w:rPr>
                <w:sz w:val="7"/>
                <w:szCs w:val="7"/>
                <w:color w:val="auto"/>
              </w:rPr>
            </w:pPr>
          </w:p>
        </w:tc>
        <w:tc>
          <w:tcPr>
            <w:tcW w:w="1640" w:type="dxa"/>
            <w:vAlign w:val="bottom"/>
            <w:gridSpan w:val="2"/>
            <w:vMerge w:val="restart"/>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shares purchased</w:t>
            </w:r>
          </w:p>
        </w:tc>
        <w:tc>
          <w:tcPr>
            <w:tcW w:w="180" w:type="dxa"/>
            <w:vAlign w:val="bottom"/>
          </w:tcPr>
          <w:p>
            <w:pPr>
              <w:spacing w:after="0"/>
              <w:rPr>
                <w:sz w:val="7"/>
                <w:szCs w:val="7"/>
                <w:color w:val="auto"/>
              </w:rPr>
            </w:pPr>
          </w:p>
        </w:tc>
        <w:tc>
          <w:tcPr>
            <w:tcW w:w="680" w:type="dxa"/>
            <w:vAlign w:val="bottom"/>
            <w:vMerge w:val="restart"/>
          </w:tcPr>
          <w:p>
            <w:pPr>
              <w:ind w:left="100"/>
              <w:spacing w:after="0" w:line="162" w:lineRule="exact"/>
              <w:rPr>
                <w:sz w:val="20"/>
                <w:szCs w:val="20"/>
                <w:color w:val="auto"/>
              </w:rPr>
            </w:pPr>
            <w:r>
              <w:rPr>
                <w:rFonts w:ascii="Times New Roman" w:cs="Times New Roman" w:eastAsia="Times New Roman" w:hAnsi="Times New Roman"/>
                <w:sz w:val="16"/>
                <w:szCs w:val="16"/>
                <w:color w:val="auto"/>
                <w:w w:val="96"/>
              </w:rPr>
              <w:t>per share</w:t>
            </w:r>
          </w:p>
        </w:tc>
        <w:tc>
          <w:tcPr>
            <w:tcW w:w="420" w:type="dxa"/>
            <w:vAlign w:val="bottom"/>
          </w:tcPr>
          <w:p>
            <w:pPr>
              <w:jc w:val="right"/>
              <w:ind w:right="226"/>
              <w:spacing w:after="0" w:line="83" w:lineRule="exact"/>
              <w:rPr>
                <w:sz w:val="20"/>
                <w:szCs w:val="20"/>
                <w:color w:val="auto"/>
              </w:rPr>
            </w:pPr>
            <w:r>
              <w:rPr>
                <w:rFonts w:ascii="Times New Roman" w:cs="Times New Roman" w:eastAsia="Times New Roman" w:hAnsi="Times New Roman"/>
                <w:sz w:val="9"/>
                <w:szCs w:val="9"/>
                <w:color w:val="auto"/>
                <w:w w:val="94"/>
              </w:rPr>
              <w:t>(2)</w:t>
            </w:r>
          </w:p>
        </w:tc>
        <w:tc>
          <w:tcPr>
            <w:tcW w:w="120" w:type="dxa"/>
            <w:vAlign w:val="bottom"/>
          </w:tcPr>
          <w:p>
            <w:pPr>
              <w:spacing w:after="0"/>
              <w:rPr>
                <w:sz w:val="7"/>
                <w:szCs w:val="7"/>
                <w:color w:val="auto"/>
              </w:rPr>
            </w:pPr>
          </w:p>
        </w:tc>
        <w:tc>
          <w:tcPr>
            <w:tcW w:w="2120" w:type="dxa"/>
            <w:vAlign w:val="bottom"/>
            <w:gridSpan w:val="2"/>
            <w:vMerge w:val="restart"/>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announced plans or</w:t>
            </w:r>
          </w:p>
        </w:tc>
        <w:tc>
          <w:tcPr>
            <w:tcW w:w="2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tcPr>
          <w:p>
            <w:pPr>
              <w:jc w:val="right"/>
              <w:ind w:right="484"/>
              <w:spacing w:after="0" w:line="79" w:lineRule="exact"/>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216"/>
        </w:trPr>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w w:val="96"/>
              </w:rPr>
              <w:t>programs</w:t>
            </w:r>
            <w:r>
              <w:rPr>
                <w:rFonts w:ascii="Times New Roman" w:cs="Times New Roman" w:eastAsia="Times New Roman" w:hAnsi="Times New Roman"/>
                <w:sz w:val="21"/>
                <w:szCs w:val="21"/>
                <w:color w:val="auto"/>
                <w:w w:val="96"/>
                <w:vertAlign w:val="superscript"/>
              </w:rPr>
              <w:t>(1)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6"/>
                <w:szCs w:val="16"/>
                <w:color w:val="auto"/>
              </w:rPr>
              <w:t>plans or programs</w:t>
            </w:r>
          </w:p>
        </w:tc>
        <w:tc>
          <w:tcPr>
            <w:tcW w:w="0" w:type="dxa"/>
            <w:vAlign w:val="bottom"/>
          </w:tcPr>
          <w:p>
            <w:pPr>
              <w:spacing w:after="0"/>
              <w:rPr>
                <w:sz w:val="1"/>
                <w:szCs w:val="1"/>
                <w:color w:val="auto"/>
              </w:rPr>
            </w:pPr>
          </w:p>
        </w:tc>
      </w:tr>
      <w:tr>
        <w:trPr>
          <w:trHeight w:val="156"/>
        </w:trPr>
        <w:tc>
          <w:tcPr>
            <w:tcW w:w="11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May 31, 2026 -</w:t>
            </w:r>
          </w:p>
        </w:tc>
        <w:tc>
          <w:tcPr>
            <w:tcW w:w="120" w:type="dxa"/>
            <w:vAlign w:val="bottom"/>
            <w:shd w:val="clear" w:color="auto" w:fill="CCEEFF"/>
          </w:tcPr>
          <w:p>
            <w:pPr>
              <w:spacing w:after="0"/>
              <w:rPr>
                <w:sz w:val="13"/>
                <w:szCs w:val="13"/>
                <w:color w:val="auto"/>
              </w:rPr>
            </w:pPr>
          </w:p>
        </w:tc>
        <w:tc>
          <w:tcPr>
            <w:tcW w:w="1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157,513,691</w:t>
            </w: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27, 2026</w:t>
            </w:r>
          </w:p>
        </w:tc>
        <w:tc>
          <w:tcPr>
            <w:tcW w:w="16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1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June 28, 2026 -</w:t>
            </w:r>
          </w:p>
        </w:tc>
        <w:tc>
          <w:tcPr>
            <w:tcW w:w="1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230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color w:val="auto"/>
              </w:rPr>
              <w:t>157,513,691</w:t>
            </w:r>
          </w:p>
        </w:tc>
        <w:tc>
          <w:tcPr>
            <w:tcW w:w="0" w:type="dxa"/>
            <w:vAlign w:val="bottom"/>
          </w:tcPr>
          <w:p>
            <w:pPr>
              <w:spacing w:after="0"/>
              <w:rPr>
                <w:sz w:val="1"/>
                <w:szCs w:val="1"/>
                <w:color w:val="auto"/>
              </w:rPr>
            </w:pPr>
          </w:p>
        </w:tc>
      </w:tr>
      <w:tr>
        <w:trPr>
          <w:trHeight w:val="21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July 25, 2026</w:t>
            </w:r>
          </w:p>
        </w:tc>
        <w:tc>
          <w:tcPr>
            <w:tcW w:w="1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2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July 26, 2026 -</w:t>
            </w:r>
          </w:p>
        </w:tc>
        <w:tc>
          <w:tcPr>
            <w:tcW w:w="15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10,467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shd w:val="clear" w:color="auto" w:fill="CCEEFF"/>
          </w:tcPr>
          <w:p>
            <w:pPr>
              <w:spacing w:after="0"/>
              <w:rPr>
                <w:sz w:val="14"/>
                <w:szCs w:val="14"/>
                <w:color w:val="auto"/>
              </w:rPr>
            </w:pPr>
          </w:p>
        </w:tc>
        <w:tc>
          <w:tcPr>
            <w:tcW w:w="2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157,409,435</w:t>
            </w: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29, 2026</w:t>
            </w:r>
          </w:p>
        </w:tc>
        <w:tc>
          <w:tcPr>
            <w:tcW w:w="15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10,467</w:t>
            </w:r>
          </w:p>
        </w:tc>
        <w:tc>
          <w:tcPr>
            <w:tcW w:w="1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21"/>
                <w:szCs w:val="21"/>
                <w:color w:val="auto"/>
              </w:rPr>
            </w:pPr>
          </w:p>
        </w:tc>
        <w:tc>
          <w:tcPr>
            <w:tcW w:w="42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10,467</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157,409,435</w:t>
            </w:r>
          </w:p>
        </w:tc>
        <w:tc>
          <w:tcPr>
            <w:tcW w:w="0" w:type="dxa"/>
            <w:vAlign w:val="bottom"/>
          </w:tcPr>
          <w:p>
            <w:pPr>
              <w:spacing w:after="0"/>
              <w:rPr>
                <w:sz w:val="1"/>
                <w:szCs w:val="1"/>
                <w:color w:val="auto"/>
              </w:rPr>
            </w:pPr>
          </w:p>
        </w:tc>
      </w:tr>
    </w:tbl>
    <w:p>
      <w:pPr>
        <w:spacing w:after="0" w:line="6" w:lineRule="exact"/>
        <w:rPr>
          <w:sz w:val="20"/>
          <w:szCs w:val="20"/>
          <w:color w:val="auto"/>
        </w:rPr>
      </w:pPr>
    </w:p>
    <w:p>
      <w:pPr>
        <w:jc w:val="both"/>
        <w:ind w:left="1220" w:right="1220" w:firstLine="1"/>
        <w:spacing w:after="0" w:line="266" w:lineRule="auto"/>
        <w:tabs>
          <w:tab w:leader="none" w:pos="1369"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shares repurchased under our stock repurchase program adopted in November 2018. On January 6, 2026, the Company announced that its Board of Directors approved a $200.0 million increase in its repurchase authorization under its stock repurchase program (the “Current Authorization”). As of August 29, 2026, approximately $157.4 million remained available under the Current Authorization. Under the stock repurchase program, we may repurchase shares from time to time in the open market or in privately negotiated transactions. The stock repurchase program does not obligate us to acquire any specific number of shares over any specific period of time. We may suspend or discontinue the stock repurchase program at any time, and the stock repurchase program does not have an expiration date.</w:t>
      </w:r>
    </w:p>
    <w:p>
      <w:pPr>
        <w:spacing w:after="0" w:line="30" w:lineRule="exact"/>
        <w:rPr>
          <w:rFonts w:ascii="Times New Roman" w:cs="Times New Roman" w:eastAsia="Times New Roman" w:hAnsi="Times New Roman"/>
          <w:sz w:val="19"/>
          <w:szCs w:val="19"/>
          <w:color w:val="auto"/>
          <w:vertAlign w:val="superscript"/>
        </w:rPr>
      </w:pPr>
    </w:p>
    <w:p>
      <w:pPr>
        <w:ind w:left="1220" w:right="1220" w:firstLine="1"/>
        <w:spacing w:after="0" w:line="210" w:lineRule="auto"/>
        <w:tabs>
          <w:tab w:leader="none" w:pos="1395"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Average price paid per share includes commissions, but excludes our liability under the 1% excise tax on the net amount of share repurchases required by the Inflation Reduction Act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stock performance graph compares the cumulative total stockholder return over the last five fiscal years for (i) the Company’s common stock, (ii) the Standard &amp; Poor’s 500 Index, and (iii) the Standard &amp; Poor’s 500 Packaged Foods &amp; Meats Index. The graph assumes the value of the investment in our common stock and each index was $100.00 on August 28, 2021, with the value of each index inclusive of the reinvestment of any dividends.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 price performance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6377940" cy="3566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7794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880" w:type="dxa"/>
        <w:tblCellMar>
          <w:top w:w="0" w:type="dxa"/>
          <w:left w:w="0" w:type="dxa"/>
          <w:bottom w:w="0" w:type="dxa"/>
          <w:right w:w="0" w:type="dxa"/>
        </w:tblCellMar>
      </w:tblPr>
      <w:tr>
        <w:trPr>
          <w:trHeight w:val="188"/>
        </w:trPr>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Annual Return Percentage</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Fiscal Years Ending</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Company Name / Index</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August 28, 2021</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August 27, 2022</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August 26, 2023</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August 31, 2024</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August 30, 2025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August 29, 2026</w:t>
            </w:r>
          </w:p>
        </w:tc>
        <w:tc>
          <w:tcPr>
            <w:tcW w:w="0" w:type="dxa"/>
            <w:vAlign w:val="bottom"/>
          </w:tcPr>
          <w:p>
            <w:pPr>
              <w:spacing w:after="0"/>
              <w:rPr>
                <w:sz w:val="1"/>
                <w:szCs w:val="1"/>
                <w:color w:val="auto"/>
              </w:rPr>
            </w:pPr>
          </w:p>
        </w:tc>
      </w:tr>
      <w:tr>
        <w:trPr>
          <w:trHeight w:val="81"/>
        </w:trPr>
        <w:tc>
          <w:tcPr>
            <w:tcW w:w="252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2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Simply Good Foods Company</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89.14</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97.48</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89.36</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80.99</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30.92</w:t>
            </w:r>
          </w:p>
        </w:tc>
        <w:tc>
          <w:tcPr>
            <w:tcW w:w="0" w:type="dxa"/>
            <w:vAlign w:val="bottom"/>
          </w:tcPr>
          <w:p>
            <w:pPr>
              <w:spacing w:after="0"/>
              <w:rPr>
                <w:sz w:val="1"/>
                <w:szCs w:val="1"/>
                <w:color w:val="auto"/>
              </w:rPr>
            </w:pPr>
          </w:p>
        </w:tc>
      </w:tr>
      <w:tr>
        <w:trPr>
          <w:trHeight w:val="246"/>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S&amp;P 500 Index</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140" w:type="dxa"/>
            <w:vAlign w:val="bottom"/>
          </w:tcPr>
          <w:p>
            <w:pPr>
              <w:spacing w:after="0"/>
              <w:rPr>
                <w:sz w:val="21"/>
                <w:szCs w:val="21"/>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89.98</w:t>
            </w:r>
          </w:p>
        </w:tc>
        <w:tc>
          <w:tcPr>
            <w:tcW w:w="140" w:type="dxa"/>
            <w:vAlign w:val="bottom"/>
          </w:tcPr>
          <w:p>
            <w:pPr>
              <w:spacing w:after="0"/>
              <w:rPr>
                <w:sz w:val="21"/>
                <w:szCs w:val="21"/>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97.70</w:t>
            </w:r>
          </w:p>
        </w:tc>
        <w:tc>
          <w:tcPr>
            <w:tcW w:w="120" w:type="dxa"/>
            <w:vAlign w:val="bottom"/>
          </w:tcPr>
          <w:p>
            <w:pPr>
              <w:spacing w:after="0"/>
              <w:rPr>
                <w:sz w:val="21"/>
                <w:szCs w:val="21"/>
                <w:color w:val="auto"/>
              </w:rPr>
            </w:pPr>
          </w:p>
        </w:tc>
        <w:tc>
          <w:tcPr>
            <w:tcW w:w="5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125.26</w:t>
            </w:r>
          </w:p>
        </w:tc>
        <w:tc>
          <w:tcPr>
            <w:tcW w:w="140" w:type="dxa"/>
            <w:vAlign w:val="bottom"/>
          </w:tcPr>
          <w:p>
            <w:pPr>
              <w:spacing w:after="0"/>
              <w:rPr>
                <w:sz w:val="21"/>
                <w:szCs w:val="21"/>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143.26</w:t>
            </w:r>
          </w:p>
        </w:tc>
        <w:tc>
          <w:tcPr>
            <w:tcW w:w="140" w:type="dxa"/>
            <w:vAlign w:val="bottom"/>
          </w:tcPr>
          <w:p>
            <w:pPr>
              <w:spacing w:after="0"/>
              <w:rPr>
                <w:sz w:val="21"/>
                <w:szCs w:val="21"/>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171.02</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520" w:type="dxa"/>
            <w:vAlign w:val="bottom"/>
            <w:gridSpan w:val="3"/>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S&amp;P 500 Packaged Foods &amp; Meats</w:t>
            </w:r>
          </w:p>
        </w:tc>
        <w:tc>
          <w:tcPr>
            <w:tcW w:w="3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14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111.29</w:t>
            </w: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106.42</w:t>
            </w: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106.84</w:t>
            </w:r>
          </w:p>
        </w:tc>
        <w:tc>
          <w:tcPr>
            <w:tcW w:w="14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89.07</w:t>
            </w:r>
          </w:p>
        </w:tc>
        <w:tc>
          <w:tcPr>
            <w:tcW w:w="14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84.46</w:t>
            </w:r>
          </w:p>
        </w:tc>
        <w:tc>
          <w:tcPr>
            <w:tcW w:w="0" w:type="dxa"/>
            <w:vAlign w:val="bottom"/>
          </w:tcPr>
          <w:p>
            <w:pPr>
              <w:spacing w:after="0"/>
              <w:rPr>
                <w:sz w:val="1"/>
                <w:szCs w:val="1"/>
                <w:color w:val="auto"/>
              </w:rPr>
            </w:pPr>
          </w:p>
        </w:tc>
      </w:tr>
      <w:tr>
        <w:trPr>
          <w:trHeight w:val="198"/>
        </w:trPr>
        <w:tc>
          <w:tcPr>
            <w:tcW w:w="2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w:t>
            </w:r>
          </w:p>
        </w:tc>
        <w:tc>
          <w:tcPr>
            <w:tcW w:w="3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in Item 8 of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below and those described in “Cautionary Note Regarding Forward-Looking Statements,” and in Item 1A “Risk Factors” of this Report. The Company assumes no obligation to update any of these forward-looking statements.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Our fiscal year ends the last Saturday in August. Our fiscal year 2026 ended August 29, 2026, was a fifty-two week period. Our fiscal years 2025 and 2024 ended August 30, 2025, and August 31, 2024, were a fifty-two week period and a fifty-three week period, respectively. Our fiscal quarters are comprised of thirteen weeks each, except for fifty-three week fiscal periods for which the fourth quarter is comprised of fourteen weeks, and end on the thirteenth Saturday of each quarter (fourteenth Saturday of the fourth quarter, when applicable). Our fiscal quarters for fiscal 2026 ended on November 29, 2025, February 28, 2026, May 30, 2026, and August 29, 2026.</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Unless the context requires otherwise in this Report, the terms “we,” “us,” “our,” the “Company” and “Simply Good Foods” refer to The Simply Good Foods Company and its subsidiaries. In context, “Quest” may also refer to the Quest brand, “Atkins” may also refer to the Atkins brand, and “OWYN” may also refer to the OWYN brand. Atkins, Atkins Endulge, Quest, OWYN, and the Simply Good logo are either registered trademarks or trademarks of the Company’s wholly owned subsidiary Simply Good Foods USA, Inc. or one of its affiliates in the United States and elsewhere. All rights are reserved.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and other product offerings that seek to address consumers’ increasing demand for protein-rich food, that is low in simple carbohydrates. The product portfolio we develop, market and sell consists primarily of protein bars, ready-to-drink (“RTD”) protein shakes, sweet and salty protein snacks and confectionery products marketed under the Quest, Atkins, and OWYN brand names. Simply Good Foods is poised to expand its wellness platform through innovation and organic growth along with acquisition and licensing opportunities.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Atkins for those following a low-carbohydrate lifestyle or seeking to manage weight or blood sugar levels, and OWYN for consumers seeking protein-rich beverages that are plant-based and tested for the top nine allergens. We distribute our products in major retail channels, primarily in North America, including grocery, club, and mass merchandise, and through e-commerce, convenience, specialty, and other channels. Our portfolio of nutritious snacking brands gives us a strong platform with which to introduce new products, expand distribution, and attract new consumers to our products.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Simply Good Foods Company (“Simply Good Foods”) was formed in March 2017, to acquire NCP-ATK Holdings, Inc. (“Atkins”), which was completed in July 2017. As part of Simply Good Foods’ strategy to become an industry leading snacking platform, in November 2019, we acquired Quest Nutrition, LLC (“Quest”), and we acquired Only What You Need, Inc. in June 2024. We refer to the acquisition of Quest Nutrition, LLC as the “Quest Acquisition” and the acquisition of Only What You Need, Inc. as the “OWYN Acquisition”.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fifty-two weeks ended August 29, 2026, our results of operations were primarily driven by declines for Atkins and OWYN, which were partially offset by Quest growth. For Atkins and OWYN, our results of operations were affected negatively by reduced household penetration leading to reduced velocities and continued distribution-related losses. In recent periods, retail distribution for the Atkins brand has been under pressure due to declining velocities. The Atkins brand has had, and continues to have, a large retail presence on-shelf, which was reduced in the current fiscal year and could be reduced in future periods. In response, we have been taking action to bolster the highest performing Atkins products and simultaneously working with retailers to replace lower performing Atkins products with higher performing products. In fiscal year 2026, OWYN’s reduced household penetration contributed to softer velocities, including on newly expanded distribution, which has resulted in distribution-related declines in the current fiscal year, and which could continue in future periods.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fiscal 2027, we will be launching new advertising campaigns across all three brands to potentially increase consumer demand and drive velocities. If we fail to implement our growth strategies or they ultimately prove to be unsuccessful, our sales and profitability may be negatively affected, which could materially and adversely affect our business, financial condition and results of operations.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gross margin was affected by the unfavorable effects of higher input costs and restructuring costs compared to the prior year, with productivity a modest offset. Margins are expected to remain under pressure and are dependent on the Company’s ability to</w:t>
      </w:r>
    </w:p>
    <w:p>
      <w:pPr>
        <w:sectPr>
          <w:pgSz w:w="11900" w:h="16838" w:orient="portrait"/>
          <w:cols w:equalWidth="0" w:num="1">
            <w:col w:w="11240"/>
          </w:cols>
          <w:pgMar w:left="320" w:top="684"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8"/>
          <w:szCs w:val="18"/>
          <w:color w:val="auto"/>
        </w:rPr>
        <w:t>realize incremental benefits from productivity and cost savings initiatives, our recently announced and implemented pricing actions and other mitigating actions. Economic pressures on customers and consumers, including the challenges of high inflation and consumer sensitivity to price increases, are expected to have corresponding elasticity impacts which may have adverse effects on net sales and profitability. We continue to monitor and evaluate macroeconomic trends including consumer purchasing behavior and sentiment, economic uncertainty, key ingredient inflation, supply chain challenges, and the effects of tariffs.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Ongoing geopolitical tensions could lead to significant disruption of global energy supplies and increases in global energy prices, adversely affect global supply chains, heighten inflationary pressures on our input costs and supply chain, and adversely affect consumer spending patterns. At this time, these factors have not resulted in a material negative effect on our business, financial condition and results of operations. However, we continue to evaluate the evolving macroeconomic environment as ongoing geopolitical tensions could adversely affect the Company for the aforementioned reasons.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Please also see the information under Item 1A. “Risk Factors” for additional information regarding the risks of inflation, higher raw material, packaging, co-manufacturing, and logistics costs, and supply chain challenges.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sustained decline in the Company’s stock price and declines in the Company’s market capitalization assessed during the third quarter of fiscal year 2026, the Company identified a triggering event indicating that it was more likely than not that the fair value of the goodwill reporting unit was less than its carrying amount. The Company conducted a quantitative interim goodwill assessment as of the last day of its third quarter, utilizing a weighted combination of the discounted cash flow method under the income approach and the guideline public company method under the market approach to estimate the fair value of the equity of the Company. Based on testing, the carrying value was greater than its fair value, resulting in an impairment of $38.0 million related to goodwill for the fifty-two weeks ended August 29, 2026.</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declines of net sales and future revenue projections assessed during the second quarter of fiscal year 2026, the Company identified a triggering event indicating that it was more likely than not that the fair value of both the OWYN and Atkins brands and trademarks indefinite-lived intangible assets were less than their respective carrying amounts. The Company conducted a quantitative assessment as of the last day of its second quarter, utilizing the relief from royalty methodology under the income approach to estimate the fair value of the intangible assets. Based on testing, the respective assets’ carrying values exceeded their fair values, resulting in a loss on impairment for OWYN and for Atkins.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sustained decline in the Company’s stock price and declines in the Company’s market capitalization assessed during the third quarter of fiscal year 2026, the Company identified a triggering event indicating that it was more likely than not that the fair value of both the OWYN and Atkins brands and trademarks indefinite-lived intangible assets were less than their respective carrying amounts. The Company conducted a quantitative assessment as of the last day of its third quarter, utilizing the relief from royalty methodology under the income approach to estimate the fair value of the intangible assets. Based on testing, the respective assets’ carrying values exceeded their fair values, resulting in a loss on impairment for OWYN and for Atkins. In addition, the Company included the Quest brand and trademark indefinite-lived intangible asset within the quantitative assessment, utilizing the relief from royalty methodology under the income approach to estimate the fair value of the intangible asset. Based on testing, Quest’s fair value exceeded its carrying value, resulting in no impairment.</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fifty-two weeks ended August 29, 2026, the Company recorded a loss on impairment of $200.0 million and $93.0 million for the OWYN and Atkins brand indefinite-lived intangible assets, respectively. During the fifty-two weeks ended August 30, 2025, the Company recorded a loss on impairment of $60.9 million for the Atkins brand indefinite-lived intangible asset and the licensing agreements finite-lived intangible asset.</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qualitative impairment assessment of goodwill and its indefinite-lived and finite-lived intangible assets as of the first day of the fourth quarter of fiscal year 2026, which did not identify any incremental indicators of impairment from its previously performed quantitative assessment as of the last day of its third quarter. It was determined that it was more likely than not that goodwill and each indefinite-lived intangible asset had fair values in excess of or equal to their carrying values and its finite-lived intangible assets did not indicate that their carrying amounts may not be recoverable.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the estimates and assumptions utilized in our impairment assessments are reasonable and are comparable to those that would be used by other marketplace participants. However, actual events and results could differ substantially from those utilized in our valuations. Significant declines of future revenue projections or changes of other assumptions used in estimating fair values versus those utilized at the time of the initial valuations could result in further impairment charges that could materially affect the consolidated financial statements. Refer to Note 5, Goodwill and Intangibles, for additional information regarding the Company’s reporting units and impairment assessments.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Restructuring and Other</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the fifty-two weeks ended August 29, 2026, the Company incurred $19.5 million of costs for restructuring activities, of which $5.7 million have been included within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$1.1 million have been included within </w:t>
      </w: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xml:space="preserve">, and $12.7 million have been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which includes $2.6 million of impairment charges related to various assets utilized at our contract manufacturing facilities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their carrying values were greater than their fair values, in the Consolidated Statements of Income and Comprehensive Income (Loss). Refer to Note 16, Restructuring and Other, for additional information regarding restructuring and other activities.</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During the second quarter of fiscal year 2026, the Company announced certain restructuring activities in conjunction with the implementation of the Company’s modified organization design and actions to streamline its operations, which will create a more efficient organization that will continue to support and build its business. These restructuring plans primarily included workforce reductions, changes in management structure, actions to streamline its operations and other cost savings initiatives. As of August 29, 2026, the Company expects to incur approximately $25.0 million, including the $19.5 million referenced above, in restructuring and other costs, which were paid throughout fiscal 2026 and will continue to be paid throughout fiscal 2027.</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restructuring activities, the Company recorded incremental stock-based compensation expense of $1.0 million in the second quarter of fiscal year 2026 related to the separation of the Company’s prior President and Chief Executive Officer in January 2026. Refer to Note 14, Incentive Plan,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Reportable Segment</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August 29, 2026, the Company determined its operations are organized into </w:t>
      </w:r>
      <w:r>
        <w:rPr>
          <w:rFonts w:ascii="Times New Roman" w:cs="Times New Roman" w:eastAsia="Times New Roman" w:hAnsi="Times New Roman"/>
          <w:sz w:val="16"/>
          <w:szCs w:val="16"/>
          <w:color w:val="auto"/>
        </w:rPr>
        <w:t>one</w:t>
      </w:r>
      <w:r>
        <w:rPr>
          <w:rFonts w:ascii="Times New Roman" w:cs="Times New Roman" w:eastAsia="Times New Roman" w:hAnsi="Times New Roman"/>
          <w:sz w:val="18"/>
          <w:szCs w:val="18"/>
          <w:color w:val="auto"/>
        </w:rPr>
        <w:t xml:space="preserve"> consolidated operating segment and reportable segment, represented by the Company’s consolidated financial statements. Previously, as of August 30, 2025, the Company’s operations were organized into </w:t>
      </w:r>
      <w:r>
        <w:rPr>
          <w:rFonts w:ascii="Times New Roman" w:cs="Times New Roman" w:eastAsia="Times New Roman" w:hAnsi="Times New Roman"/>
          <w:sz w:val="16"/>
          <w:szCs w:val="16"/>
          <w:color w:val="auto"/>
        </w:rPr>
        <w:t>two</w:t>
      </w:r>
      <w:r>
        <w:rPr>
          <w:rFonts w:ascii="Times New Roman" w:cs="Times New Roman" w:eastAsia="Times New Roman" w:hAnsi="Times New Roman"/>
          <w:sz w:val="18"/>
          <w:szCs w:val="18"/>
          <w:color w:val="auto"/>
        </w:rPr>
        <w:t xml:space="preserve"> operating segments, Quest and Atkins, and OWYN, which were aggregated into </w:t>
      </w:r>
      <w:r>
        <w:rPr>
          <w:rFonts w:ascii="Times New Roman" w:cs="Times New Roman" w:eastAsia="Times New Roman" w:hAnsi="Times New Roman"/>
          <w:sz w:val="16"/>
          <w:szCs w:val="16"/>
          <w:color w:val="auto"/>
        </w:rPr>
        <w:t>one</w:t>
      </w:r>
      <w:r>
        <w:rPr>
          <w:rFonts w:ascii="Times New Roman" w:cs="Times New Roman" w:eastAsia="Times New Roman" w:hAnsi="Times New Roman"/>
          <w:sz w:val="18"/>
          <w:szCs w:val="18"/>
          <w:color w:val="auto"/>
        </w:rPr>
        <w:t xml:space="preserve"> reportable segment due to similar financial, economic and operating characteristics.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5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consist primarily of product sales less the cost of promotional activities, slotting fees and other sales credits and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product returns.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consists primarily of the costs we pay to our contract manufacturing partners to produce the products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costs include the purchase of raw ingredients, packaging, shipping and handling, warehousing, depreciation of warehouse equipment, and a tolling charge payable to the contract manufacturer. Cost of goods sold includes products provided at no charge as part of promotions and the non-food materials provided with customer orders.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consist primarily of selling and marketing, general and administrative, depreciation and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transaction costs, and loss on impairment. The following is a brief description of the components of operating expenses:</w:t>
      </w:r>
    </w:p>
    <w:p>
      <w:pPr>
        <w:spacing w:after="0" w:line="4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comprise broker commissions, consumer marketing, media and other marketing costs.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are comprised of expenses associated with corporate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functions that support our business, including employee compensation, stock-based compensation, professional services, integration expense, restructuring costs, insurance and other general corporate expenses.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consist of expenses associated with the depreciation of fixed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leasehold improvements and amortization of intangible assets.</w:t>
      </w:r>
    </w:p>
    <w:p>
      <w:pPr>
        <w:spacing w:after="0" w:line="50" w:lineRule="exact"/>
        <w:rPr>
          <w:rFonts w:ascii="Times New Roman" w:cs="Times New Roman" w:eastAsia="Times New Roman" w:hAnsi="Times New Roman"/>
          <w:sz w:val="18"/>
          <w:szCs w:val="18"/>
          <w:i w:val="1"/>
          <w:iCs w:val="1"/>
          <w:color w:val="auto"/>
        </w:rPr>
      </w:pPr>
    </w:p>
    <w:p>
      <w:pPr>
        <w:ind w:left="660" w:right="20" w:hanging="328"/>
        <w:spacing w:after="0" w:line="284"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are comprised of transaction advisory fees, non-deferrable debt issuance costs, legal,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diligence, consulting, and accounting expenses associated with the OWYN Acquisition.</w:t>
      </w:r>
    </w:p>
    <w:p>
      <w:pPr>
        <w:spacing w:after="0" w:line="50"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Loss on impairment. </w:t>
      </w:r>
      <w:r>
        <w:rPr>
          <w:rFonts w:ascii="Times New Roman" w:cs="Times New Roman" w:eastAsia="Times New Roman" w:hAnsi="Times New Roman"/>
          <w:sz w:val="18"/>
          <w:szCs w:val="18"/>
          <w:color w:val="auto"/>
        </w:rPr>
        <w:t>Loss on impairment is comprised of impairment charges related to our brand and trademarks indefinite-lived intangible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our licensing agreements finite-lived intangible asset.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fifty-two weeks ended August 29, 2026, our net sales decreased 6.5% to $1,356.5 million compared to $1,450.9 million for the fifty-two weeks ended August 30, 2025, driven by continued velocity-related declines driving distribution-related declines for Atkins and OWYN, which were partially offset by Quest volume-driven growth.</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9" w:name="page40"/>
    <w:bookmarkEnd w:id="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decreased and gross profit margin decreased 360 basis points, primarily as a result of higher input costs and current period restructuring costs compared to the prior period. We expect to continue building on our existing capabilities and strengthening the position of our brands in the marketplace, and will continue to invest in our business and improve our operating efficiencies.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this presentation of EBITDA and Adjusted EBITDA may not be comparable to other similarly titled measures of other companies. See “Reconciliation of EBITDA and Adjusted EBITDA” below for a reconciliation of EBITDA and Adjusted EBITDA to net income for each applicable period.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discussion regarding our financial condition and results of operations for the fifty-two weeks ended August 29, 2026, compared to the fifty-two weeks ended August 30, 2025, is presented below. A discussion regarding our financial condition and results of operations for the fifty-two weeks ended August 30, 2025, compared to the fifty-three weeks ended August 31, 2024, can be found under Item 7 of our Annual Report on Form 10-K for the fiscal year ended August 30, 2025, filed with the SEC on October 28,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Fifty-Two Weeks Ended August 29, 2026, and the Fifty-two weeks ended August 30, 2025</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selected information from our consolidated financial results, including information presented as a percentage of net sales:</w:t>
      </w:r>
    </w:p>
    <w:p>
      <w:pPr>
        <w:spacing w:after="0" w:line="139" w:lineRule="exact"/>
        <w:rPr>
          <w:sz w:val="20"/>
          <w:szCs w:val="20"/>
          <w:color w:val="auto"/>
        </w:rPr>
      </w:pPr>
    </w:p>
    <w:tbl>
      <w:tblPr>
        <w:tblLayout w:type="fixed"/>
        <w:tblInd w:w="62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 of Net</w:t>
            </w:r>
          </w:p>
        </w:tc>
        <w:tc>
          <w:tcPr>
            <w:tcW w:w="16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 of Net</w:t>
            </w:r>
          </w:p>
        </w:tc>
        <w:tc>
          <w:tcPr>
            <w:tcW w:w="0" w:type="dxa"/>
            <w:vAlign w:val="bottom"/>
          </w:tcPr>
          <w:p>
            <w:pPr>
              <w:spacing w:after="0"/>
              <w:rPr>
                <w:sz w:val="1"/>
                <w:szCs w:val="1"/>
                <w:color w:val="auto"/>
              </w:rPr>
            </w:pPr>
          </w:p>
        </w:tc>
      </w:tr>
      <w:tr>
        <w:trPr>
          <w:trHeight w:val="210"/>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August 29, 2026</w:t>
            </w:r>
          </w:p>
        </w:tc>
        <w:tc>
          <w:tcPr>
            <w:tcW w:w="120" w:type="dxa"/>
            <w:vAlign w:val="bottom"/>
            <w:vMerge w:val="restart"/>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Sales</w:t>
            </w:r>
          </w:p>
        </w:tc>
        <w:tc>
          <w:tcPr>
            <w:tcW w:w="160" w:type="dxa"/>
            <w:vAlign w:val="bottom"/>
          </w:tcPr>
          <w:p>
            <w:pPr>
              <w:spacing w:after="0"/>
              <w:rPr>
                <w:sz w:val="18"/>
                <w:szCs w:val="18"/>
                <w:color w:val="auto"/>
              </w:rPr>
            </w:pPr>
          </w:p>
        </w:tc>
        <w:tc>
          <w:tcPr>
            <w:tcW w:w="13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August 30, 2025</w:t>
            </w:r>
          </w:p>
        </w:tc>
        <w:tc>
          <w:tcPr>
            <w:tcW w:w="140" w:type="dxa"/>
            <w:vAlign w:val="bottom"/>
            <w:vMerge w:val="restart"/>
          </w:tcPr>
          <w:p>
            <w:pPr>
              <w:spacing w:after="0"/>
              <w:rPr>
                <w:sz w:val="18"/>
                <w:szCs w:val="18"/>
                <w:color w:val="auto"/>
              </w:rPr>
            </w:pP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Sales</w:t>
            </w:r>
          </w:p>
        </w:tc>
        <w:tc>
          <w:tcPr>
            <w:tcW w:w="0" w:type="dxa"/>
            <w:vAlign w:val="bottom"/>
          </w:tcPr>
          <w:p>
            <w:pPr>
              <w:spacing w:after="0"/>
              <w:rPr>
                <w:sz w:val="1"/>
                <w:szCs w:val="1"/>
                <w:color w:val="auto"/>
              </w:rPr>
            </w:pPr>
          </w:p>
        </w:tc>
      </w:tr>
      <w:tr>
        <w:trPr>
          <w:trHeight w:val="84"/>
        </w:trPr>
        <w:tc>
          <w:tcPr>
            <w:tcW w:w="478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vMerge w:val="continue"/>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1,356,499</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1,450,920</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54"/>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914,136</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925,173</w:t>
            </w: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63.8 %</w:t>
            </w:r>
          </w:p>
        </w:tc>
        <w:tc>
          <w:tcPr>
            <w:tcW w:w="0" w:type="dxa"/>
            <w:vAlign w:val="bottom"/>
          </w:tcPr>
          <w:p>
            <w:pPr>
              <w:spacing w:after="0"/>
              <w:rPr>
                <w:sz w:val="1"/>
                <w:szCs w:val="1"/>
                <w:color w:val="auto"/>
              </w:rPr>
            </w:pPr>
          </w:p>
        </w:tc>
      </w:tr>
      <w:tr>
        <w:trPr>
          <w:trHeight w:val="239"/>
        </w:trPr>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442,363</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525,747</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36.2 %</w:t>
            </w:r>
          </w:p>
        </w:tc>
        <w:tc>
          <w:tcPr>
            <w:tcW w:w="0" w:type="dxa"/>
            <w:vAlign w:val="bottom"/>
          </w:tcPr>
          <w:p>
            <w:pPr>
              <w:spacing w:after="0"/>
              <w:rPr>
                <w:sz w:val="1"/>
                <w:szCs w:val="1"/>
                <w:color w:val="auto"/>
              </w:rPr>
            </w:pPr>
          </w:p>
        </w:tc>
      </w:tr>
      <w:tr>
        <w:trPr>
          <w:trHeight w:val="256"/>
        </w:trPr>
        <w:tc>
          <w:tcPr>
            <w:tcW w:w="4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129,446</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134,282</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0" w:type="dxa"/>
            <w:vAlign w:val="bottom"/>
          </w:tcPr>
          <w:p>
            <w:pPr>
              <w:spacing w:after="0"/>
              <w:rPr>
                <w:sz w:val="1"/>
                <w:szCs w:val="1"/>
                <w:color w:val="auto"/>
              </w:rPr>
            </w:pPr>
          </w:p>
        </w:tc>
      </w:tr>
      <w:tr>
        <w:trPr>
          <w:trHeight w:val="260"/>
        </w:trPr>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143,901</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155,930</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54"/>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17,731</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16,900</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59"/>
        </w:trPr>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53"/>
        </w:trPr>
        <w:tc>
          <w:tcPr>
            <w:tcW w:w="4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Loss on impairment</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331,000</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60,928</w:t>
            </w: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40"/>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622,078</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368,860</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0" w:type="dxa"/>
            <w:vAlign w:val="bottom"/>
          </w:tcPr>
          <w:p>
            <w:pPr>
              <w:spacing w:after="0"/>
              <w:rPr>
                <w:sz w:val="1"/>
                <w:szCs w:val="1"/>
                <w:color w:val="auto"/>
              </w:rPr>
            </w:pPr>
          </w:p>
        </w:tc>
      </w:tr>
      <w:tr>
        <w:trPr>
          <w:trHeight w:val="256"/>
        </w:trPr>
        <w:tc>
          <w:tcPr>
            <w:tcW w:w="4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(179,715)</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156,887</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0" w:type="dxa"/>
            <w:vAlign w:val="bottom"/>
          </w:tcPr>
          <w:p>
            <w:pPr>
              <w:spacing w:after="0"/>
              <w:rPr>
                <w:sz w:val="1"/>
                <w:szCs w:val="1"/>
                <w:color w:val="auto"/>
              </w:rPr>
            </w:pPr>
          </w:p>
        </w:tc>
      </w:tr>
      <w:tr>
        <w:trPr>
          <w:trHeight w:val="256"/>
        </w:trPr>
        <w:tc>
          <w:tcPr>
            <w:tcW w:w="4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60"/>
        </w:trPr>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(21,447)</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(23,249)</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53"/>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(Loss) gain on foreign currency transactions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56"/>
        </w:trPr>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7"/>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(18,408)</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(20,984)</w:t>
            </w:r>
          </w:p>
        </w:tc>
        <w:tc>
          <w:tcPr>
            <w:tcW w:w="14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60"/>
        </w:trPr>
        <w:tc>
          <w:tcPr>
            <w:tcW w:w="4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(198,123)</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135,903</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256"/>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(42,220)</w:t>
            </w:r>
          </w:p>
        </w:tc>
        <w:tc>
          <w:tcPr>
            <w:tcW w:w="12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32,289</w:t>
            </w:r>
          </w:p>
        </w:tc>
        <w:tc>
          <w:tcPr>
            <w:tcW w:w="14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3"/>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(155,903)</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103,614</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920" w:type="dxa"/>
            <w:vAlign w:val="bottom"/>
            <w:tcBorders>
              <w:bottom w:val="single" w:sz="8" w:color="CCEEFF"/>
            </w:tcBorders>
            <w:gridSpan w:val="2"/>
            <w:shd w:val="clear" w:color="auto" w:fill="CCEEFF"/>
          </w:tcPr>
          <w:p>
            <w:pPr>
              <w:ind w:left="180"/>
              <w:spacing w:after="0" w:line="233"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225,869</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278,162</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640" w:right="1140" w:firstLine="7"/>
        <w:spacing w:after="0" w:line="225" w:lineRule="auto"/>
        <w:tabs>
          <w:tab w:leader="none" w:pos="916"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Adjusted EBITDA is a non-GAAP financial metric. See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-252730</wp:posOffset>
            </wp:positionV>
            <wp:extent cx="32232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1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were $1,356.5 million for the fifty-two weeks ended August 29, 2026, compared to $1,450.9 million for the fifty-two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August 30, 2025, representing a decrease of $94.4 million, or 6.5%, driven by continued velocity-related declines driving distribution-related declines for Atkins and OWYN, which were partially offset by Quest volume-driven growth.</w:t>
      </w:r>
    </w:p>
    <w:p>
      <w:pPr>
        <w:sectPr>
          <w:pgSz w:w="11900" w:h="16838" w:orient="portrait"/>
          <w:cols w:equalWidth="0" w:num="1">
            <w:col w:w="11240"/>
          </w:cols>
          <w:pgMar w:left="320" w:top="688" w:right="339" w:bottom="144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0" w:name="page41"/>
    <w:bookmarkEnd w:id="40"/>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goods sold. </w:t>
      </w:r>
      <w:r>
        <w:rPr>
          <w:rFonts w:ascii="Times New Roman" w:cs="Times New Roman" w:eastAsia="Times New Roman" w:hAnsi="Times New Roman"/>
          <w:sz w:val="18"/>
          <w:szCs w:val="18"/>
          <w:color w:val="auto"/>
        </w:rPr>
        <w:t>Cost of goods sold decreased $11.0 million, or 1.2%, for the fifty-two weeks ended August 29, 2026, compared to the fifty-two weeks ended August 30, 2025. The cost of goods sold decrease was primarily driven by the decrease of net sales compared to the prior year period and partially offset by higher input costs and restructuring costs compared to the prior year period.</w:t>
      </w:r>
    </w:p>
    <w:p>
      <w:pPr>
        <w:spacing w:after="0" w:line="19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$83.4 million, or 15.9%, to $442.4 million for the fifty-two weeks ended August 29, 2026,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fifty-two weeks ended August 30, 2025. Gross profit margin was 32.6% of net sales for the fifty-two weeks ended August 29, 2026, a decrease of 360 basis points from 36.2% of net sales for the fifty-two weeks ended August 30, 2025. The decrease in gross profit margin was primarily driven by higher input costs and restructuring costs compared to the prior year period.</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Operating expenses increased $253.2 million, or 68.6%, for the fifty-two weeks ended August 29, 2026,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fifty-two weeks ended August 30, 2025, due to the following:</w:t>
      </w:r>
    </w:p>
    <w:p>
      <w:pPr>
        <w:spacing w:after="0" w:line="184" w:lineRule="exact"/>
        <w:rPr>
          <w:sz w:val="20"/>
          <w:szCs w:val="20"/>
          <w:color w:val="auto"/>
        </w:rPr>
      </w:pPr>
    </w:p>
    <w:p>
      <w:pPr>
        <w:jc w:val="both"/>
        <w:ind w:left="660" w:hanging="328"/>
        <w:spacing w:after="0" w:line="267"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Selling and marketing expenses decreased $4.8 million, or 3.6%, for the fifty-two weeks ended August 29, 2026,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fifty-two weeks ended August 30, 2025. The decrease was primarily related to a planned decrease in Atkins marketing spend partially offset by increases for Quest and OWYN.</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decreased $12.0 million, or 7.7%, for the fifty-two weeks ended August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compared to the fifty-two weeks ended August 30, 2025. The decrease was primarily attributable to a decrease of $16.4 million in integration expenses related to the OWYN Acquisition, a decrease of $7.5 million in employee-related costs, and lower general corporate expenses, partially offset by an increase of $12.7 million in restructuring costs and an increase of $2.3 million in term loan transaction fees.</w:t>
      </w:r>
    </w:p>
    <w:p>
      <w:pPr>
        <w:spacing w:after="0" w:line="71"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 was $17.7 million and $16.9 million for the fifty-two weeks ended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 2026, compared to the fifty-two weeks ended August 30, 2025, respectively.</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were zero for the fifty-two weeks ended August 29, 2026, compared to $0.8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fifty-two weeks ended August 30, 2025.</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on impairment</w:t>
      </w:r>
      <w:r>
        <w:rPr>
          <w:rFonts w:ascii="Times New Roman" w:cs="Times New Roman" w:eastAsia="Times New Roman" w:hAnsi="Times New Roman"/>
          <w:sz w:val="18"/>
          <w:szCs w:val="18"/>
          <w:color w:val="auto"/>
        </w:rPr>
        <w:t>. Loss on impairment charges were $331.0 million for the fifty-two weeks ended August 29, 2026 and $60.9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fifty-two weeks ended August 30, 2025. Refer to Note 5, Goodwill and Intangibles, for additional information regarding the Company’s impairment assessments.</w:t>
      </w:r>
    </w:p>
    <w:p>
      <w:pPr>
        <w:spacing w:after="0" w:line="19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of $2.9 million increased $0.3 million for the fifty-two weeks ended August 29, 2026, compared to the fifty-two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August 30, 2025, primarily due to higher cash balances.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of $21.4 million decreased $1.8 million for the fifty-two weeks ended August 29, 2026, compared to the fifty-two weeks ended August 30, 2025, primarily due to the decrease in interest rates on our Term Facility to 5.8% as of August 29, 2026 from 6.3% as of August 30, 2025.</w:t>
      </w:r>
    </w:p>
    <w:p>
      <w:pPr>
        <w:spacing w:after="0" w:line="198"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gain on foreign currency transactions. </w:t>
      </w:r>
      <w:r>
        <w:rPr>
          <w:rFonts w:ascii="Times New Roman" w:cs="Times New Roman" w:eastAsia="Times New Roman" w:hAnsi="Times New Roman"/>
          <w:sz w:val="18"/>
          <w:szCs w:val="18"/>
          <w:color w:val="auto"/>
        </w:rPr>
        <w:t>Foreign currency transactions resulted in a $0.1 million loss and a $0.4 million loss for the fifty-two weeks ended August 29, 2026, and August 30, 2025, respectively.</w:t>
      </w:r>
    </w:p>
    <w:p>
      <w:pPr>
        <w:spacing w:after="0" w:line="182"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expense. </w:t>
      </w:r>
      <w:r>
        <w:rPr>
          <w:rFonts w:ascii="Times New Roman" w:cs="Times New Roman" w:eastAsia="Times New Roman" w:hAnsi="Times New Roman"/>
          <w:sz w:val="18"/>
          <w:szCs w:val="18"/>
          <w:color w:val="auto"/>
        </w:rPr>
        <w:t>Income tax benefit was $42.2 million for the fifty-two weeks ended August 29, 2026, compared to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of $32.3 million for the fifty-two weeks ended August 30, 2025. The change in our income tax (benefit) expense was primarily driven by lower income from operations, primarily the loss on impairment.</w:t>
      </w:r>
    </w:p>
    <w:p>
      <w:pPr>
        <w:spacing w:after="0" w:line="198" w:lineRule="exact"/>
        <w:rPr>
          <w:sz w:val="20"/>
          <w:szCs w:val="20"/>
          <w:color w:val="auto"/>
        </w:rPr>
      </w:pPr>
    </w:p>
    <w:p>
      <w:pPr>
        <w:jc w:val="both"/>
        <w:ind w:right="4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income. </w:t>
      </w:r>
      <w:r>
        <w:rPr>
          <w:rFonts w:ascii="Times New Roman" w:cs="Times New Roman" w:eastAsia="Times New Roman" w:hAnsi="Times New Roman"/>
          <w:sz w:val="18"/>
          <w:szCs w:val="18"/>
          <w:color w:val="auto"/>
        </w:rPr>
        <w:t>Net loss was $155.9 million for the fifty-two weeks ended August 29, 2026, a decrease of $259.5 million, compared to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of $103.6 million for the fifty-two weeks ended August 30, 2025. The decrease was driven by higher operating expenses, primarily the loss on impairment, and was partially offset by lower income tax (benefit) expense and other expense.</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decreased $52.3 million, or 18.8%, for the fifty-two weeks ended August 29, 2026, compared to the fifty-two weeks ended August 30, 2025, driven primarily by lower gross profit.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Simply Good Foods defines EBITDA as net income or loss before interest income, interest expense, income tax expense, depreciation and amortization, and Adjusted EBITDA as further adjusted to exclude the following items: loss on impairment, stock-based compensation expense, business transaction costs, purchase price accounting inventory step-up, integration expense, term loan transaction fees, restructuring and other costs,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table provides a reconciliation of EBITDA and Adjusted EBITDA to their most directly comparable GAAP measure, which is net income, for the fifty-two weeks ended August 29, 2026, and fifty-two weeks ended August 30, 2025:</w:t>
      </w:r>
    </w:p>
    <w:p>
      <w:pPr>
        <w:spacing w:after="0" w:line="112" w:lineRule="exact"/>
        <w:rPr>
          <w:sz w:val="20"/>
          <w:szCs w:val="20"/>
          <w:color w:val="auto"/>
        </w:rPr>
      </w:pPr>
    </w:p>
    <w:tbl>
      <w:tblPr>
        <w:tblLayout w:type="fixed"/>
        <w:tblInd w:w="1420"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52-Weeks Ended</w:t>
            </w:r>
          </w:p>
        </w:tc>
      </w:tr>
      <w:tr>
        <w:trPr>
          <w:trHeight w:val="30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29, 2026</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30, 2025</w:t>
            </w:r>
          </w:p>
        </w:tc>
      </w:tr>
      <w:tr>
        <w:trPr>
          <w:trHeight w:val="25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(155,903)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103,614</w:t>
            </w:r>
          </w:p>
        </w:tc>
      </w:tr>
      <w:tr>
        <w:trPr>
          <w:trHeight w:val="26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r>
      <w:tr>
        <w:trPr>
          <w:trHeight w:val="27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23,249</w:t>
            </w:r>
          </w:p>
        </w:tc>
      </w:tr>
      <w:tr>
        <w:trPr>
          <w:trHeight w:val="26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32,289</w:t>
            </w:r>
          </w:p>
        </w:tc>
      </w:tr>
      <w:tr>
        <w:trPr>
          <w:trHeight w:val="27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24,255</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21,431</w:t>
            </w:r>
          </w:p>
        </w:tc>
      </w:tr>
      <w:tr>
        <w:trPr>
          <w:trHeight w:val="25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(155,361)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177,920</w:t>
            </w:r>
          </w:p>
        </w:tc>
      </w:tr>
      <w:tr>
        <w:trPr>
          <w:trHeight w:val="273"/>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impairment</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60,928</w:t>
            </w:r>
          </w:p>
        </w:tc>
      </w:tr>
      <w:tr>
        <w:trPr>
          <w:trHeight w:val="267"/>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15,273</w:t>
            </w:r>
          </w:p>
        </w:tc>
      </w:tr>
      <w:tr>
        <w:trPr>
          <w:trHeight w:val="273"/>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6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r>
      <w:tr>
        <w:trPr>
          <w:trHeight w:val="267"/>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Inventory step-up</w:t>
            </w:r>
          </w:p>
        </w:tc>
        <w:tc>
          <w:tcPr>
            <w:tcW w:w="16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w:t>
            </w:r>
          </w:p>
        </w:tc>
      </w:tr>
      <w:tr>
        <w:trPr>
          <w:trHeight w:val="273"/>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Integration expense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10,621</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20,856</w:t>
            </w:r>
          </w:p>
        </w:tc>
      </w:tr>
      <w:tr>
        <w:trPr>
          <w:trHeight w:val="267"/>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Term loan transaction fees</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r>
      <w:tr>
        <w:trPr>
          <w:trHeight w:val="273"/>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5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48"/>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225,869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278,162</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ind w:left="1600" w:hanging="170"/>
        <w:spacing w:after="0" w:line="235" w:lineRule="auto"/>
        <w:tabs>
          <w:tab w:leader="none" w:pos="160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one-time effects from actions taken to mitigate OWYN product quality issues.</w:t>
      </w:r>
    </w:p>
    <w:p>
      <w:pPr>
        <w:spacing w:after="0" w:line="57" w:lineRule="exact"/>
        <w:rPr>
          <w:rFonts w:ascii="Times New Roman" w:cs="Times New Roman" w:eastAsia="Times New Roman" w:hAnsi="Times New Roman"/>
          <w:sz w:val="21"/>
          <w:szCs w:val="21"/>
          <w:color w:val="auto"/>
          <w:vertAlign w:val="superscript"/>
        </w:rPr>
      </w:pPr>
    </w:p>
    <w:p>
      <w:pPr>
        <w:ind w:left="1580" w:hanging="150"/>
        <w:spacing w:after="0" w:line="218" w:lineRule="auto"/>
        <w:tabs>
          <w:tab w:leader="none" w:pos="158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items consist principally of exchange impact of foreign currency transactions and other expenses.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with cash flow from operations and, when needed, with borrowings under our Credit Agreement (as defined below). Our principal uses of cash have been working capital, debt service, repurchases of our common stock, and acquisition opportunities.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had $138.4 million in cash as of August 29, 2026.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material future cash requirements from contractual and other obligations relate primarily to our principal and interest payments for our Term Facility, as defined and discussed below, and our operating leases. Refer to Note 7, Long-Term Debt and Line of Credit, and Note 10, Leases, of the Consolidated Financial Statements included in Item 8 of this Report for additional information related to the expected timing and amount of payments related to our contractual and other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7, 2017, the Company (through certain of its subsidiaries)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21, 2022, we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OWYN Acquisition. No amounts under the Term Facility were repaid as a result of the execution of the 2024 Incremental Facility Amendment.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31, 2025, the Company entered into a seventh amendment (the “2025 Repricing Amendment”) to the Credit Agreement to reduce the interest rate per annum applicable to the Initial Term Loans outstanding under the Credit Agreement immediately prior to the effective date of the 2025 Repricing Amendment.</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19, 2025, the Company entered into an eighth amendment (the “2026 Incremental Facility Amendment”) to the Credit Agreement to increase the principal borrowed on the Term Facility by $150.0 million and provided for an extension of the maturity date from March 17, 2027, to March 17, 2030. The 2026 Incremental Facility Amendment also provided for an extension of the stated maturity date of the</w:t>
      </w:r>
    </w:p>
    <w:p>
      <w:pPr>
        <w:sectPr>
          <w:pgSz w:w="11900" w:h="16838" w:orient="portrait"/>
          <w:cols w:equalWidth="0" w:num="1">
            <w:col w:w="11240"/>
          </w:cols>
          <w:pgMar w:left="320" w:top="684" w:right="3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Revolving Commitments and Revolving Loans (each as defined in the Credit Agreement) from December 16, 2026, to the earlier of (i) 91 days prior to the then-effective maturity date of the Term Facility and (ii) December 16, 2029. The terms of the incremental borrowing are substantially the same as the terms of the outstanding borrowings under the Term Facility. No amounts of the Term Facility were repaid as a result of the execution of the 2026 Incremental Facility Amendment.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as of the 2026 Incremental Facility Amendment, the interest rate per annum for the Initial Term Loans is based on either:</w:t>
      </w:r>
    </w:p>
    <w:p>
      <w:pPr>
        <w:spacing w:after="0" w:line="104" w:lineRule="exact"/>
        <w:rPr>
          <w:sz w:val="20"/>
          <w:szCs w:val="20"/>
          <w:color w:val="auto"/>
        </w:rPr>
      </w:pPr>
    </w:p>
    <w:p>
      <w:pPr>
        <w:jc w:val="both"/>
        <w:ind w:left="660" w:hanging="328"/>
        <w:spacing w:after="0" w:line="266" w:lineRule="auto"/>
        <w:tabs>
          <w:tab w:leader="none" w:pos="6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1.00% margin for the Term Loan or (y) 1.00% margin for the Revolving Credit Facility; or</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subject to a floor of 0.00%, plus (x) 2.00% margin for the Term Loan or (y) 2.00% margin for the Revolving Credit Facility.</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closing of the 2026 Incremental Facility Amendment, the Company expensed $2.7 million of non-deferrable third-party costs through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within the Consolidated Statements of Income and Comprehensive Income (Loss) and capitalized $2.6 million of upfront lender fees (original issue discount) and third-party financing costs.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our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and Only What You Need, Inc. are holding companies with no assets other than their investments in their respective subsidiaries.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We were in compliance with all financial covenants as of August 29, 2026, and August 30, 2025, respectively.</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August 29, 2026, the outstanding balance of the Term Facility was $350.0 million. We are not required to make principal payments on the Term Facility over the twelve months following the period ended August 29, 2026. The outstanding balance of the Term Facility is due upon its maturity in March 2030. As of August 29, 2026, there were no amounts drawn against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adopted a stock repurchase program in November 2018. On January 6, 2026, the Company announced that its Board of Directors approved a $200.0 million increase in its repurchase authorization under its stock repurchase program (the “Current Authorization”).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fifty-two weeks ended August 29, 2026, the Company repurchased 11,662,234 shares of common stock at an average share price of $18.29 per share, inclusive of commissions and exclusive of accrued excise tax. During the fifty-two weeks ended August 30, 2025, the Company repurchased 1,592,471 shares of common stock at an average share price of $31.95 per share, inclusive of commissions and exclusive of accrued excise tax. The Company did not repurchase any shares of common stock during the fifty-three weeks ended August 31, 2024. The U.S. Inflation Reduction Act of 2022 requires a 1% excise tax on the net amount of share repurchases. As of August 29, 2026, approximately $157.4 million remained available under the Current Authorization.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major sources and uses of cash for the fifty-two weeks ended August 29, 2026, and the fifty-two weeks ended August 30, 2025. A discussion regarding the major sources and uses of cash for the fifty-three weeks ended August 31, 2024, can be found under Item 7 of our Annual Report on Form 10-K for the fiscal year ended August 30, 2025, filed with the SEC on October 28, 2025.</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52-Weeks Ended</w:t>
            </w:r>
          </w:p>
        </w:tc>
      </w:tr>
      <w:tr>
        <w:trPr>
          <w:trHeight w:val="30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29, 2026</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30, 2025</w:t>
            </w:r>
          </w:p>
        </w:tc>
      </w:tr>
      <w:tr>
        <w:trPr>
          <w:trHeight w:val="25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181,049</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178,457</w:t>
            </w:r>
          </w:p>
        </w:tc>
      </w:tr>
      <w:tr>
        <w:trPr>
          <w:trHeight w:val="26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(24,102)</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(20,932)</w:t>
            </w:r>
          </w:p>
        </w:tc>
      </w:tr>
      <w:tr>
        <w:trPr>
          <w:trHeight w:val="27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(117,186)</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(191,205)</w:t>
            </w:r>
          </w:p>
        </w:tc>
      </w:tr>
    </w:tbl>
    <w:p>
      <w:pPr>
        <w:spacing w:after="0" w:line="3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net cash provided by operating activities increased $2.6 million to $181.0 million for the fifty-two weeks ended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 2026, compared to $178.5 million for the fifty-two weeks ended August 30, 2025. The increase in cash provided by operating activities was primarily attributable to changes in working capital, comprised of changes in accounts receivable, net, inventories, net, prepaid expenses, other current assets, accounts payable, accrued interest, accrued expenses and other current liabilities, and other assets and liabilities, which are driven by the timing of payments and receipts and decreases of inventory balances. Changes in working capital provided cash of $5.3 million in the fifty-two weeks ended August 29, 2026, compared to $32.9 million of cash consumed in the fifty-two weeks ended August 30, 2025, a difference of $38.2 million. Loss from operations was $179.7 million for the fifty-two weeks ended August 29, 2026, as compared to income from operations of $156.9 million for the fifty-two weeks ended August 30, 2025. The decrease was driven by higher operating expenses, primarily the loss on impairment.</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net cash used in investing activities was $24.1 million for the fifty-two weeks ended August 29, 2026, compared to $20.9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fifty-two weeks ended August 30, 2025. Our net cash used in investing activities for the fifty-two weeks ended August 29, 2026, was primarily comprised of $24.1 million of purchases of property and equipment, primarily at our contract manufacturing facilities. The $20.9 million of net cash used in investing activities for the fifty-two weeks ended August 30, 2025, was primarily comprised of $20.5 million of purchases of property and equipment, primarily at our contract manufacturing facilities.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Our net cash used in financing activities was $117.2 million for the fifty-two weeks ended August 29, 2026,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used in financing activities of $191.2 million for the fifty-two weeks ended August 30, 2025. Net cash used in financing activities for the fifty-two weeks ended August 29, 2026, primarily consisted of $213.3 million in repurchases of common stock, inclusive of commissions and exclusive of accrued excise tax, and $50.0 million in principal payments on the Term Facility, partially offset by $150.0 million in proceeds from issuance of long-term debt and $1.1 million of cash proceeds received from option exercises. Net cash used in financing activities for the fifty-two weeks ended August 30, 2025, primarily consisted of $150.0 million in principal prepayments on the Term Facility, and $50.9 million in repurchases of common stock, inclusive of commissions and exclusive of accrued excise tax, partially offset by $12.9 million of cash proceeds received from option exercises.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Judgments and Estimates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accounting principles generally accepted in the United States of America. While the majority of our revenue, expenses, assets and liabilities are not based on estimates, there are certain accounting principles that require management to make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significant accounting policies are discussed in Note 2, Summary of Significant Accounting Policies, of our Consolidated Financial Statements in this filing; however, the following discussion pertains to accounting policies we believe are most critical to the portrayal of our financial condition and results of operations and that require significant, difficult, subjective or complex judgments. Other companies in similar businesses may use different estimation policies and methodologies, which may affect the comparability of our financial condition, results of operations and cash flows to those of other companies.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 revenue when performance obligations under the terms of a contract with our customer are satisfied. We have determined that fulfilling and delivering products is a single performance obligation. Revenue is recognized at the point in time when we have satisfied our performance obligation and the customer has obtained control of the products. This generally occurs when the product is delivered to or picked up by our customer based on applicable shipping terms, which is typically within 30 days.</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45" w:name="page46"/>
    <w:bookmarkEnd w:id="4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 is measured as the amount of consideration expected to be received in exchange for fulfilled product orders, including estimates of variable consideration. The most common forms of variable consideration include trade promotions, such as consumer incentives, coupon redemptions and other marketing activities, allowances for unsaleable product, and any additional amounts where a distinct good or service cannot be identified or the value cannot be reasonably estimated. Estimates of variable consideration are made using various information including historical data on performance of similar trade promotional activities, market data from Circana, and our best estimate of current activity. Revisions can include changes for consideration paid to customers that lack sufficient evidence to support a distinct good or service assertion, or for which a reasonably estimable fair value cannot be determined, primarily related to our assessments of cooperative advertising programs. We review these estimates regularly and make revisions as necessary. Uncertainties related to the estimate of variable consideration are resolved in a short time frame and do not require any additional constraint on variable consideration. Adjustments to variable consideration have historically been insignificant.</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some payment terms may be longer, the majority of our payment terms are less than 60 days. As a result, we do not have any material significant payment terms as payment is received shortly after the time of sale.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While our revenue recognition does not involve significant judgment, it represents a key accounting policy.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Promotions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offer trade promotions through various programs to customers and consumers. Trade promotions include discounts, rebates, slotting and other marketing activities. Trade promotions are recorded as a reduction to net sales with a corresponding reduction to accounts receivable at the time of revenue recognition for the underlying sale. The recognition of trade promotions requires management to make estimates regarding the volume of incentive that will be redeemed and their total cost. These estimates are made using various information including historical data on the performance of similar trade promotional activities, market data from Circana, and the Company’s best estimates of current activity. Our consolidated financial statements could be materially affected if the actual promotion rates are different from the estimated rates.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August 29, 2026, and August 30, 2025, the allowance for trade promotions was $40.2 million and $37.8 million, respectively. Differences between estimated expense and actual redemptions are recognized as a change in management estimate in a subsequent period. These differences have historically been insignificant.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Goodwill and indefinite-lived intangible assets, comprising our brands and trademarks, are not amortized, but instead are tested for impairment at least annually, or more frequently if indicators of impairment exist. We conduct our annual impairment tests at the beginning of the fourth fiscal quarter. We perform our goodwill impairment assessment for each reporting unit that has goodwill. The process of evaluating goodwill and indefinite-lived intangibles for impairment is subjective and requires significant judgment at many points during the analysis.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August 29, 2026, the Company determined its operations are organized into </w:t>
      </w:r>
      <w:r>
        <w:rPr>
          <w:rFonts w:ascii="Times New Roman" w:cs="Times New Roman" w:eastAsia="Times New Roman" w:hAnsi="Times New Roman"/>
          <w:sz w:val="16"/>
          <w:szCs w:val="16"/>
          <w:color w:val="auto"/>
        </w:rPr>
        <w:t>one</w:t>
      </w:r>
      <w:r>
        <w:rPr>
          <w:rFonts w:ascii="Times New Roman" w:cs="Times New Roman" w:eastAsia="Times New Roman" w:hAnsi="Times New Roman"/>
          <w:sz w:val="18"/>
          <w:szCs w:val="18"/>
          <w:color w:val="auto"/>
        </w:rPr>
        <w:t xml:space="preserve"> consolidated operating segment and reportable segment, represented by the Company’s consolidated financial statements. Previously, as of August 30, 2025, the Company’s operations were organized into </w:t>
      </w:r>
      <w:r>
        <w:rPr>
          <w:rFonts w:ascii="Times New Roman" w:cs="Times New Roman" w:eastAsia="Times New Roman" w:hAnsi="Times New Roman"/>
          <w:sz w:val="16"/>
          <w:szCs w:val="16"/>
          <w:color w:val="auto"/>
        </w:rPr>
        <w:t>two</w:t>
      </w:r>
      <w:r>
        <w:rPr>
          <w:rFonts w:ascii="Times New Roman" w:cs="Times New Roman" w:eastAsia="Times New Roman" w:hAnsi="Times New Roman"/>
          <w:sz w:val="18"/>
          <w:szCs w:val="18"/>
          <w:color w:val="auto"/>
        </w:rPr>
        <w:t xml:space="preserve"> operating segments, Quest and Atkins, and OWYN, which were aggregated into </w:t>
      </w:r>
      <w:r>
        <w:rPr>
          <w:rFonts w:ascii="Times New Roman" w:cs="Times New Roman" w:eastAsia="Times New Roman" w:hAnsi="Times New Roman"/>
          <w:sz w:val="16"/>
          <w:szCs w:val="16"/>
          <w:color w:val="auto"/>
        </w:rPr>
        <w:t>one</w:t>
      </w:r>
      <w:r>
        <w:rPr>
          <w:rFonts w:ascii="Times New Roman" w:cs="Times New Roman" w:eastAsia="Times New Roman" w:hAnsi="Times New Roman"/>
          <w:sz w:val="18"/>
          <w:szCs w:val="18"/>
          <w:color w:val="auto"/>
        </w:rPr>
        <w:t xml:space="preserve"> reportable segment due to similar financial, economic and operating characteristics.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assess goodwill and indefinite-lived intangible assets using either a qualitative or quantitative approach to determine whether it is more likely than not that the fair values of the reporting units or indefinite-lived intangible assets are less than their carrying amounts. The qualitative assessment evaluates factors including macro-economic conditions, industry-specific and company-specific considerations, legal and regulatory environments, and historical performance. If we determine that it is more likely than not that the fair value of a reporting unit or an indefinite-lived intangible asset is less than its carrying value, a quantitative assessment is performed. Otherwise, no further assessment is required. The quantitative approach compares the estimated fair value of the reporting unit, including goodwill, or the indefinite-lived intangible asset to its carrying amount. The material inputs and assumptions underlying the quantitative assessments of goodwill and intangible impairment are based on operational forecasts derived from expectations of future operating performance, which requires considerable management judgment regarding matters that are uncertain and susceptible to change. Determining the estimated fair value requires multiple Level 3 inputs based on data available at the time of the quantitative assessment including, but not limited to, future revenue projections, discount rates, and royalty rates. Impairment is indicated if the estimated fair value of the reporting unit or indefinite-lived intangible asset is less than the carrying amount, and an impairment charge is recognized for the differential.</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sustained decline in the Company’s stock price and declines in the Company’s market capitalization assessed during the third quarter of fiscal year 2026, the Company identified a triggering event indicating that it was more likely than not that the fair value of the goodwill reporting unit was less than its carrying amount. The Company conducted a quantitative interim goodwill assessment as of the last day of its third quarter, utilizing a weighted combination of the discounted cash flow method under the income approach and the guideline public company method under the market approach to estimate the fair value of the equity of the Company. Based on testing, the carrying value</w:t>
      </w:r>
    </w:p>
    <w:p>
      <w:pPr>
        <w:sectPr>
          <w:pgSz w:w="11900" w:h="16838" w:orient="portrait"/>
          <w:cols w:equalWidth="0" w:num="1">
            <w:col w:w="11240"/>
          </w:cols>
          <w:pgMar w:left="320" w:top="688" w:right="339" w:bottom="144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was greater than its fair value, resulting in an impairment of $38.0 million related to goodwill for the fifty-two weeks ended August 29, 2026.</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declines of net sales and future revenue projections assessed during the second quarter of fiscal year 2026, the Company identified a triggering event indicating that it was more likely than not that the fair value of both the OWYN and Atkins brands and trademarks indefinite-lived intangible assets were less than their respective carrying amounts. The Company conducted a quantitative assessment as of the last day of its second quarter, utilizing the relief from royalty methodology under the income approach to estimate the fair value of the intangible assets. Based on testing, the respective assets’ carrying values exceeded their fair values, resulting in a loss on impairment for OWYN and for Atkins.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sustained decline in the Company’s stock price and declines in the Company’s market capitalization assessed during the third quarter of fiscal year 2026, the Company identified a triggering event indicating that it was more likely than not that the fair value of both the OWYN and Atkins brands and trademarks indefinite-lived intangible assets were less than their respective carrying amounts. The Company conducted a quantitative assessment as of the last day of its third quarter, utilizing the relief from royalty methodology under the income approach to estimate the fair value of the intangible assets. Based on testing, the respective assets’ carrying values exceeded their fair values, resulting in a loss on impairment for OWYN and for Atkins. In addition, the Company included the Quest brand and trademark indefinite-lived intangible asset within the quantitative assessment, utilizing the relief from royalty methodology under the income approach to estimate the fair value of the intangible asset. Based on testing, Quest’s fair value exceeded its carrying value, resulting in no impairment.</w:t>
      </w:r>
    </w:p>
    <w:p>
      <w:pPr>
        <w:spacing w:after="0" w:line="20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fifty-two weeks ended August 29, 2026, the Company recorded a loss on impairment of $200.0 million and $93.0 million for the OWYN and Atkins brand indefinite-lived intangible assets, respectively. During the fifty-two weeks ended August 30, 2025, the Company recorded a loss on impairment of $60.9 million for the Atkins brand indefinite-lived intangible asset and the licensing agreements finite-lived intangible asset.</w:t>
      </w:r>
    </w:p>
    <w:p>
      <w:pPr>
        <w:spacing w:after="0" w:line="2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performed its annual qualitative impairment assessment of goodwill and its indefinite-lived intangible assets as of the first day of the fourth quarter of fiscal year 2026, which did not identify any incremental indicators of impairment from its previously performed quantitative assessment as of the last day of its third quarter. It was determined that it was more likely than not that goodwill and each indefinite-lived intangible asset had fair values in excess of or equal to their carrying values and its finite-lived intangible assets did not indicate that their carrying amounts may not be recoverable. The qualitative assessments performed as of the first day of the fourth quarter of fiscal years 2025 and 2024 did not identify indicators of impairment based on the information available at that time, and it was determined that it was more likely than not that goodwill and each reporting unit and indefinite-lived intangible had fair values in excess of their carrying values.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have intangible assets that have determinable useful lives, consisting primarily of customer relationships, proprietary recipes and formulas, licensing agreements, and software and website development costs. Costs of these finite-lived intangible assets are amortized on a straight-line basis over their estimated useful lives. Finite-lived intangible assets are tested for impairment when events or circumstances indicated that the carrying amount may not be recoverable.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fifty-two weeks ended August 29, 2026, we did not identify indicators of impairment related to our finite-lived intangible assets, and as such there were no impairments recorded related to finite-lived intangible assets. For the fifty-two weeks ended August 30, 2025, we identified indicators of impairment related to our licensing agreements finite-lived intangible asset. Accordingly, the Company proceeded to conduct a quantitative impairment assessment. Based on our quantitative assessment, the asset had an excess carrying value over its respective fair value, resulting in a loss on impairment. For the fifty-three weeks ended August 31, 2024, we did not identify indicators of impairment related to our finite-lived intangible assets, and as such there were no impairments recorded related to finite-lived intangible assets.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the estimates and assumptions utilized in our impairment assessment are reasonable and are comparable to those that would be used by other marketplace participants. However, actual events and results could differ substantially from those utilized in our valuations. Significant declines of future revenue projections or changes of other assumptions used in estimating fair values versus those utilized at the time of the initial valuations could result in further impairment charges that could materially affect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States and numerous other jurisdictions. Significant judgment is required in determining our provision for income tax, including evaluating uncertainties in the application of accounting principles and complex tax laws.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Income taxes include federal, state and foreign taxes currently payable and deferred taxes arising from temporary differences between income for financial reporting and income tax purposes. Deferred tax assets and liabilities are determined based on the differences between the financial statement balances and the tax bases of assets and liabilities using enacted tax rates in effect for the year in which the differences are expected to reverse. The effect on deferred tax assets and liabilities of a change in tax rates is recognized in income in the year that includes the enactment date. Valuation allowances are established when necessary to reduce deferred tax assets to amounts expected to be realized. Significant management judgment is required in determining the effective tax rate, evaluating tax positions and determining the net realizable value of deferred tax assets.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of the Consolidated Financial Statements included in Item 8 of this Report for information regarding recently issued accounting standards.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future income, cash flows and fair values relevant to financial instruments are dependent upon prevailing market interest rates. Market risk refers to the risk of loss from adverse changes in market prices and interest rates.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chain costs and inflation. </w:t>
      </w:r>
      <w:r>
        <w:rPr>
          <w:rFonts w:ascii="Times New Roman" w:cs="Times New Roman" w:eastAsia="Times New Roman" w:hAnsi="Times New Roman"/>
          <w:sz w:val="18"/>
          <w:szCs w:val="18"/>
          <w:color w:val="auto"/>
        </w:rPr>
        <w:t>We are exposed to risks associated with changes in the costs of our raw materials as well as changes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supply and distribution costs. While inflation, including tariffs, may affect our revenue and cost of products, we believe the effects of inflation on our results of operations and financial condition have not been significant during the fifty-two weeks ended August 29, 2026, as compared to prior fiscal periods. While the Company is monitoring key ingredient inflation, which may affect profitability, we believe the Company's strategy and positioning will continue to drive profitable growth for our product offerings and growth within the growing nutritional snacking category. However, there can be no assurance that results of operations and financial condition will not be materially impacted by inflation, including tariffs, in the future. Refer to Item 1A, Risk Factors, for additional discussion of our risks associated with the costs of our raw materials, our supply chain, and inflation.</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We are subject to interest rate risk in connection with borrowing based on a variable interest rate. Derivative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instruments, such as interest rate swap agreements and interest rate cap agreements, while not currently used, may be used for the purpose of managing fluctuating interest rate exposures that exist from our variable rate debt obligations that are expected to remain outstanding. Interest rate changes do not affect the market value of such debt, but could affect the amount of our interest payments, and accordingly, our future earnings and cash flows, assuming other factors are held constant. As of August 29, 2026, the outstanding balance of the Term Facility was $350.0 million. Based on the amount outstanding of the Term Facility at the end of fiscal year 2026, a 1% increase in interest rates would increase our annual interest expense by approximately $3.5 million.</w:t>
      </w:r>
    </w:p>
    <w:p>
      <w:pPr>
        <w:spacing w:after="0" w:line="20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risk. </w:t>
      </w:r>
      <w:r>
        <w:rPr>
          <w:rFonts w:ascii="Times New Roman" w:cs="Times New Roman" w:eastAsia="Times New Roman" w:hAnsi="Times New Roman"/>
          <w:sz w:val="18"/>
          <w:szCs w:val="18"/>
          <w:color w:val="auto"/>
        </w:rPr>
        <w:t>We are exposed to changes in currency rates as a result of investments in foreign operations and revenue generated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currencies other than the U.S. Dollar. Revenue and profit generated by international operations will increase or decrease compared to prior periods as a result of changes in foreign currency exchange rates. Historically, our foreign currency risk has primarily related to our operations in Canada and Australia.</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63"/>
        </w:trPr>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760" w:type="dxa"/>
            <w:vAlign w:val="bottom"/>
            <w:gridSpan w:val="10"/>
          </w:tcPr>
          <w:p>
            <w:pPr>
              <w:jc w:val="center"/>
              <w:ind w:right="2600"/>
              <w:spacing w:after="0"/>
              <w:rPr>
                <w:sz w:val="20"/>
                <w:szCs w:val="20"/>
                <w:color w:val="auto"/>
              </w:rPr>
            </w:pPr>
            <w:r>
              <w:rPr>
                <w:rFonts w:ascii="Times New Roman" w:cs="Times New Roman" w:eastAsia="Times New Roman" w:hAnsi="Times New Roman"/>
                <w:sz w:val="16"/>
                <w:szCs w:val="16"/>
                <w:color w:val="0000FF"/>
              </w:rPr>
              <w:t>Index to the Financial Statements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31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50</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w w:val="99"/>
              </w:rPr>
              <w:t>Consolidated Balance Sheets</w:t>
            </w:r>
          </w:p>
        </w:tc>
        <w:tc>
          <w:tcPr>
            <w:tcW w:w="1920" w:type="dxa"/>
            <w:vAlign w:val="bottom"/>
            <w:gridSpan w:val="8"/>
          </w:tcPr>
          <w:p>
            <w:pPr>
              <w:spacing w:after="0"/>
              <w:rPr>
                <w:sz w:val="20"/>
                <w:szCs w:val="20"/>
                <w:color w:val="auto"/>
              </w:rPr>
            </w:pPr>
          </w:p>
        </w:tc>
        <w:tc>
          <w:tcPr>
            <w:tcW w:w="3160" w:type="dxa"/>
            <w:vAlign w:val="bottom"/>
            <w:gridSpan w:val="4"/>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53</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2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Income and Comprehensive Income (Loss)</w:t>
            </w:r>
          </w:p>
        </w:tc>
        <w:tc>
          <w:tcPr>
            <w:tcW w:w="23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54</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5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2040" w:type="dxa"/>
            <w:vAlign w:val="bottom"/>
            <w:gridSpan w:val="6"/>
          </w:tcPr>
          <w:p>
            <w:pPr>
              <w:spacing w:after="0"/>
              <w:rPr>
                <w:sz w:val="21"/>
                <w:szCs w:val="21"/>
                <w:color w:val="auto"/>
              </w:rPr>
            </w:pPr>
          </w:p>
        </w:tc>
        <w:tc>
          <w:tcPr>
            <w:tcW w:w="23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55</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9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57</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4"/>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12"/>
          </w:tcPr>
          <w:p>
            <w:pPr>
              <w:jc w:val="center"/>
              <w:ind w:right="2260"/>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318"/>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Note 1.</w:t>
            </w:r>
          </w:p>
        </w:tc>
        <w:tc>
          <w:tcPr>
            <w:tcW w:w="420" w:type="dxa"/>
            <w:vAlign w:val="bottom"/>
          </w:tcPr>
          <w:p>
            <w:pPr>
              <w:spacing w:after="0"/>
              <w:rPr>
                <w:sz w:val="24"/>
                <w:szCs w:val="24"/>
                <w:color w:val="auto"/>
              </w:rPr>
            </w:pPr>
          </w:p>
        </w:tc>
        <w:tc>
          <w:tcPr>
            <w:tcW w:w="69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Nature of Operations and Principles of Consolidation</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58</w:t>
            </w:r>
          </w:p>
        </w:tc>
      </w:tr>
      <w:tr>
        <w:trPr>
          <w:trHeight w:val="236"/>
        </w:trPr>
        <w:tc>
          <w:tcPr>
            <w:tcW w:w="4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Note 2.</w:t>
            </w:r>
          </w:p>
        </w:tc>
        <w:tc>
          <w:tcPr>
            <w:tcW w:w="8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34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Summary of Significant Accounting Policies</w:t>
            </w:r>
          </w:p>
        </w:tc>
        <w:tc>
          <w:tcPr>
            <w:tcW w:w="3520" w:type="dxa"/>
            <w:vAlign w:val="bottom"/>
            <w:gridSpan w:val="5"/>
          </w:tcPr>
          <w:p>
            <w:pPr>
              <w:spacing w:after="0"/>
              <w:rPr>
                <w:sz w:val="20"/>
                <w:szCs w:val="20"/>
                <w:color w:val="auto"/>
              </w:rPr>
            </w:pP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58</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7"/>
              </w:rPr>
              <w:t>Note 3.</w:t>
            </w:r>
          </w:p>
        </w:tc>
        <w:tc>
          <w:tcPr>
            <w:tcW w:w="500" w:type="dxa"/>
            <w:vAlign w:val="bottom"/>
            <w:gridSpan w:val="2"/>
          </w:tcPr>
          <w:p>
            <w:pPr>
              <w:spacing w:after="0"/>
              <w:rPr>
                <w:sz w:val="20"/>
                <w:szCs w:val="20"/>
                <w:color w:val="auto"/>
              </w:rPr>
            </w:pPr>
          </w:p>
        </w:tc>
        <w:tc>
          <w:tcPr>
            <w:tcW w:w="14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9"/>
              </w:rPr>
              <w:t>Business Combination</w:t>
            </w:r>
          </w:p>
        </w:tc>
        <w:tc>
          <w:tcPr>
            <w:tcW w:w="1440" w:type="dxa"/>
            <w:vAlign w:val="bottom"/>
            <w:gridSpan w:val="8"/>
          </w:tcPr>
          <w:p>
            <w:pPr>
              <w:spacing w:after="0"/>
              <w:rPr>
                <w:sz w:val="20"/>
                <w:szCs w:val="20"/>
                <w:color w:val="auto"/>
              </w:rPr>
            </w:pPr>
          </w:p>
        </w:tc>
        <w:tc>
          <w:tcPr>
            <w:tcW w:w="4060" w:type="dxa"/>
            <w:vAlign w:val="bottom"/>
            <w:gridSpan w:val="7"/>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64</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7"/>
              </w:rPr>
              <w:t>Note 4.</w:t>
            </w:r>
          </w:p>
        </w:tc>
        <w:tc>
          <w:tcPr>
            <w:tcW w:w="500" w:type="dxa"/>
            <w:vAlign w:val="bottom"/>
            <w:gridSpan w:val="2"/>
          </w:tcPr>
          <w:p>
            <w:pPr>
              <w:spacing w:after="0"/>
              <w:rPr>
                <w:sz w:val="20"/>
                <w:szCs w:val="20"/>
                <w:color w:val="auto"/>
              </w:rPr>
            </w:pPr>
          </w:p>
        </w:tc>
        <w:tc>
          <w:tcPr>
            <w:tcW w:w="18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w w:val="98"/>
              </w:rPr>
              <w:t>Property and Equipment, Net</w:t>
            </w:r>
          </w:p>
        </w:tc>
        <w:tc>
          <w:tcPr>
            <w:tcW w:w="5080" w:type="dxa"/>
            <w:vAlign w:val="bottom"/>
            <w:gridSpan w:val="12"/>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66</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7"/>
              </w:rPr>
              <w:t>Note 5.</w:t>
            </w:r>
          </w:p>
        </w:tc>
        <w:tc>
          <w:tcPr>
            <w:tcW w:w="500" w:type="dxa"/>
            <w:vAlign w:val="bottom"/>
            <w:gridSpan w:val="2"/>
          </w:tcPr>
          <w:p>
            <w:pPr>
              <w:spacing w:after="0"/>
              <w:rPr>
                <w:sz w:val="20"/>
                <w:szCs w:val="20"/>
                <w:color w:val="auto"/>
              </w:rPr>
            </w:pPr>
          </w:p>
        </w:tc>
        <w:tc>
          <w:tcPr>
            <w:tcW w:w="18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Goodwill and Intangibles</w:t>
            </w:r>
          </w:p>
        </w:tc>
        <w:tc>
          <w:tcPr>
            <w:tcW w:w="5080" w:type="dxa"/>
            <w:vAlign w:val="bottom"/>
            <w:gridSpan w:val="12"/>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66</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Note 6.</w:t>
            </w:r>
          </w:p>
        </w:tc>
        <w:tc>
          <w:tcPr>
            <w:tcW w:w="80" w:type="dxa"/>
            <w:vAlign w:val="bottom"/>
            <w:tcBorders>
              <w:bottom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Accrued Expenses and Other Current Liabilities</w:t>
            </w:r>
          </w:p>
        </w:tc>
        <w:tc>
          <w:tcPr>
            <w:tcW w:w="3780" w:type="dxa"/>
            <w:vAlign w:val="bottom"/>
            <w:gridSpan w:val="6"/>
          </w:tcPr>
          <w:p>
            <w:pPr>
              <w:spacing w:after="0"/>
              <w:rPr>
                <w:sz w:val="20"/>
                <w:szCs w:val="20"/>
                <w:color w:val="auto"/>
              </w:rPr>
            </w:pP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68</w:t>
            </w:r>
          </w:p>
        </w:tc>
      </w:tr>
      <w:tr>
        <w:trPr>
          <w:trHeight w:val="236"/>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7"/>
              </w:rPr>
              <w:t>Note 7.</w:t>
            </w:r>
          </w:p>
        </w:tc>
        <w:tc>
          <w:tcPr>
            <w:tcW w:w="500" w:type="dxa"/>
            <w:vAlign w:val="bottom"/>
            <w:gridSpan w:val="2"/>
          </w:tcPr>
          <w:p>
            <w:pPr>
              <w:spacing w:after="0"/>
              <w:rPr>
                <w:sz w:val="20"/>
                <w:szCs w:val="20"/>
                <w:color w:val="auto"/>
              </w:rPr>
            </w:pPr>
          </w:p>
        </w:tc>
        <w:tc>
          <w:tcPr>
            <w:tcW w:w="22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w w:val="97"/>
              </w:rPr>
              <w:t>Long-Term Debt and Line of Credit</w:t>
            </w:r>
          </w:p>
        </w:tc>
        <w:tc>
          <w:tcPr>
            <w:tcW w:w="4680" w:type="dxa"/>
            <w:vAlign w:val="bottom"/>
            <w:gridSpan w:val="9"/>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68</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80" w:type="dxa"/>
            <w:vAlign w:val="bottom"/>
            <w:tcBorders>
              <w:left w:val="single" w:sz="8" w:color="0000FF"/>
            </w:tcBorders>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7"/>
              </w:rPr>
              <w:t>Note 8.</w:t>
            </w:r>
          </w:p>
        </w:tc>
        <w:tc>
          <w:tcPr>
            <w:tcW w:w="500" w:type="dxa"/>
            <w:vAlign w:val="bottom"/>
            <w:gridSpan w:val="2"/>
          </w:tcPr>
          <w:p>
            <w:pPr>
              <w:spacing w:after="0"/>
              <w:rPr>
                <w:sz w:val="20"/>
                <w:szCs w:val="20"/>
                <w:color w:val="auto"/>
              </w:rPr>
            </w:pPr>
          </w:p>
        </w:tc>
        <w:tc>
          <w:tcPr>
            <w:tcW w:w="22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w w:val="98"/>
              </w:rPr>
              <w:t>Fair Value of Financial Instruments</w:t>
            </w:r>
          </w:p>
        </w:tc>
        <w:tc>
          <w:tcPr>
            <w:tcW w:w="4680" w:type="dxa"/>
            <w:vAlign w:val="bottom"/>
            <w:gridSpan w:val="9"/>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70</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7"/>
              </w:rPr>
              <w:t>Note 9.</w:t>
            </w:r>
          </w:p>
        </w:tc>
        <w:tc>
          <w:tcPr>
            <w:tcW w:w="500" w:type="dxa"/>
            <w:vAlign w:val="bottom"/>
            <w:gridSpan w:val="2"/>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Income Taxes</w:t>
            </w:r>
          </w:p>
        </w:tc>
        <w:tc>
          <w:tcPr>
            <w:tcW w:w="1380" w:type="dxa"/>
            <w:vAlign w:val="bottom"/>
            <w:gridSpan w:val="10"/>
          </w:tcPr>
          <w:p>
            <w:pPr>
              <w:spacing w:after="0"/>
              <w:rPr>
                <w:sz w:val="20"/>
                <w:szCs w:val="20"/>
                <w:color w:val="auto"/>
              </w:rPr>
            </w:pPr>
          </w:p>
        </w:tc>
        <w:tc>
          <w:tcPr>
            <w:tcW w:w="4680" w:type="dxa"/>
            <w:vAlign w:val="bottom"/>
            <w:gridSpan w:val="9"/>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71</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Note 10.</w:t>
            </w:r>
          </w:p>
        </w:tc>
        <w:tc>
          <w:tcPr>
            <w:tcW w:w="69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Leases</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74</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Note 11.</w:t>
            </w:r>
          </w:p>
        </w:tc>
        <w:tc>
          <w:tcPr>
            <w:tcW w:w="420" w:type="dxa"/>
            <w:vAlign w:val="bottom"/>
          </w:tcPr>
          <w:p>
            <w:pPr>
              <w:spacing w:after="0"/>
              <w:rPr>
                <w:sz w:val="20"/>
                <w:szCs w:val="20"/>
                <w:color w:val="auto"/>
              </w:rPr>
            </w:pPr>
          </w:p>
        </w:tc>
        <w:tc>
          <w:tcPr>
            <w:tcW w:w="21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Commitments and Contingencies</w:t>
            </w:r>
          </w:p>
        </w:tc>
        <w:tc>
          <w:tcPr>
            <w:tcW w:w="4800" w:type="dxa"/>
            <w:vAlign w:val="bottom"/>
            <w:gridSpan w:val="11"/>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76</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Note 12.</w:t>
            </w:r>
          </w:p>
        </w:tc>
        <w:tc>
          <w:tcPr>
            <w:tcW w:w="69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Stockholders' Equity</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76</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Note 13.</w:t>
            </w:r>
          </w:p>
        </w:tc>
        <w:tc>
          <w:tcPr>
            <w:tcW w:w="69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Earnings Per Share</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77</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Note 14.</w:t>
            </w:r>
          </w:p>
        </w:tc>
        <w:tc>
          <w:tcPr>
            <w:tcW w:w="69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Incentive Plan</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77</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Note 15.</w:t>
            </w:r>
          </w:p>
        </w:tc>
        <w:tc>
          <w:tcPr>
            <w:tcW w:w="69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Segment and Customer Information</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81</w:t>
            </w:r>
          </w:p>
        </w:tc>
      </w:tr>
      <w:tr>
        <w:trPr>
          <w:trHeight w:val="237"/>
        </w:trPr>
        <w:tc>
          <w:tcPr>
            <w:tcW w:w="9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Note 16.</w:t>
            </w:r>
          </w:p>
        </w:tc>
        <w:tc>
          <w:tcPr>
            <w:tcW w:w="22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Restructuring and Other</w:t>
            </w:r>
          </w:p>
        </w:tc>
        <w:tc>
          <w:tcPr>
            <w:tcW w:w="4680" w:type="dxa"/>
            <w:vAlign w:val="bottom"/>
            <w:gridSpan w:val="9"/>
          </w:tcPr>
          <w:p>
            <w:pPr>
              <w:spacing w:after="0"/>
              <w:rPr>
                <w:sz w:val="20"/>
                <w:szCs w:val="20"/>
                <w:color w:val="auto"/>
              </w:rPr>
            </w:pP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82</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Simply Good Foods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Simply Good Foods Company and subsidiaries (the "Company") as of August 29, 2026, and August 30, 2025, the related consolidated statements of income and comprehensive income, stockholders' equity, and cash flows, for the fifty-two weeks ended August 29, 2026, the fifty-two weeks ended August 30, 2025 and the fifty-three weeks ended August 31, 2024, and the related notes (collectively referred to as the "financial statements"). In our opinion, the financial statements present fairly, in all material respects, the financial position of the Company as of August 29, 2026, and August 30, 2025, and the results of its operations and its cash flows for each of the three years in the period ended August 29, 2026, in conformity with accounting principles generally accepted in the United States of America.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August 29,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October 27, 2026,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 Trade Promotions — Refer to Note 2 to the consolidated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trade promotions through various programs to customers and consumers. Trade promotions include discounts, rebates, slotting, and other marketing activities. Trade promotions are recorded as a reduction to net sales with a corresponding reduction to accounts receivable at the time of revenue recognition for the underlying sale. The recognition of trade promotions requires the Company to make estimates regarding the volume of incentives that will be redeemed and their total cost. These estimates are made using various information including historical data on performance of similar trade promotional activities, market data from Circana, and the Company's best estimates of current activity.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allowance for trade promotions related to manufacturer charge-backs as a critical audit matter because management’s estimate of the expected future promotional claims is subjective and requires a high degree of judgment. Auditing management’s assumptions and judgments used in determining the allowance for trade promotions related to manufacturer charge-backs as of August 29, 2026, required a high degree of auditor judgment and an increased extent of effort.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Our auditing procedures over the allowance for trade promotions related to manufacturer charge-backs included the following, among others:</w:t>
      </w:r>
    </w:p>
    <w:p>
      <w:pPr>
        <w:spacing w:after="0" w:line="25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implementation and operating effectiveness of internal controls over the allowance for trade promotions.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allowances for trade promotions recorded as of August 29, 2026, we: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confirmations to customers in an effort to confirm contract terms.</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contract terms from the accounting records to the promotion agreement with the customer and verified the promotion period was prior to August 29, 2026.</w:t>
      </w:r>
    </w:p>
    <w:p>
      <w:pPr>
        <w:ind w:left="1300" w:right="20" w:hanging="320"/>
        <w:spacing w:after="0" w:line="250" w:lineRule="auto"/>
        <w:tabs>
          <w:tab w:leader="none" w:pos="131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appropriateness of the year-end trade accrual estimate using historical data on performance of similar trade promotional activities and subsequent customer activity.</w:t>
      </w: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estimate promotional claims incurred but not yet received for potential management bias by comparing Company's estimates to independently developed expectations.</w:t>
      </w:r>
    </w:p>
    <w:p>
      <w:pPr>
        <w:ind w:left="660" w:right="2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customer promotional claims unresolved as of August 29, 2026, we compared that amount to the August 29, 2026, allowance for promotions balance and traced the resolved deduction to an approved trade promotion.</w:t>
      </w: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customer promotional claims resolved after August 29, 2026, we compared that amount to the August 29, 2026, allowance for promotions balance and traced the resolved deduction to an approved trade promotion.</w:t>
      </w:r>
    </w:p>
    <w:p>
      <w:pPr>
        <w:ind w:left="660" w:hanging="328"/>
        <w:spacing w:after="0" w:line="26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customers, we performed inquiries with the sales representative responsible for the customer relationship to understand the process for contract negotiation, approval, and monitoring of trade promotions.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 - Refer to Notes 2 and 5 to the consolidated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evaluation of goodwill and indefinite-lived intangible assets for impairment involves the comparison of its estimated fair value to its carrying amount. The Company’s evaluation of goodwill and indefinite-lived intangible assets for impairment involves the comparison of its estimated fair value to its carrying amount. During the second and third quarters of fiscal year 2026, the Company identified triggering events indicating that it was more likely than not that the fair value of the goodwill reporting unit and both the OWYN and Atkins brands and trademarks indefinite-lived intangible assets were less than their respective carrying amounts. Accordingly, the Company proceeded to conduct a quantitative impairment assessment as of the last day of both its second and third quarters. The Company determined the fair value of goodwill using a weighted combination of the discounted cash flow method under the income approach and the guideline public company method under the market approach. The determination of the fair value of the brand and tradename intangible assets utilized a relief from royalty valuation methodology under the income approach. Based on the quantitative assessment, the carrying value of goodwill as well as both the OWYN and Atkins brands and trademarks indefinite-lived intangible assets were greater than its fair value, resulting in an impairment of $38.0 million, $200.0 million and $93.0 million, respectively. In addition, the Company included the Quest brand and trademark indefinite-lived intangible asset within the quantitative assessment; utilizing an income approach to estimate the fair value of the intangible asset. Based on testing, Quest’s fair value exceeded its carrying value, resulting in no impairment.</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Company's impairment evaluation of goodwill and the indefinite-lived intangible assets as a critical audit matter because of the significant judgments made by management to estimate the fair value of goodwill and indefinite-lived intangible assets. A high degree of auditor judgment and increased extent of procedures were required to audit management’s assumptions and judgments used to evaluate the reasonableness of the future revenue projections as well as the selection of the royalty rate and the discount rate, including the need to involve our fair value specialists.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evaluation of management’s assumptions for goodwill and the indefinite-lived intangible asset included the following, among others:</w:t>
      </w:r>
    </w:p>
    <w:p>
      <w:pPr>
        <w:spacing w:after="0" w:line="189" w:lineRule="exact"/>
        <w:rPr>
          <w:sz w:val="20"/>
          <w:szCs w:val="20"/>
          <w:color w:val="auto"/>
        </w:rPr>
      </w:pPr>
    </w:p>
    <w:p>
      <w:pPr>
        <w:ind w:left="660" w:right="2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implementation and operating effectiveness of internal controls over the Company’s assumptions related to the selection of future revenue projections, discount rates, and royalty rates.</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management’s key assumptions in developing future revenue projections, discount rates, and royalty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revenue projections by comparing actual results to management’s historical forecasts.</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future revenue projections by comparing to:</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information included in analyst and industry reports for the Company.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and projected financial information of peer companies from external market sources.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of key and/or large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assistance of our fair value specialists, we evaluated the reasonableness of the valuation methodologies and underlying assumptions by: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ind w:left="1300" w:hanging="320"/>
        <w:spacing w:after="0" w:line="261" w:lineRule="auto"/>
        <w:tabs>
          <w:tab w:leader="none" w:pos="132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royalty rate and comparing the royalty rate assumption used by management to peers to develop a range of independent estimates.</w:t>
      </w: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discount rate and testing the mathematical accuracy of the calculation.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discount rate selected by management.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Corroborating the overall fair valuation of Goodwill by performing a market capitalization reconciliation.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76"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29, 2026</w:t>
            </w:r>
          </w:p>
        </w:tc>
        <w:tc>
          <w:tcPr>
            <w:tcW w:w="18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30, 2025</w:t>
            </w:r>
          </w:p>
        </w:tc>
        <w:tc>
          <w:tcPr>
            <w:tcW w:w="0" w:type="dxa"/>
            <w:vAlign w:val="bottom"/>
          </w:tcPr>
          <w:p>
            <w:pPr>
              <w:spacing w:after="0"/>
              <w:rPr>
                <w:sz w:val="1"/>
                <w:szCs w:val="1"/>
                <w:color w:val="auto"/>
              </w:rPr>
            </w:pPr>
          </w:p>
        </w:tc>
      </w:tr>
      <w:tr>
        <w:trPr>
          <w:trHeight w:val="240"/>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138,425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98,468</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164,978</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 net</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132,458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167,217</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7,209</w:t>
            </w: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15,812</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453,684</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assets: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39,738</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1,261,603</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551,974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589,974</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51,046</w:t>
            </w:r>
          </w:p>
        </w:tc>
        <w:tc>
          <w:tcPr>
            <w:tcW w:w="0" w:type="dxa"/>
            <w:vAlign w:val="bottom"/>
          </w:tcPr>
          <w:p>
            <w:pPr>
              <w:spacing w:after="0"/>
              <w:rPr>
                <w:sz w:val="1"/>
                <w:szCs w:val="1"/>
                <w:color w:val="auto"/>
              </w:rPr>
            </w:pPr>
          </w:p>
        </w:tc>
      </w:tr>
      <w:tr>
        <w:trPr>
          <w:trHeight w:val="235"/>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2,036,744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2,396,045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78,298</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32,702</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46,219</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124,561</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347,219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249,066</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166,091</w:t>
            </w: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42,556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49,494</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584,336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589,212</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See commitments and contingencies (Note 11)</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w:t>
            </w:r>
          </w:p>
        </w:tc>
        <w:tc>
          <w:tcPr>
            <w:tcW w:w="16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$0.01 par value, 600,000,000 shares authorized, 104,073,452 and 103,688,071</w:t>
            </w:r>
          </w:p>
        </w:tc>
        <w:tc>
          <w:tcPr>
            <w:tcW w:w="16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issued at August 29, 2026 and August 30, 2025, respectively</w:t>
            </w:r>
          </w:p>
        </w:tc>
        <w:tc>
          <w:tcPr>
            <w:tcW w:w="1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Treasury stock, 15,619,805 shares and 3,957,571 shares at cost at August 29, 2026 and August 30,</w:t>
            </w:r>
          </w:p>
        </w:tc>
        <w:tc>
          <w:tcPr>
            <w:tcW w:w="1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(344,775)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(129,337)</w:t>
            </w: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2025, respectively</w:t>
            </w:r>
          </w:p>
        </w:tc>
        <w:tc>
          <w:tcPr>
            <w:tcW w:w="1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1,362,717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1,346,687</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434,976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590,879</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1,452,408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1,806,833</w:t>
            </w:r>
          </w:p>
        </w:tc>
        <w:tc>
          <w:tcPr>
            <w:tcW w:w="0" w:type="dxa"/>
            <w:vAlign w:val="bottom"/>
          </w:tcPr>
          <w:p>
            <w:pPr>
              <w:spacing w:after="0"/>
              <w:rPr>
                <w:sz w:val="1"/>
                <w:szCs w:val="1"/>
                <w:color w:val="auto"/>
              </w:rPr>
            </w:pP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2,036,744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2,396,045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 (Loss)</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171"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6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53-Weeks Ended</w:t>
            </w:r>
          </w:p>
        </w:tc>
      </w:tr>
      <w:tr>
        <w:trPr>
          <w:trHeight w:val="259"/>
        </w:trPr>
        <w:tc>
          <w:tcPr>
            <w:tcW w:w="5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29, 2026</w:t>
            </w:r>
          </w:p>
        </w:tc>
        <w:tc>
          <w:tcPr>
            <w:tcW w:w="140" w:type="dxa"/>
            <w:vAlign w:val="bottom"/>
          </w:tcPr>
          <w:p>
            <w:pPr>
              <w:spacing w:after="0"/>
              <w:rPr>
                <w:sz w:val="22"/>
                <w:szCs w:val="22"/>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August 30, 2025</w:t>
            </w:r>
          </w:p>
        </w:tc>
        <w:tc>
          <w:tcPr>
            <w:tcW w:w="16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r>
      <w:tr>
        <w:trPr>
          <w:trHeight w:val="240"/>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1,356,499</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1,450,920</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1,331,321</w:t>
            </w:r>
          </w:p>
        </w:tc>
      </w:tr>
      <w:tr>
        <w:trPr>
          <w:trHeight w:val="25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914,136</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925,173</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819,755</w:t>
            </w:r>
          </w:p>
        </w:tc>
      </w:tr>
      <w:tr>
        <w:trPr>
          <w:trHeight w:val="23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442,363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525,747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511,566</w:t>
            </w:r>
          </w:p>
        </w:tc>
      </w:tr>
      <w:tr>
        <w:trPr>
          <w:trHeight w:val="257"/>
        </w:trPr>
        <w:tc>
          <w:tcPr>
            <w:tcW w:w="5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4"/>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129,446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134,282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143,929</w:t>
            </w:r>
          </w:p>
        </w:tc>
      </w:tr>
      <w:tr>
        <w:trPr>
          <w:trHeight w:val="25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143,901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155,930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129,699</w:t>
            </w:r>
          </w:p>
        </w:tc>
      </w:tr>
      <w:tr>
        <w:trPr>
          <w:trHeight w:val="253"/>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16,917</w:t>
            </w:r>
          </w:p>
        </w:tc>
      </w:tr>
      <w:tr>
        <w:trPr>
          <w:trHeight w:val="26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14,524</w:t>
            </w:r>
          </w:p>
        </w:tc>
      </w:tr>
      <w:tr>
        <w:trPr>
          <w:trHeight w:val="253"/>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Loss on impairment</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331,000</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60,928</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622,078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368,860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305,069</w:t>
            </w:r>
          </w:p>
        </w:tc>
      </w:tr>
      <w:tr>
        <w:trPr>
          <w:trHeight w:val="256"/>
        </w:trPr>
        <w:tc>
          <w:tcPr>
            <w:tcW w:w="5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(179,715)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156,887</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206,497</w:t>
            </w:r>
          </w:p>
        </w:tc>
      </w:tr>
      <w:tr>
        <w:trPr>
          <w:trHeight w:val="257"/>
        </w:trPr>
        <w:tc>
          <w:tcPr>
            <w:tcW w:w="5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4,307</w:t>
            </w:r>
          </w:p>
        </w:tc>
      </w:tr>
      <w:tr>
        <w:trPr>
          <w:trHeight w:val="25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(23,249)</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(26,029)</w:t>
            </w:r>
          </w:p>
        </w:tc>
      </w:tr>
      <w:tr>
        <w:trPr>
          <w:trHeight w:val="253"/>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gain on foreign currency transactions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57"/>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(20,447)</w:t>
            </w:r>
          </w:p>
        </w:tc>
      </w:tr>
      <w:tr>
        <w:trPr>
          <w:trHeight w:val="260"/>
        </w:trPr>
        <w:tc>
          <w:tcPr>
            <w:tcW w:w="5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(198,123)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135,903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186,050</w:t>
            </w:r>
          </w:p>
        </w:tc>
      </w:tr>
      <w:tr>
        <w:trPr>
          <w:trHeight w:val="25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(42,220)</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32,289</w:t>
            </w: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46,741</w:t>
            </w: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(155,903)</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103,614</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139,309</w:t>
            </w:r>
          </w:p>
        </w:tc>
      </w:tr>
      <w:tr>
        <w:trPr>
          <w:trHeight w:val="260"/>
        </w:trPr>
        <w:tc>
          <w:tcPr>
            <w:tcW w:w="5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6"/>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net of reclassification adjustments</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(155,021)</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103,220</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139,863</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5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4"/>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earnings per share:</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53"/>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6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4"/>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92,372,473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100,695,181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99,929,196</w:t>
            </w:r>
          </w:p>
        </w:tc>
      </w:tr>
      <w:tr>
        <w:trPr>
          <w:trHeight w:val="25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92,372,473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101,510,772</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101,281,888</w:t>
            </w:r>
          </w:p>
        </w:tc>
      </w:tr>
    </w:tbl>
    <w:p>
      <w:pPr>
        <w:spacing w:after="0" w:line="30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79"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6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53-Weeks Ended</w:t>
            </w:r>
          </w:p>
        </w:tc>
      </w:tr>
      <w:tr>
        <w:trPr>
          <w:trHeight w:val="219"/>
        </w:trPr>
        <w:tc>
          <w:tcPr>
            <w:tcW w:w="5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29, 2026</w:t>
            </w:r>
          </w:p>
        </w:tc>
        <w:tc>
          <w:tcPr>
            <w:tcW w:w="14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30, 2025</w:t>
            </w:r>
          </w:p>
        </w:tc>
        <w:tc>
          <w:tcPr>
            <w:tcW w:w="16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August 31, 2024</w:t>
            </w:r>
          </w:p>
        </w:tc>
      </w:tr>
      <w:tr>
        <w:trPr>
          <w:trHeight w:val="19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(155,903)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103,614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139,309</w:t>
            </w:r>
          </w:p>
        </w:tc>
      </w:tr>
      <w:tr>
        <w:trPr>
          <w:trHeight w:val="165"/>
        </w:trPr>
        <w:tc>
          <w:tcPr>
            <w:tcW w:w="52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Adjustments to reconcile net income to net cash provided by operating</w:t>
            </w: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20,993</w:t>
            </w:r>
          </w:p>
        </w:tc>
      </w:tr>
      <w:tr>
        <w:trPr>
          <w:trHeight w:val="219"/>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w:t>
            </w:r>
          </w:p>
        </w:tc>
      </w:tr>
      <w:tr>
        <w:trPr>
          <w:trHeight w:val="213"/>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18,421</w:t>
            </w:r>
          </w:p>
        </w:tc>
      </w:tr>
      <w:tr>
        <w:trPr>
          <w:trHeight w:val="219"/>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impairment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Estimated credit losses (recoveries)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9"/>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Unrealized loss (gain) on foreign currency transactions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3"/>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8,366</w:t>
            </w:r>
          </w:p>
        </w:tc>
      </w:tr>
      <w:tr>
        <w:trPr>
          <w:trHeight w:val="219"/>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6,991</w:t>
            </w:r>
          </w:p>
        </w:tc>
      </w:tr>
      <w:tr>
        <w:trPr>
          <w:trHeight w:val="213"/>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r>
      <w:tr>
        <w:trPr>
          <w:trHeight w:val="219"/>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2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9,129</w:t>
            </w:r>
          </w:p>
        </w:tc>
      </w:tr>
      <w:tr>
        <w:trPr>
          <w:trHeight w:val="219"/>
        </w:trPr>
        <w:tc>
          <w:tcPr>
            <w:tcW w:w="5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Inventories,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13,726</w:t>
            </w:r>
          </w:p>
        </w:tc>
      </w:tr>
      <w:tr>
        <w:trPr>
          <w:trHeight w:val="213"/>
        </w:trPr>
        <w:tc>
          <w:tcPr>
            <w:tcW w:w="52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r>
      <w:tr>
        <w:trPr>
          <w:trHeight w:val="219"/>
        </w:trPr>
        <w:tc>
          <w:tcPr>
            <w:tcW w:w="5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4,957</w:t>
            </w:r>
          </w:p>
        </w:tc>
      </w:tr>
      <w:tr>
        <w:trPr>
          <w:trHeight w:val="213"/>
        </w:trPr>
        <w:tc>
          <w:tcPr>
            <w:tcW w:w="52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(15,450)</w:t>
            </w:r>
          </w:p>
        </w:tc>
      </w:tr>
      <w:tr>
        <w:trPr>
          <w:trHeight w:val="219"/>
        </w:trPr>
        <w:tc>
          <w:tcPr>
            <w:tcW w:w="5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w:t>
            </w:r>
          </w:p>
        </w:tc>
      </w:tr>
      <w:tr>
        <w:trPr>
          <w:trHeight w:val="213"/>
        </w:trPr>
        <w:tc>
          <w:tcPr>
            <w:tcW w:w="52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12,730</w:t>
            </w:r>
          </w:p>
        </w:tc>
      </w:tr>
      <w:tr>
        <w:trPr>
          <w:trHeight w:val="219"/>
        </w:trPr>
        <w:tc>
          <w:tcPr>
            <w:tcW w:w="5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(5,565)</w:t>
            </w:r>
          </w:p>
        </w:tc>
      </w:tr>
      <w:tr>
        <w:trPr>
          <w:trHeight w:val="207"/>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181,049</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178,457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215,704</w:t>
            </w:r>
          </w:p>
        </w:tc>
      </w:tr>
      <w:tr>
        <w:trPr>
          <w:trHeight w:val="19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(5,743)</w:t>
            </w:r>
          </w:p>
        </w:tc>
      </w:tr>
      <w:tr>
        <w:trPr>
          <w:trHeight w:val="219"/>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(280,409)</w:t>
            </w:r>
          </w:p>
        </w:tc>
      </w:tr>
      <w:tr>
        <w:trPr>
          <w:trHeight w:val="213"/>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Investments in intangible assets and other assets</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r>
      <w:tr>
        <w:trPr>
          <w:trHeight w:val="212"/>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(286,882)</w:t>
            </w:r>
          </w:p>
        </w:tc>
      </w:tr>
      <w:tr>
        <w:trPr>
          <w:trHeight w:val="20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3"/>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4,293</w:t>
            </w:r>
          </w:p>
        </w:tc>
      </w:tr>
      <w:tr>
        <w:trPr>
          <w:trHeight w:val="213"/>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payments related to issuance of restricted stock units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w:t>
            </w:r>
          </w:p>
        </w:tc>
      </w:tr>
      <w:tr>
        <w:trPr>
          <w:trHeight w:val="219"/>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(213,308)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19"/>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r>
      <w:tr>
        <w:trPr>
          <w:trHeight w:val="213"/>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r>
      <w:tr>
        <w:trPr>
          <w:trHeight w:val="219"/>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received on repayment of note receivable</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3"/>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w:t>
            </w:r>
          </w:p>
        </w:tc>
      </w:tr>
      <w:tr>
        <w:trPr>
          <w:trHeight w:val="212"/>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(117,186)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(191,205)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115,901</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44,723</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98,468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132,530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87,715</w:t>
            </w: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138,425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98,468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132,530</w:t>
            </w:r>
          </w:p>
        </w:tc>
      </w:tr>
    </w:tbl>
    <w:p>
      <w:pPr>
        <w:spacing w:after="0" w:line="3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600" w:type="dxa"/>
        <w:tblCellMar>
          <w:top w:w="0" w:type="dxa"/>
          <w:left w:w="0" w:type="dxa"/>
          <w:bottom w:w="0" w:type="dxa"/>
          <w:right w:w="0" w:type="dxa"/>
        </w:tblCellMar>
      </w:tblPr>
      <w:tr>
        <w:trPr>
          <w:trHeight w:val="237"/>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6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53-Weeks Ended</w:t>
            </w:r>
          </w:p>
        </w:tc>
        <w:tc>
          <w:tcPr>
            <w:tcW w:w="0" w:type="dxa"/>
            <w:vAlign w:val="bottom"/>
          </w:tcPr>
          <w:p>
            <w:pPr>
              <w:spacing w:after="0"/>
              <w:rPr>
                <w:sz w:val="1"/>
                <w:szCs w:val="1"/>
                <w:color w:val="auto"/>
              </w:rPr>
            </w:pPr>
          </w:p>
        </w:tc>
      </w:tr>
      <w:tr>
        <w:trPr>
          <w:trHeight w:val="259"/>
        </w:trPr>
        <w:tc>
          <w:tcPr>
            <w:tcW w:w="5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29, 2026</w:t>
            </w:r>
          </w:p>
        </w:tc>
        <w:tc>
          <w:tcPr>
            <w:tcW w:w="14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30, 2025</w:t>
            </w:r>
          </w:p>
        </w:tc>
        <w:tc>
          <w:tcPr>
            <w:tcW w:w="160" w:type="dxa"/>
            <w:vAlign w:val="bottom"/>
          </w:tcPr>
          <w:p>
            <w:pPr>
              <w:spacing w:after="0"/>
              <w:rPr>
                <w:sz w:val="22"/>
                <w:szCs w:val="22"/>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August 31, 2024</w:t>
            </w:r>
          </w:p>
        </w:tc>
        <w:tc>
          <w:tcPr>
            <w:tcW w:w="0" w:type="dxa"/>
            <w:vAlign w:val="bottom"/>
          </w:tcPr>
          <w:p>
            <w:pPr>
              <w:spacing w:after="0"/>
              <w:rPr>
                <w:sz w:val="1"/>
                <w:szCs w:val="1"/>
                <w:color w:val="auto"/>
              </w:rPr>
            </w:pPr>
          </w:p>
        </w:tc>
      </w:tr>
      <w:tr>
        <w:trPr>
          <w:trHeight w:val="23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20,819</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25,667</w:t>
            </w:r>
          </w:p>
        </w:tc>
        <w:tc>
          <w:tcPr>
            <w:tcW w:w="0" w:type="dxa"/>
            <w:vAlign w:val="bottom"/>
          </w:tcPr>
          <w:p>
            <w:pPr>
              <w:spacing w:after="0"/>
              <w:rPr>
                <w:sz w:val="1"/>
                <w:szCs w:val="1"/>
                <w:color w:val="auto"/>
              </w:rPr>
            </w:pPr>
          </w:p>
        </w:tc>
      </w:tr>
      <w:tr>
        <w:trPr>
          <w:trHeight w:val="25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33,245</w:t>
            </w:r>
          </w:p>
        </w:tc>
        <w:tc>
          <w:tcPr>
            <w:tcW w:w="0" w:type="dxa"/>
            <w:vAlign w:val="bottom"/>
          </w:tcPr>
          <w:p>
            <w:pPr>
              <w:spacing w:after="0"/>
              <w:rPr>
                <w:sz w:val="1"/>
                <w:szCs w:val="1"/>
                <w:color w:val="auto"/>
              </w:rPr>
            </w:pPr>
          </w:p>
        </w:tc>
      </w:tr>
      <w:tr>
        <w:trPr>
          <w:trHeight w:val="25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additions to property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5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additions to intangible assets and other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65"/>
        </w:trPr>
        <w:tc>
          <w:tcPr>
            <w:tcW w:w="52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Operating lease right-of-use assets recognized in exchange for lease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4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15,880</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credits for repayment of note receivable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365"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19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6"/>
                <w:szCs w:val="16"/>
                <w:color w:val="auto"/>
              </w:rPr>
              <w:t>Common Stock</w:t>
            </w:r>
          </w:p>
        </w:tc>
        <w:tc>
          <w:tcPr>
            <w:tcW w:w="1960" w:type="dxa"/>
            <w:vAlign w:val="bottom"/>
            <w:gridSpan w:val="5"/>
            <w:vMerge w:val="restart"/>
          </w:tcPr>
          <w:p>
            <w:pPr>
              <w:ind w:left="420"/>
              <w:spacing w:after="0"/>
              <w:rPr>
                <w:sz w:val="20"/>
                <w:szCs w:val="20"/>
                <w:color w:val="auto"/>
              </w:rPr>
            </w:pPr>
            <w:r>
              <w:rPr>
                <w:rFonts w:ascii="Times New Roman" w:cs="Times New Roman" w:eastAsia="Times New Roman" w:hAnsi="Times New Roman"/>
                <w:sz w:val="16"/>
                <w:szCs w:val="16"/>
                <w:color w:val="auto"/>
              </w:rPr>
              <w:t>Treasury Stock</w:t>
            </w:r>
          </w:p>
        </w:tc>
        <w:tc>
          <w:tcPr>
            <w:tcW w:w="12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Additional</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Retained</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1900" w:type="dxa"/>
            <w:vAlign w:val="bottom"/>
            <w:gridSpan w:val="5"/>
            <w:vMerge w:val="continue"/>
          </w:tcPr>
          <w:p>
            <w:pPr>
              <w:spacing w:after="0"/>
              <w:rPr>
                <w:sz w:val="7"/>
                <w:szCs w:val="7"/>
                <w:color w:val="auto"/>
              </w:rPr>
            </w:pPr>
          </w:p>
        </w:tc>
        <w:tc>
          <w:tcPr>
            <w:tcW w:w="19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2"/>
            <w:vMerge w:val="restart"/>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rPr>
              <w:t>Earnings</w:t>
            </w:r>
          </w:p>
        </w:tc>
        <w:tc>
          <w:tcPr>
            <w:tcW w:w="120" w:type="dxa"/>
            <w:vAlign w:val="bottom"/>
          </w:tcPr>
          <w:p>
            <w:pPr>
              <w:spacing w:after="0"/>
              <w:rPr>
                <w:sz w:val="7"/>
                <w:szCs w:val="7"/>
                <w:color w:val="auto"/>
              </w:rPr>
            </w:pPr>
          </w:p>
        </w:tc>
        <w:tc>
          <w:tcPr>
            <w:tcW w:w="116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w w:val="98"/>
              </w:rPr>
              <w:t>Other</w:t>
            </w: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Paid in</w:t>
            </w:r>
          </w:p>
        </w:tc>
        <w:tc>
          <w:tcPr>
            <w:tcW w:w="2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restart"/>
          </w:tcPr>
          <w:p>
            <w:pPr>
              <w:jc w:val="right"/>
              <w:ind w:right="259"/>
              <w:spacing w:after="0" w:line="16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4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(Accumulated</w:t>
            </w:r>
          </w:p>
        </w:tc>
        <w:tc>
          <w:tcPr>
            <w:tcW w:w="1280" w:type="dxa"/>
            <w:vAlign w:val="bottom"/>
            <w:gridSpan w:val="3"/>
            <w:vMerge w:val="restart"/>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2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
        </w:trPr>
        <w:tc>
          <w:tcPr>
            <w:tcW w:w="1580" w:type="dxa"/>
            <w:vAlign w:val="bottom"/>
          </w:tcPr>
          <w:p>
            <w:pPr>
              <w:spacing w:after="0"/>
              <w:rPr>
                <w:sz w:val="7"/>
                <w:szCs w:val="7"/>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Shares</w:t>
            </w: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Amount</w:t>
            </w: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Shares</w:t>
            </w:r>
          </w:p>
        </w:tc>
        <w:tc>
          <w:tcPr>
            <w:tcW w:w="140" w:type="dxa"/>
            <w:vAlign w:val="bottom"/>
          </w:tcPr>
          <w:p>
            <w:pPr>
              <w:spacing w:after="0"/>
              <w:rPr>
                <w:sz w:val="7"/>
                <w:szCs w:val="7"/>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7"/>
                <w:szCs w:val="7"/>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w w:val="99"/>
              </w:rPr>
              <w:t>Capital</w:t>
            </w:r>
          </w:p>
        </w:tc>
        <w:tc>
          <w:tcPr>
            <w:tcW w:w="1240" w:type="dxa"/>
            <w:vAlign w:val="bottom"/>
            <w:gridSpan w:val="3"/>
            <w:vMerge w:val="continue"/>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rPr>
              <w:t>Deficit)</w:t>
            </w:r>
          </w:p>
        </w:tc>
        <w:tc>
          <w:tcPr>
            <w:tcW w:w="120" w:type="dxa"/>
            <w:vAlign w:val="bottom"/>
          </w:tcPr>
          <w:p>
            <w:pPr>
              <w:spacing w:after="0"/>
              <w:rPr>
                <w:sz w:val="13"/>
                <w:szCs w:val="13"/>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Loss</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1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58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Balance, August 26,</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101,929,868</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1,303,168</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347,956</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1,571,099</w:t>
            </w:r>
          </w:p>
        </w:tc>
        <w:tc>
          <w:tcPr>
            <w:tcW w:w="0" w:type="dxa"/>
            <w:vAlign w:val="bottom"/>
          </w:tcPr>
          <w:p>
            <w:pPr>
              <w:spacing w:after="0"/>
              <w:rPr>
                <w:sz w:val="1"/>
                <w:szCs w:val="1"/>
                <w:color w:val="auto"/>
              </w:rPr>
            </w:pPr>
          </w:p>
        </w:tc>
      </w:tr>
      <w:tr>
        <w:trPr>
          <w:trHeight w:val="209"/>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139,309</w:t>
            </w:r>
          </w:p>
        </w:tc>
        <w:tc>
          <w:tcPr>
            <w:tcW w:w="0" w:type="dxa"/>
            <w:vAlign w:val="bottom"/>
          </w:tcPr>
          <w:p>
            <w:pPr>
              <w:spacing w:after="0"/>
              <w:rPr>
                <w:sz w:val="1"/>
                <w:szCs w:val="1"/>
                <w:color w:val="auto"/>
              </w:rPr>
            </w:pPr>
          </w:p>
        </w:tc>
      </w:tr>
      <w:tr>
        <w:trPr>
          <w:trHeight w:val="165"/>
        </w:trPr>
        <w:tc>
          <w:tcPr>
            <w:tcW w:w="1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17,279</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13"/>
        </w:trPr>
        <w:tc>
          <w:tcPr>
            <w:tcW w:w="1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328,568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options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to purchase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256,879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4,290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4,293</w:t>
            </w:r>
          </w:p>
        </w:tc>
        <w:tc>
          <w:tcPr>
            <w:tcW w:w="0" w:type="dxa"/>
            <w:vAlign w:val="bottom"/>
          </w:tcPr>
          <w:p>
            <w:pPr>
              <w:spacing w:after="0"/>
              <w:rPr>
                <w:sz w:val="1"/>
                <w:szCs w:val="1"/>
                <w:color w:val="auto"/>
              </w:rPr>
            </w:pPr>
          </w:p>
        </w:tc>
      </w:tr>
      <w:tr>
        <w:trPr>
          <w:trHeight w:val="213"/>
        </w:trPr>
        <w:tc>
          <w:tcPr>
            <w:tcW w:w="1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58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August 31,</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102,515,315</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1,319,686</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487,265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1,727,486</w:t>
            </w:r>
          </w:p>
        </w:tc>
        <w:tc>
          <w:tcPr>
            <w:tcW w:w="0" w:type="dxa"/>
            <w:vAlign w:val="bottom"/>
          </w:tcPr>
          <w:p>
            <w:pPr>
              <w:spacing w:after="0"/>
              <w:rPr>
                <w:sz w:val="1"/>
                <w:szCs w:val="1"/>
                <w:color w:val="auto"/>
              </w:rPr>
            </w:pPr>
          </w:p>
        </w:tc>
      </w:tr>
      <w:tr>
        <w:trPr>
          <w:trHeight w:val="209"/>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103,614</w:t>
            </w:r>
          </w:p>
        </w:tc>
        <w:tc>
          <w:tcPr>
            <w:tcW w:w="0" w:type="dxa"/>
            <w:vAlign w:val="bottom"/>
          </w:tcPr>
          <w:p>
            <w:pPr>
              <w:spacing w:after="0"/>
              <w:rPr>
                <w:sz w:val="1"/>
                <w:szCs w:val="1"/>
                <w:color w:val="auto"/>
              </w:rPr>
            </w:pPr>
          </w:p>
        </w:tc>
      </w:tr>
      <w:tr>
        <w:trPr>
          <w:trHeight w:val="165"/>
        </w:trPr>
        <w:tc>
          <w:tcPr>
            <w:tcW w:w="1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17,332</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213"/>
        </w:trPr>
        <w:tc>
          <w:tcPr>
            <w:tcW w:w="1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1,592,471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(50,886)</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224,091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(3,236)</w:t>
            </w:r>
          </w:p>
        </w:tc>
        <w:tc>
          <w:tcPr>
            <w:tcW w:w="0" w:type="dxa"/>
            <w:vAlign w:val="bottom"/>
          </w:tcPr>
          <w:p>
            <w:pPr>
              <w:spacing w:after="0"/>
              <w:rPr>
                <w:sz w:val="1"/>
                <w:szCs w:val="1"/>
                <w:color w:val="auto"/>
              </w:rPr>
            </w:pPr>
          </w:p>
        </w:tc>
      </w:tr>
      <w:tr>
        <w:trPr>
          <w:trHeight w:val="213"/>
        </w:trPr>
        <w:tc>
          <w:tcPr>
            <w:tcW w:w="1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of options</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to purchase</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948,665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12,917</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5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August 30,</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103,688,071</w:t>
            </w:r>
          </w:p>
        </w:tc>
        <w:tc>
          <w:tcPr>
            <w:tcW w:w="12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40" w:type="dxa"/>
            <w:vAlign w:val="bottom"/>
          </w:tcPr>
          <w:p>
            <w:pPr>
              <w:spacing w:after="0"/>
              <w:rPr>
                <w:sz w:val="12"/>
                <w:szCs w:val="12"/>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3,957,571</w:t>
            </w:r>
          </w:p>
        </w:tc>
        <w:tc>
          <w:tcPr>
            <w:tcW w:w="12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(129,337)</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1,346,687</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590,879</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1,806,833</w:t>
            </w:r>
          </w:p>
        </w:tc>
        <w:tc>
          <w:tcPr>
            <w:tcW w:w="0" w:type="dxa"/>
            <w:vAlign w:val="bottom"/>
          </w:tcPr>
          <w:p>
            <w:pPr>
              <w:spacing w:after="0"/>
              <w:rPr>
                <w:sz w:val="1"/>
                <w:szCs w:val="1"/>
                <w:color w:val="auto"/>
              </w:rPr>
            </w:pPr>
          </w:p>
        </w:tc>
      </w:tr>
      <w:tr>
        <w:trPr>
          <w:trHeight w:val="194"/>
        </w:trPr>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(155,903)</w:t>
            </w:r>
          </w:p>
        </w:tc>
        <w:tc>
          <w:tcPr>
            <w:tcW w:w="0" w:type="dxa"/>
            <w:vAlign w:val="bottom"/>
          </w:tcPr>
          <w:p>
            <w:pPr>
              <w:spacing w:after="0"/>
              <w:rPr>
                <w:sz w:val="1"/>
                <w:szCs w:val="1"/>
                <w:color w:val="auto"/>
              </w:rPr>
            </w:pPr>
          </w:p>
        </w:tc>
      </w:tr>
      <w:tr>
        <w:trPr>
          <w:trHeight w:val="162"/>
        </w:trPr>
        <w:tc>
          <w:tcPr>
            <w:tcW w:w="1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17,280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17,280</w:t>
            </w:r>
          </w:p>
        </w:tc>
        <w:tc>
          <w:tcPr>
            <w:tcW w:w="0" w:type="dxa"/>
            <w:vAlign w:val="bottom"/>
          </w:tcPr>
          <w:p>
            <w:pPr>
              <w:spacing w:after="0"/>
              <w:rPr>
                <w:sz w:val="1"/>
                <w:szCs w:val="1"/>
                <w:color w:val="auto"/>
              </w:rPr>
            </w:pPr>
          </w:p>
        </w:tc>
      </w:tr>
      <w:tr>
        <w:trPr>
          <w:trHeight w:val="213"/>
        </w:trPr>
        <w:tc>
          <w:tcPr>
            <w:tcW w:w="1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Repurchase of</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11,662,234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(215,438)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(215,438)</w:t>
            </w:r>
          </w:p>
        </w:tc>
        <w:tc>
          <w:tcPr>
            <w:tcW w:w="0" w:type="dxa"/>
            <w:vAlign w:val="bottom"/>
          </w:tcPr>
          <w:p>
            <w:pPr>
              <w:spacing w:after="0"/>
              <w:rPr>
                <w:sz w:val="1"/>
                <w:szCs w:val="1"/>
                <w:color w:val="auto"/>
              </w:rPr>
            </w:pPr>
          </w:p>
        </w:tc>
      </w:tr>
      <w:tr>
        <w:trPr>
          <w:trHeight w:val="213"/>
        </w:trPr>
        <w:tc>
          <w:tcPr>
            <w:tcW w:w="1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297,381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options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to purchase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0" w:type="dxa"/>
            <w:vAlign w:val="bottom"/>
          </w:tcPr>
          <w:p>
            <w:pPr>
              <w:spacing w:after="0"/>
              <w:rPr>
                <w:sz w:val="1"/>
                <w:szCs w:val="1"/>
                <w:color w:val="auto"/>
              </w:rPr>
            </w:pPr>
          </w:p>
        </w:tc>
      </w:tr>
      <w:tr>
        <w:trPr>
          <w:trHeight w:val="213"/>
        </w:trPr>
        <w:tc>
          <w:tcPr>
            <w:tcW w:w="1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58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August 29,</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104,073,452</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15,619,805</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(344,775)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1,362,717</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434,976</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1,452,408</w:t>
            </w:r>
          </w:p>
        </w:tc>
        <w:tc>
          <w:tcPr>
            <w:tcW w:w="0" w:type="dxa"/>
            <w:vAlign w:val="bottom"/>
          </w:tcPr>
          <w:p>
            <w:pPr>
              <w:spacing w:after="0"/>
              <w:rPr>
                <w:sz w:val="1"/>
                <w:szCs w:val="1"/>
                <w:color w:val="auto"/>
              </w:rPr>
            </w:pPr>
          </w:p>
        </w:tc>
      </w:tr>
      <w:tr>
        <w:trPr>
          <w:trHeight w:val="209"/>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p>
      <w:pPr>
        <w:spacing w:after="0" w:line="3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Principles of Consolidation</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Simply Good Foods Company (“Simply Good Foods” or the “Company”), headquartered in Denver, Colorado, is a consumer packaged food and beverage company with ambitious goals to raise the bar on what food can be with trusted brands and innovative nutritious snacking products. Within our portfolio of trusted brands (Quest, Atkins, and OWYN), we offer a wide variety of nutritional snacks and beverages, including high protein chips, bars, ready-to-drink (RTD) shakes, and powders, and low sugar, low carb sweets. We are a leader of the nutritious snacking movement, poised to expand our healthy lifestyle platform through innovation-driven organic growth and external investment opportunities.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Atkins for those following a low-carbohydrate lifestyle or seeking to manage weight or blood sugar levels, and OWYN for consumers seeking protein-rich beverages that are plant-based and tested for the top nine allergens.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common stock of Simply Good Foods is listed on the Nasdaq Capital Market under the symbol “SMPL.”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U.S. Generally Accepted Accounting Principles (“GAAP”). The Company maintains its accounting records on a 52/53-week fiscal year, ending on the last Saturday in August.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information presented within the Company’s consolidated financial statements has been prepared pursuant to the rules and regulations of the Securities and Exchange Commission (the “SEC”). The accompanying financial statements include Consolidated Balance Sheets for the periods ended August 29, 2026, and August 30, 2025. The remaining financial statements include the fifty-two weeks ended August 29, 2026, the fifty-two weeks ended August 30, 2025, and the fifty-three weeks ended August 31, 2024.</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accounts and transactions have been eliminated. Unless the context otherwise requires, “we,” “us,” “our” and the “Company” refer to Simply Good Foods and its subsidiaries. In context, “Quest” may also refer to the Quest brand, “Atkins” may also refer to the Atkins brand, and “OWYN” may also refer to the OWYN brand. Atkins, Atkins Endulge, Quest, OWYN, and the Simply Good logo are either registered trademarks or trademarks of the Company’s wholly owned subsidiary Simply Good Foods USA, Inc. or one of its affiliates in the United States and elsewhere. All rights are reserved.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13, 2024, pursuant to the Purchase Agreement, the Company completed the OWYN Acquisition by acquiring 100% of the equity interests for a cash purchase price at closing of $281.9 million, subject to certain customary post-closing adjustments. The OWYN Acquisition was accounted for using the acquisition method of accounting prescribed by Accounting Standards Codification (“ASC”) Topic 805, Business Combinations (“ASC 805”), whereby the results of operations, including the revenues and earnings of OWYN, are included in the financial statements from the date of acquisition. Additionally, assets acquired and liabilities assumed were recognized at their fair values based on widely accepted valuation techniques in accordance with ASC Topic 820, Fair Value Measurements, as of the closing date. The process for estimating fair values requires the use of significant estimates, assumptions and judgments, including determining the timing and estimates of future cash flows and developing appropriate discount rates. ASC 805 establishes a measurement period to provide the Company with a</w:t>
      </w:r>
    </w:p>
    <w:p>
      <w:pPr>
        <w:sectPr>
          <w:pgSz w:w="11900" w:h="16838" w:orient="portrait"/>
          <w:cols w:equalWidth="0" w:num="1">
            <w:col w:w="11240"/>
          </w:cols>
          <w:pgMar w:left="320" w:top="121" w:right="339"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reasonable amount of time to obtain the information necessary to identify and measure various items in a business combination and cannot extend beyond one year from the acquisition date. The Company completed its final assessment of purchase price allocation for the OWYN Acquisition to the estimated fair value of the net assets acquired at the date of acquisition during the fourth quarter of fiscal year 2025. Measurement period adjustments were recognized in the reporting period in which the adjustments were determined and calculated as if the accounting had been completed at the acquisition date. Refer to Note 3, Business Combination, for additional information regarding measurement period adjustments.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Fair value represents the price that would be received to sell an asset or paid to transfer a liability in the principal or most advantageous market for the asset or liability in an orderly transaction between market participants at the measurement date. Assets and liabilities are valued based upon observable and non-observable inputs. Valuations using Level 1 inputs are based on unadjusted quoted prices that are available in active markets for the identical assets or liabilities at the measurement date. Level 2 inputs utilize significant other observable inputs available at the measurement date, other than quoted prices included in Level 1. Valuations using Level 3 inputs are based on significant unobservable inputs that cannot be corroborated by observable market data and require significant judgment. There were no significant transfers between levels during any period presented.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consists of cash on hand, deposits available on demand and other short-term, highly liquid investments with original maturities of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or 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and Expected Credit Losses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net </w:t>
      </w:r>
      <w:r>
        <w:rPr>
          <w:rFonts w:ascii="Times New Roman" w:cs="Times New Roman" w:eastAsia="Times New Roman" w:hAnsi="Times New Roman"/>
          <w:sz w:val="18"/>
          <w:szCs w:val="18"/>
          <w:color w:val="auto"/>
        </w:rPr>
        <w:t>consists primarily of trade receivables, net of allowances for doubtful accounts, returns, and trade promotions.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sells its products for cash or on credit terms, which are established in accordance with local and industry practices and typically require payment within 30 days of delivery and may allow discounts for early payment. The Company estimates its allowance for doubtful accounts and the related expected credit losses based upon the Company’s historical credit loss experience, adjusted for asset-specific risk characteristics, current economic conditions, and reasonable forecasts. Accounts receivable are written off when determined to be uncollectible.</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Charges related to credit losses (recoveries) on accounts receivable from transactions with external customers were approximately $0.4 million, $0.2 million, and $(0.1) million for the fifty-two weeks ended August 29, 2026, the fifty-two weeks ended August 30, 2025, and fifty-three weeks ended August 31, 2024, respectively. As of August 29, 2026, and August 30, 2025, the allowance for credit losses related to accounts receivable was $0.9 million and $0.9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net </w:t>
      </w:r>
      <w:r>
        <w:rPr>
          <w:rFonts w:ascii="Times New Roman" w:cs="Times New Roman" w:eastAsia="Times New Roman" w:hAnsi="Times New Roman"/>
          <w:sz w:val="18"/>
          <w:szCs w:val="18"/>
          <w:color w:val="auto"/>
        </w:rPr>
        <w:t>are valued at the lower of cost or net realizable value on a first-in, first-out basis, adjusted for the value of inventory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to be excess, obsolete, expired or unsaleable. Obsolete inventory is reserved at 50% for inventory four to six months from expiration, and 100% for items within three months of expiration. Reserves are also taken for certain products or packaging materials when it is determined their cost may not be recoverable.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Inventories, net, </w:t>
      </w:r>
      <w:r>
        <w:rPr>
          <w:rFonts w:ascii="Times New Roman" w:cs="Times New Roman" w:eastAsia="Times New Roman" w:hAnsi="Times New Roman"/>
          <w:sz w:val="18"/>
          <w:szCs w:val="18"/>
          <w:color w:val="auto"/>
        </w:rPr>
        <w:t>as presented with the Consolidated Balance Sheets, is summarized as follows:</w:t>
      </w:r>
    </w:p>
    <w:p>
      <w:pPr>
        <w:spacing w:after="0" w:line="351" w:lineRule="exact"/>
        <w:rPr>
          <w:sz w:val="20"/>
          <w:szCs w:val="20"/>
          <w:color w:val="auto"/>
        </w:rPr>
      </w:pPr>
    </w:p>
    <w:tbl>
      <w:tblPr>
        <w:tblLayout w:type="fixed"/>
        <w:tblInd w:w="2320" w:type="dxa"/>
        <w:tblCellMar>
          <w:top w:w="0" w:type="dxa"/>
          <w:left w:w="0" w:type="dxa"/>
          <w:bottom w:w="0" w:type="dxa"/>
          <w:right w:w="0" w:type="dxa"/>
        </w:tblCellMar>
      </w:tblPr>
      <w:tr>
        <w:trPr>
          <w:trHeight w:val="215"/>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29, 2026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30, 2025</w:t>
            </w:r>
          </w:p>
        </w:tc>
      </w:tr>
      <w:tr>
        <w:trPr>
          <w:trHeight w:val="25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119,112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157,294</w:t>
            </w:r>
          </w:p>
        </w:tc>
      </w:tr>
      <w:tr>
        <w:trPr>
          <w:trHeight w:val="267"/>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14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12,137</w:t>
            </w:r>
          </w:p>
        </w:tc>
      </w:tr>
      <w:tr>
        <w:trPr>
          <w:trHeight w:val="27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Reserve for obsolete inventory</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w:t>
            </w:r>
          </w:p>
        </w:tc>
      </w:tr>
      <w:tr>
        <w:trPr>
          <w:trHeight w:val="226"/>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inventories,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132,458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167,217</w:t>
            </w: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net </w:t>
      </w:r>
      <w:r>
        <w:rPr>
          <w:rFonts w:ascii="Times New Roman" w:cs="Times New Roman" w:eastAsia="Times New Roman" w:hAnsi="Times New Roman"/>
          <w:sz w:val="18"/>
          <w:szCs w:val="18"/>
          <w:color w:val="auto"/>
        </w:rPr>
        <w:t>is stated at the allocated fair value for acquired assets. Additions to property and equipment are recorded at cost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depreciated on a straight-line basis over their estimated useful lives. The general ranges of estimated useful lives are:</w:t>
      </w:r>
    </w:p>
    <w:p>
      <w:pPr>
        <w:spacing w:after="0" w:line="232" w:lineRule="exact"/>
        <w:rPr>
          <w:sz w:val="20"/>
          <w:szCs w:val="20"/>
          <w:color w:val="auto"/>
        </w:rPr>
      </w:pPr>
    </w:p>
    <w:tbl>
      <w:tblPr>
        <w:tblLayout w:type="fixed"/>
        <w:tblInd w:w="2660" w:type="dxa"/>
        <w:tblCellMar>
          <w:top w:w="0" w:type="dxa"/>
          <w:left w:w="0" w:type="dxa"/>
          <w:bottom w:w="0" w:type="dxa"/>
          <w:right w:w="0" w:type="dxa"/>
        </w:tblCellMar>
      </w:tblPr>
      <w:tr>
        <w:trPr>
          <w:trHeight w:val="27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4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7 years</w:t>
            </w:r>
          </w:p>
        </w:tc>
      </w:tr>
      <w:tr>
        <w:trPr>
          <w:trHeight w:val="267"/>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 software and website development costs</w:t>
            </w:r>
          </w:p>
        </w:tc>
        <w:tc>
          <w:tcPr>
            <w:tcW w:w="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5 years</w:t>
            </w:r>
          </w:p>
        </w:tc>
      </w:tr>
      <w:tr>
        <w:trPr>
          <w:trHeight w:val="27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7 years</w:t>
            </w:r>
          </w:p>
        </w:tc>
      </w:tr>
      <w:tr>
        <w:trPr>
          <w:trHeight w:val="264"/>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Office equipment</w:t>
            </w:r>
          </w:p>
        </w:tc>
        <w:tc>
          <w:tcPr>
            <w:tcW w:w="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5 years</w:t>
            </w:r>
          </w:p>
        </w:tc>
      </w:tr>
    </w:tbl>
    <w:p>
      <w:pPr>
        <w:spacing w:after="0" w:line="3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Leasehold improvements are amortized over the shorter of the remaining term of the lease or the useful life of the improvement utilizing the straight-line method.</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performs impairment tests for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xml:space="preserve"> when circumstances indicate that the carrying value of the asset may not be recoverable. In the fifty-two weeks ended August 29, 2026, in conjunction with the restructuring activities as described in Note 16, Restructuring and Other, the Company identified that the carrying values of various assets utilized at our contract manufacturing facilities may not be recoverable. Based on the Company’s evaluation of these assets, we determined the carrying values were greater than their fair values, resulting in an impairment of $2.6 million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in the Consolidated Statements of Income and Comprehensive Income (Loss) for the fifty-two weeks ended August 29, 2026. There were no indicators of impairment in the fifty-two weeks ended August 30, 2025 or fifty-three weeks ended August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Net</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Intangible assets, net </w:t>
      </w:r>
      <w:r>
        <w:rPr>
          <w:rFonts w:ascii="Times New Roman" w:cs="Times New Roman" w:eastAsia="Times New Roman" w:hAnsi="Times New Roman"/>
          <w:sz w:val="18"/>
          <w:szCs w:val="18"/>
          <w:color w:val="auto"/>
        </w:rPr>
        <w:t>result primarily from the consummation of the business combination between Conyers Park Acquisition Corp.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NCP-ATK Holdings, Inc. on July 7, 2017, which created the Company, and the acquisitions of Quest and OWYN.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primarily include brands and trademarks with indefinite lives and customer-related relationships with finite lives. Upon acquisition, the purchase price is first allocated to identifiable assets and liabilities, including customer-related intangible assets and trademarks, with any remaining purchase price recorded as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instead are tested for impairment at least annually, or more frequently if indicators of impairment exist. The Company conducts its annual impairment tests at the beginning of the fourth fiscal quarter. Goodwill and indefinite-lived intangible assets are assessed using either a qualitative or quantitative approach to determine whether it is more likely than not that the fair value of a reporting unit or an indefinite-lived intangible asset is less than its carrying amount. The qualitative assessment evaluates factors including macro-economic conditions, industry-specific and company-specific considerations, legal and regulatory environments, and historical performance. If the Company determines that it is more likely than not that the fair value of a reporting unit or an indefinite-lived intangible asset is less than its carrying value, a quantitative assessment is performed. Otherwise, no further assessment is required. The quantitative approach compares the estimated fair value of the reporting unit, including goodwill, or the indefinite-lived intangible asset to its carrying amount. The material inputs and assumptions underlying the quantitative assessments of goodwill and intangible impairment are based on operational forecasts derived from expectations of future operating performance, which require considerable management judgment regarding matters that are uncertain and susceptible to change. Determining the estimated fair value requires multiple Level 3 inputs based on data available at the time of the quantitative assessment including, but not limited to, future revenue projections, discount rates, and royalty rates. Impairment is indicated if the estimated fair value of the reporting unit or indefinite-lived intangible asset is less than the carrying amount, and an impairment charge is recognized for the differential.</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Finite-lived intangible assets are amortized on a straight-line basis over their estimated useful lives. The Company reviews for impairment indicators of finite-lived intangibles and other long-lived assets as described in the “Property and Equipment, Net” significant accounting policy.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sustained decline in the Company’s stock price and declines in the Company’s market capitalization assessed during the third quarter of fiscal year 2026, the Company identified a triggering event indicating that it was more likely than not that the fair value of the goodwill reporting unit was less than its carrying amount. The Company conducted a quantitative interim goodwill assessment as of the last day of its third quarter, utilizing a weighted combination of the discounted cash flow method under the income approach and the guideline public company method under the market approach to estimate the fair value of the equity of the Company. Based on testing, the carrying value was greater than its fair value, resulting in an impairment of $38.0 million related to goodwill for the fifty-two weeks ended August 29, 2026.</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declines of net sales and future revenue projections assessed during the second quarter of fiscal year 2026, the Company identified a triggering event indicating that it was more likely than not that the fair value of both the OWYN and Atkins brands and trademarks indefinite-lived intangible assets were less than their respective carrying amounts. The Company conducted a quantitative assessment as of the last day of its second quarter, utilizing the relief from royalty methodology under the income approach to estimate the fair</w:t>
      </w:r>
    </w:p>
    <w:p>
      <w:pPr>
        <w:sectPr>
          <w:pgSz w:w="11900" w:h="16838" w:orient="portrait"/>
          <w:cols w:equalWidth="0" w:num="1">
            <w:col w:w="11240"/>
          </w:cols>
          <w:pgMar w:left="320" w:top="121" w:right="339" w:bottom="1440" w:gutter="0" w:footer="0" w:header="0"/>
        </w:sect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value of the intangible assets. Based on testing, the respective assets’ carrying values exceeded their fair values, resulting in a loss on impairment for OWYN and for Atkins.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sustained decline in the Company’s stock price and declines in the Company’s market capitalization assessed during the third quarter of fiscal year 2026, the Company identified a triggering event indicating that it was more likely than not that the fair value of both the OWYN and Atkins brands and trademarks indefinite-lived intangible assets were less than their respective carrying amounts. The Company conducted a quantitative assessment as of the last day of its third quarter, utilizing the relief from royalty methodology under the income approach to estimate the fair value of the intangible assets. Based on testing, the respective assets’ carrying values exceeded their fair values, resulting in a loss on impairment for OWYN and for Atkins. In addition, the Company included the Quest brand and trademark indefinite-lived intangible asset within the quantitative assessment, utilizing the relief from royalty methodology under the income approach to estimate the fair value of the intangible asset. Based on testing, Quest’s fair value exceeded its carrying value, resulting in no impairment.</w:t>
      </w:r>
    </w:p>
    <w:p>
      <w:pPr>
        <w:spacing w:after="0" w:line="20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fifty-two weeks ended August 29, 2026, the Company recorded a loss on impairment of $200.0 million and $93.0 million for the OWYN and Atkins brand indefinite-lived intangible assets, respectively. During the fifty-two weeks ended August 30, 2025, the Company recorded a loss on impairment of $60.9 million for the Atkins brand indefinite-lived intangible asset and the licensing agreements finite-lived intangible asset.</w:t>
      </w:r>
    </w:p>
    <w:p>
      <w:pPr>
        <w:spacing w:after="0" w:line="2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qualitative impairment assessment of goodwill and its indefinite-lived and finite-lived intangible assets as of the first day of the fourth quarter of fiscal year 2026, which did not identify any incremental indicators of impairment from its previously performed quantitative assessment as of the last day of its third quarter. It was determined that it was more likely than not that goodwill and each indefinite-lived intangible asset had fair values in excess of or equal to their carrying values and its finite-lived intangible assets did not indicate that their carrying amounts may not be recoverable.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the estimates and assumptions utilized in our impairment assessments are reasonable and are comparable to those that would be used by other marketplace participants. However, actual events and results could differ substantially from those utilized in our valuations. Significant declines of future revenue projections or changes of other assumptions used in estimating fair values versus those utilized at the time of the initial valuations could result in further impairment charges that could materially affect the consolidated financial statements. Refer to Note 5, Goodwill and Intangibles, for additional information regarding the Company’s reporting units and impairment assessments.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 and Debt Discounts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Costs incurred in obtaining long-term financing paid to parties other than creditors are considered a deferred financing cost, which are presented net against </w:t>
      </w:r>
      <w:r>
        <w:rPr>
          <w:rFonts w:ascii="Times New Roman" w:cs="Times New Roman" w:eastAsia="Times New Roman" w:hAnsi="Times New Roman"/>
          <w:sz w:val="18"/>
          <w:szCs w:val="18"/>
          <w:i w:val="1"/>
          <w:iCs w:val="1"/>
          <w:color w:val="auto"/>
        </w:rPr>
        <w:t>Long-term debt, less current maturities</w:t>
      </w:r>
      <w:r>
        <w:rPr>
          <w:rFonts w:ascii="Times New Roman" w:cs="Times New Roman" w:eastAsia="Times New Roman" w:hAnsi="Times New Roman"/>
          <w:sz w:val="18"/>
          <w:szCs w:val="18"/>
          <w:color w:val="auto"/>
        </w:rPr>
        <w:t xml:space="preserve"> on the balance sheet, and are amortized over the terms of the long-term financing agreements using the effective-interest method. Amounts paid to creditors are recorded as a reduction in the proceeds received by the creditor and are considered a discount on the issuance of debt.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Income taxes include federal, state and foreign taxes currently payable, and deferred taxes arising from temporary differences between income for financial reporting and income tax purposes. Deferred tax assets and liabilities are determined based on the differences between the financial statement balances and the tax basis of assets and liabilities using enacted tax rates in effect for the year in which the differences are expected to reverse. The effect on deferred tax assets and liabilities of a change in tax rates is recognized in income in the fiscal year that includes the enactment date. Valuation allowances are established when necessary to reduce deferred tax assets to amounts expected to be realized.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Contracts are evaluated to determine whether they contain a lease at inception. Leases are classified as either finance leases or operating leases based on criteria in ASC Topic 842, Leases. The Company’s operating leases are generally comprised of real estate and certain equipment used in warehousing products. The Company’s finance leases are generally comprised of warehouse equipment.</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Right-of-use assets and lease liabilities are recognized at the lease commencement date based on the present value of lease payments over the lease term. The majority of the Company’s leases do not provide an implicit rate; therefore, the Company uses its secured incremental borrowing rate based on the information available at the lease commencement date in determining the present value of future payments for those leases. The Company’s incremental borrowing rate for a lease is the rate of interest it would pay to borrow on a collateralized basis over a similar term to the lease in a similar economic environment. The Company applied incremental borrowing rates using a portfolio approach. Right-of-use assets also include any lease payments made and exclude lease incentives. Lease terms may include options to extend or terminate the lease when it is reasonably certain that the Company will exercise that option. The Company has elected not to recognize right-of-use assets and lease liabilities for short-term operating leases that have a term of one year or less.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monitors for triggering events or conditions that require a reassessment of its leases. When the reassessment requires a</w:t>
      </w:r>
    </w:p>
    <w:p>
      <w:pPr>
        <w:sectPr>
          <w:pgSz w:w="11900" w:h="16838" w:orient="portrait"/>
          <w:cols w:equalWidth="0" w:num="1">
            <w:col w:w="11240"/>
          </w:cols>
          <w:pgMar w:left="320" w:top="121"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re-measurement of the lease liability, a corresponding adjustment is made to the carrying amount of the right-of-use asset. Additionally, the Company reviewed for impairment indicators of its right-of-use assets and other long-lived assets as described in the “Property and Equipment, Net” significant accounting policy.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performance obligations under the terms of a contract with its customer are satisfied. The Company has determined that fulfilling and delivering products is a single performance obligation. Revenue is recognized at the point in time when the Company has satisfied its performance obligation and the customer has obtained control of the products. This generally occurs when the product is delivered to or picked up by the customer based on applicable shipping terms, which is typically within 30 days.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is measured as the amount of consideration expected to be received in exchange for fulfilled product orders, including estimates of variable consideration. The most common forms of variable consideration include trade promotions, such as consumer incentives, coupon redemptions and other marketing activities, allowances for unsaleable product, and any additional amounts where a distinct good or service cannot be identified or the value cannot be reasonably estimated. Trade promotions are recorded as a reduction to net sales with a corresponding reduction to accounts receivable at the time of revenue recognition for the underlying sale. The recognition of trade promotions requires management to make estimates regarding the volume of incentive that will be redeemed and their total cost. As of August 29, 2026, and August 30, 2025, the allowance for trade promotions was $40.2 million and $37.8 million, respectively.</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Estimates of variable consideration are made using various information including historical data on performance of similar trade promotional activities, market data from Circana, and the Company’s best estimate of current activity. The Company reviews these estimates regularly and makes revisions as necessary. Revisions can include changes for consideration paid to customers that lack sufficient evidence to support a distinct good or service assertion, or for which a reasonably estimable fair value cannot be determined, primarily related to the Company’s assessments of cooperative advertising programs. Uncertainties related to the estimate of variable consideration are resolved in a short time frame and do not require any additional constraint on variable consideration. Adjustments to variable consideration are recognized in the period the adjustments are identified and have historically been insignificant. Revenue is recognized net of any taxes collected from customers and subsequently remitted to governmental authorities.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standard assurance type warranties that its products will comply with all agreed-upon specifications. No services beyond an assurance type warranty are provided to customers. While customers generally have a right to return defective or non-conforming products, past experience has demonstrated that product returns have been immaterial. Customer remedies for defective or non-conforming products may include a refund or exchange. As a result, the right of return is estimated and recorded as a reduction in revenue at the time of sale, if necessary.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Company’s customer contracts identify product quantity, price and payment terms. Payment terms are granted consistent with industry standards. Although some payment terms may be more extended, the majority of the Company’s payment terms are less than 60 days. As a result, revenue is not adjusted for the effects of a significant financing component. Amounts billed and due from customers are classified as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on the Consolidated Balance Sheets.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utilizes third-party contract manufacturers for the manufacture of its products. The Company has evaluated whether it is the principal or agent in these relationships. The Company has determined that it is the principal in all cases, as it retains the responsibility for fulfillment and risk of loss, as well as establishes the price.</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Topic 606, Revenue from Contracts with Customers, the Company has elected the practical expedient to expense the incremental costs to obtain a contract, because the amortization period would be less than one year, and the practical expedient for shipping and handling costs. Shipping and handling costs incurred to deliver products to customers are accounted for as fulfillment activities, rather than a promised service, and as such are included 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the Consolidated Statements of Income and Comprehensive Income (Loss).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from transactions with external customers for each of the Company’s products would be impracticable to disclose and management does not view its business by product line. For revenue disaggregated by geographic area and brand refer to Note 15, Segment and Customer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goods sold represents costs directly related to the manufacture and distribution of the Company’s products. Such costs include raw materials, co-manufacturing costs, packaging, shipping and handling, third-party distribution, and depreciation of distribution center equipment and leasehold improvements.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Shipping and handling costs include costs paid to third-party warehouse operators associated with delivering product to customers and depreciation and amortization of company-owned assets at the third-party warehouse. Shipping and handling costs are recognized 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Costs relating to products shipped to customers were $101.8 million, $103.4 million, and $93.5 million for the fifty-two weeks ended August 29, 2026, the fifty-two weeks ended August 30, 2025, and fifty-three weeks ended August 31, 2024,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Production costs related to commercials are expensed when first aired. All other advertising costs are expensed when incurred or when the advertising service is received through </w:t>
      </w: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Total advertising costs were $62.0 million, $76.1 million, and $103.0 million for the fifty-two weeks ended August 29, 2026, the fifty-two weeks ended August 30, 2025, and the fifty-three weeks ended August 31, 2024, respectively.</w:t>
      </w:r>
    </w:p>
    <w:p>
      <w:pPr>
        <w:spacing w:after="0" w:line="20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Production costs related to commercials not yet aired and prepaid advertising services not yet received are included in </w:t>
      </w:r>
      <w:r>
        <w:rPr>
          <w:rFonts w:ascii="Times New Roman" w:cs="Times New Roman" w:eastAsia="Times New Roman" w:hAnsi="Times New Roman"/>
          <w:sz w:val="18"/>
          <w:szCs w:val="18"/>
          <w:i w:val="1"/>
          <w:iCs w:val="1"/>
          <w:color w:val="auto"/>
        </w:rPr>
        <w:t>Prepaid expenses</w:t>
      </w:r>
      <w:r>
        <w:rPr>
          <w:rFonts w:ascii="Times New Roman" w:cs="Times New Roman" w:eastAsia="Times New Roman" w:hAnsi="Times New Roman"/>
          <w:sz w:val="18"/>
          <w:szCs w:val="18"/>
          <w:color w:val="auto"/>
        </w:rPr>
        <w:t xml:space="preserve"> in the accompanying Consolidated Balance Sheets. As of August 29, 2026, and August 30, 2025, total prepaid advertising expenses were $3.4 million and $3.0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Activities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Company’s research and development activities primarily consist of generating and testing new product concepts, new flavors and packaging. The Company expenses research and development costs as incurred related to compensation, facility costs, consulting, and supplies. Research and development activities are primarily internal and associated costs are included 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The Company’s total research and development expenses were $5.9 million, $5.5 million, and $5.4 million for the fifty-two weeks ended August 29, 2026, the fifty-two weeks ended August 30, 2025, and the fifty-three weeks ended August 31, 2024,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uses share-based compensation, including stock options, restricted stock units, performance stock units, and stock appreciation rights, to provide long-term performance incentives for its employees, directors, and consultants. Share-based compensation is recognized on a straight-line basis over the requisite service period of the award based on their grant-date fair value. Forfeitures are recognized as they occur. Employee related Share-based compensation expense is included 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while Share-based compensation expense related to non-employee consultants of the Company is recorded in </w:t>
      </w:r>
      <w:r>
        <w:rPr>
          <w:rFonts w:ascii="Times New Roman" w:cs="Times New Roman" w:eastAsia="Times New Roman" w:hAnsi="Times New Roman"/>
          <w:sz w:val="18"/>
          <w:szCs w:val="18"/>
          <w:i w:val="1"/>
          <w:iCs w:val="1"/>
          <w:color w:val="auto"/>
        </w:rPr>
        <w:t>Selling and marketing.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sponsors defined contribution plans to provide retirement benefits to its employees. The Company’s 401(k) plan and similar plans for non-domestic employees are based on a portion of eligible pay up to a defined maximum. All matching contributions are made in cash. Expense associated with defined contribution plans was $1.8 million, $1.6 million, and $1.6 million for the fifty-two weeks ended August 29, 2026, the fifty-two weeks ended August 30, 2025, and the fifty-three weeks ended August 31, 2024,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all foreign operations, the functional currency is the local currency. Assets and liabilities of these operations are translated into U.S. dollars using the exchange rate in effect at the end of each reporting period. Income statement accounts are translated at the average exchange rate prevailing during each reporting period. Translation adjustments are recorded as a component of </w:t>
      </w:r>
      <w:r>
        <w:rPr>
          <w:rFonts w:ascii="Times New Roman" w:cs="Times New Roman" w:eastAsia="Times New Roman" w:hAnsi="Times New Roman"/>
          <w:sz w:val="18"/>
          <w:szCs w:val="18"/>
          <w:i w:val="1"/>
          <w:iCs w:val="1"/>
          <w:color w:val="auto"/>
        </w:rPr>
        <w:t>Other comprehensive income</w:t>
      </w:r>
      <w:r>
        <w:rPr>
          <w:rFonts w:ascii="Times New Roman" w:cs="Times New Roman" w:eastAsia="Times New Roman" w:hAnsi="Times New Roman"/>
          <w:sz w:val="18"/>
          <w:szCs w:val="18"/>
          <w:color w:val="auto"/>
        </w:rPr>
        <w:t xml:space="preserve">. Gains or losses resulting from transactions in foreign currencies are included in </w:t>
      </w:r>
      <w:r>
        <w:rPr>
          <w:rFonts w:ascii="Times New Roman" w:cs="Times New Roman" w:eastAsia="Times New Roman" w:hAnsi="Times New Roman"/>
          <w:sz w:val="18"/>
          <w:szCs w:val="18"/>
          <w:i w:val="1"/>
          <w:iCs w:val="1"/>
          <w:color w:val="auto"/>
        </w:rPr>
        <w:t>Other income (expense)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(“ASU 2024-03”), which will improve the disclosures about a public business entity’s expenses and address requests from investors for more detailed information about the types of expenses in commonly presented expense captions such as cost of sales, SG&amp;A, and R&amp;D. The amendments are effective for fiscal years beginning after December 15, 2026, and for interim periods within fiscal years beginning after December 15, 2027. Early adoption is permitted for annual financial statements that have not yet been issued or made available. The amendments should be applied on either (1) prospectively to financial statements issued for reporting periods after the effective date or (2) retrospectively to any or all prior periods presented in the</w:t>
      </w:r>
    </w:p>
    <w:p>
      <w:pPr>
        <w:sectPr>
          <w:pgSz w:w="11900" w:h="16838" w:orient="portrait"/>
          <w:cols w:equalWidth="0" w:num="1">
            <w:col w:w="11240"/>
          </w:cols>
          <w:pgMar w:left="320" w:top="121" w:right="33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The Company is currently evaluating the provisions of the amendments and the effect on its future consolidated financial statements.</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 Use Software (“ASU 2025-06”), which will improve disclosures surrounding internal-use software and the timing of capitalization when companies use the incremental and iterative development method. The amendments are effective for fiscal years beginning after December 15, 2027, and for interim periods within those fiscal years. Early adoption is permitted. The amendments should be applied on either (1) through a prospective transition approach, (2) a retrospective transition approach or (3) a modified transition approach that is based on the status of the project and whether software costs were capitalized before the date of adoption. The Company is currently evaluating the provisions of the amendments and the effect on its future consolidated financial statements.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Narrow-Scope Improvements (“ASU 2025-11”), which improves the navigability of required interim disclosures, clarifies interim disclosure requirements, and requires entities to disclose events since the end of the last annual reporting period that have had a material effect on the entity. The amendments are effective for interim periods within annual reporting periods beginning after December 15, 2027. Early adoption is permitted. The amendments can be applied either (1) prospectively, or (2) retrospectively to any or all periods presented in the financial statements. The Company is currently evaluating the provisions of the amendments and the effect on its future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updates disclosures required in the footnotes to the financial statements to further aid investors in understanding how to analyze income tax reporting. The amendments are effective for fiscal years beginning after December 15, 2024. Early adoption is permitted for annual financial statements that have not yet been issued or made available. The amendments should be applied on a prospective basis; however, retrospective application is permitted. The Company adopted this ASU prospectively as of the fourth quarter of fiscal year 2026. The adoption of this ASU did not have a material effect on the consolidated financial statements. Refer to Note 9, Income Taxes, for additional information regarding the Company’s income taxes.</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during the fiscal year had or is expected to have a material effect on the Company’s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29, 2024, the Company’s wholly owned subsidiary, Simply Good Foods USA, Inc., entered into a Purchase Agreement to acquire OWYN, a plant-based protein food company, for approximately $280.0 million. On June 13, 2024, pursuant to the Purchase Agreement, the Company completed the OWYN Acquisition by acquiring 100% of the equity interests for a cash purchase price at closing of $281.9 million, subject to certain customary post-closing adjustments. We acquired OWYN as a part of our vision to lead the nutritious snacking movement with trusted brands that offer a variety of convenient, innovative, great-tasting, better-for-you snacks and meal replacements that will now offer plant-based products to a wider market of consumers.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OWYN Acquisition was funded through a combination of incremental borrowings under our outstanding Term Facility, as defined below, totaling $250.0 million and cash on hand. In the second fiscal quarter of 2025, the Company received a post-closing release from escrow of approximately $1.7 million related to net working capital adjustments, resulting in a total net consideration paid of $280.2 million. Business transaction costs within the Consolidated Statements of Income and Comprehensive Income (Loss) for the fifty-two weeks ended August 30, 2025, were $0.8 million, which consisted of legal, accounting, and other costs. Business transaction costs within the Consolidated Statements of Income and Comprehensive Income (Loss) for the fifty-three weeks ended August 31, 2024, were $14.5 million, inclusive of $5.7 million of transaction advisory fees related to the OWYN Acquisition, $3.4 million of non-deferrable third-party financing costs incurred in connection with the 2024 Incremental Facility Amendment to the Credit Agreement, and $5.4 million of legal, due diligence, accounting, and other costs.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OWYN Acquisition was accounted for as a business combination under ASC 805, Business Combinations (“ASC 805”), which requires, among other things, assets acquired and liabilities assumed to be measured at their acquisition date fair value. The following table sets forth the final purchase price allocation, completed in the fourth fiscal quarter of 2025, of the OWYN Acquisition to the estimated fair value of the total assets acquired and liabilities assumed at the date of the Acquisition, in thousands.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final June 13, 2024, fair value is as follows:</w:t>
      </w:r>
    </w:p>
    <w:p>
      <w:pPr>
        <w:spacing w:after="0" w:line="351" w:lineRule="exact"/>
        <w:rPr>
          <w:sz w:val="20"/>
          <w:szCs w:val="20"/>
          <w:color w:val="auto"/>
        </w:rPr>
      </w:pPr>
    </w:p>
    <w:tbl>
      <w:tblPr>
        <w:tblLayout w:type="fixed"/>
        <w:tblInd w:w="940" w:type="dxa"/>
        <w:tblCellMar>
          <w:top w:w="0" w:type="dxa"/>
          <w:left w:w="0" w:type="dxa"/>
          <w:bottom w:w="0" w:type="dxa"/>
          <w:right w:w="0" w:type="dxa"/>
        </w:tblCellMar>
      </w:tblP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w:t>
            </w:r>
          </w:p>
        </w:tc>
      </w:tr>
      <w:tr>
        <w:trPr>
          <w:trHeight w:val="26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14,214</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r>
              <w:rPr>
                <w:rFonts w:ascii="Times New Roman" w:cs="Times New Roman" w:eastAsia="Times New Roman" w:hAnsi="Times New Roman"/>
                <w:sz w:val="21"/>
                <w:szCs w:val="21"/>
                <w:color w:val="auto"/>
                <w:vertAlign w:val="superscript"/>
              </w:rPr>
              <w:t>(1)</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38,955</w:t>
            </w:r>
          </w:p>
        </w:tc>
      </w:tr>
      <w:tr>
        <w:trPr>
          <w:trHeight w:val="26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assets</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r>
              <w:rPr>
                <w:rFonts w:ascii="Times New Roman" w:cs="Times New Roman" w:eastAsia="Times New Roman" w:hAnsi="Times New Roman"/>
                <w:sz w:val="21"/>
                <w:szCs w:val="21"/>
                <w:color w:val="auto"/>
                <w:vertAlign w:val="superscript"/>
              </w:rPr>
              <w:t>(2)</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243,626</w:t>
            </w:r>
          </w:p>
        </w:tc>
      </w:tr>
      <w:tr>
        <w:trPr>
          <w:trHeight w:val="27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assets</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6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assumed:</w:t>
            </w: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20,378</w:t>
            </w:r>
          </w:p>
        </w:tc>
      </w:tr>
      <w:tr>
        <w:trPr>
          <w:trHeight w:val="26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liability</w:t>
            </w:r>
            <w:r>
              <w:rPr>
                <w:rFonts w:ascii="Times New Roman" w:cs="Times New Roman" w:eastAsia="Times New Roman" w:hAnsi="Times New Roman"/>
                <w:sz w:val="21"/>
                <w:szCs w:val="21"/>
                <w:color w:val="auto"/>
                <w:vertAlign w:val="superscript"/>
              </w:rPr>
              <w:t>(3)</w:t>
            </w:r>
          </w:p>
        </w:tc>
        <w:tc>
          <w:tcPr>
            <w:tcW w:w="5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41,513</w:t>
            </w:r>
          </w:p>
        </w:tc>
      </w:tr>
      <w:tr>
        <w:trPr>
          <w:trHeight w:val="24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233,332</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r>
              <w:rPr>
                <w:rFonts w:ascii="Times New Roman" w:cs="Times New Roman" w:eastAsia="Times New Roman" w:hAnsi="Times New Roman"/>
                <w:sz w:val="21"/>
                <w:szCs w:val="21"/>
                <w:color w:val="auto"/>
                <w:vertAlign w:val="superscript"/>
              </w:rPr>
              <w:t>(4)</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46,840</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 and liabilities assumed</w:t>
            </w:r>
          </w:p>
        </w:tc>
        <w:tc>
          <w:tcPr>
            <w:tcW w:w="5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280,172</w:t>
            </w:r>
          </w:p>
        </w:tc>
      </w:tr>
      <w:tr>
        <w:trPr>
          <w:trHeight w:val="20"/>
        </w:trPr>
        <w:tc>
          <w:tcPr>
            <w:tcW w:w="8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hanging="332"/>
        <w:spacing w:after="0" w:line="280" w:lineRule="auto"/>
        <w:tabs>
          <w:tab w:leader="none" w:pos="35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Inventory was estimated using the comparative sales method, which quantifies the fair value of inventory based on the expected sales price of the subject inventory, reduced for: (i) all costs expected to be incurred in its completion/disposition efforts and (ii) a profit on those costs.</w:t>
      </w:r>
    </w:p>
    <w:p>
      <w:pPr>
        <w:spacing w:after="0" w:line="191"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5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were recorded at fair value consistent with ASC 820 as a result of the OWYN Acquisition. Intangible assets consist of $223.0 million of brand and $20.5 million of customer relationships. The useful lives of the intangible assets are disclosed in Note 5 of the Consolidated Financial Statements. The fair value measurement of the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and market comparable data and companies.</w:t>
      </w:r>
    </w:p>
    <w:p>
      <w:pPr>
        <w:spacing w:after="0" w:line="206" w:lineRule="exact"/>
        <w:rPr>
          <w:rFonts w:ascii="Times New Roman" w:cs="Times New Roman" w:eastAsia="Times New Roman" w:hAnsi="Times New Roman"/>
          <w:sz w:val="16"/>
          <w:szCs w:val="16"/>
          <w:color w:val="auto"/>
        </w:rPr>
      </w:pPr>
    </w:p>
    <w:p>
      <w:pPr>
        <w:ind w:left="34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indefinite-lived brand asset was estimated using the multi-period excess earnings method of the income approach, wherein the net earnings attributable to the asset are isolated from other “contributory assets” in order to estimate the cash flows solely attributable to the asset over its remaining economic life.</w:t>
      </w:r>
    </w:p>
    <w:p>
      <w:pPr>
        <w:spacing w:after="0" w:line="177" w:lineRule="exact"/>
        <w:rPr>
          <w:rFonts w:ascii="Times New Roman" w:cs="Times New Roman" w:eastAsia="Times New Roman" w:hAnsi="Times New Roman"/>
          <w:sz w:val="16"/>
          <w:szCs w:val="16"/>
          <w:color w:val="auto"/>
        </w:rPr>
      </w:pPr>
    </w:p>
    <w:p>
      <w:pPr>
        <w:jc w:val="both"/>
        <w:ind w:left="34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customer relationship intangible asset was estimated using the with/without method of the income approach, wherein the value is estimated by comparing the overall business cash flows with the customer relationships in place to the cash flows in a hypothetical scenario where the customer relationships are not in place. The significant assumptions used in estimating the fair value under the with/without method include the time to recreate the asset, profitability under both scenarios, and the estimated discount rate.</w:t>
      </w:r>
    </w:p>
    <w:p>
      <w:pPr>
        <w:spacing w:after="0" w:line="21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as a result of the fair value attributable to the identifiable intangible assets, the deferred income tax liability was $41.5 million.</w:t>
      </w:r>
    </w:p>
    <w:p>
      <w:pPr>
        <w:spacing w:after="0" w:line="248"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5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was recorded at fair value consistent with ASC 820 as a result of the OWYN Acquisition. Amounts recorded for goodwill created in an acquisition structured as a stock purchase for tax are generally not expected to be deductible for tax purposes. As such, the acquired goodwill is not expected to be deductible for tax purposes. Goodwill represents the future economic benefits arising from other assets acquired that could not be individually identified and separately recognized.</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Measurement period adjustments are recognized in the reporting period in which the adjustments are determined and calculated as if the accounting had been completed at the acquisition date. In the second fiscal quarter of 2025, a measurement period adjustment of $1.7 million was recorded to goodwill. The final fair value determination of the assets acquired and liabilities assumed was completed prior to one year from the transaction completion, consistent with ASC 805.</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results of OWYN’s operations have been included in the Simply Good Foods’ Consolidated Financial Statements since June 13, 2024, the acquisition date. The Company has not disclosed earnings from the acquired OWYN business as they are immaterial. The following table provides net sales from the acquired OWYN business included in the Company’s results:</w:t>
      </w:r>
    </w:p>
    <w:p>
      <w:pPr>
        <w:spacing w:after="0" w:line="140" w:lineRule="exact"/>
        <w:rPr>
          <w:sz w:val="20"/>
          <w:szCs w:val="20"/>
          <w:color w:val="auto"/>
        </w:rPr>
      </w:pPr>
    </w:p>
    <w:tbl>
      <w:tblPr>
        <w:tblLayout w:type="fixed"/>
        <w:tblInd w:w="300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53-Weeks Ended</w:t>
            </w:r>
          </w:p>
        </w:tc>
      </w:tr>
      <w:tr>
        <w:trPr>
          <w:trHeight w:val="27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August 31, 2024</w:t>
            </w:r>
          </w:p>
        </w:tc>
      </w:tr>
      <w:tr>
        <w:trPr>
          <w:trHeight w:val="25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29,213</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Pro Forma Financial Information</w:t>
      </w:r>
    </w:p>
    <w:p>
      <w:pPr>
        <w:spacing w:after="0" w:line="2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 forma financial information is not intended to represent or be indicative of the actual results of operations of the combined business that would have been reported had the OWYN Acquisition been completed at the beginning of the fiscal year 2023, nor is it representative of future operating results of the Company.</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unaudited pro forma combined financial information is prepared based on ASC 805 period end guidance. The Company and the legacy OWYN entity have different fiscal year ends, with Simply Good Foods’ fiscal year being the last Saturday of August while the legacy OWYN business fiscal year end was December 31. Because the year ends differ by more than 93 days, OWYN’s financial information is required to be adjusted to a period within 93 days of Simply Good Foods’ fiscal period end. In addition to these period end adjustments, the pro forma results include certain nonrecurring adjustments that were directly related to the business combination, including business transaction costs, as disclosed above.</w:t>
      </w:r>
    </w:p>
    <w:p>
      <w:pPr>
        <w:spacing w:after="0" w:line="21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combined financial information presents combined results of the Company assuming the OWYN Acquisition occurred at the beginning of fiscal year 2023:</w:t>
      </w:r>
    </w:p>
    <w:p>
      <w:pPr>
        <w:spacing w:after="0" w:line="274" w:lineRule="exact"/>
        <w:rPr>
          <w:sz w:val="20"/>
          <w:szCs w:val="20"/>
          <w:color w:val="auto"/>
        </w:rPr>
      </w:pPr>
    </w:p>
    <w:tbl>
      <w:tblPr>
        <w:tblLayout w:type="fixed"/>
        <w:tblInd w:w="300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53-Weeks Ended</w:t>
            </w:r>
          </w:p>
        </w:tc>
      </w:tr>
      <w:tr>
        <w:trPr>
          <w:trHeight w:val="229"/>
        </w:trPr>
        <w:tc>
          <w:tcPr>
            <w:tcW w:w="22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60" w:type="dxa"/>
            <w:vAlign w:val="bottom"/>
          </w:tcPr>
          <w:p>
            <w:pPr>
              <w:spacing w:after="0"/>
              <w:rPr>
                <w:sz w:val="19"/>
                <w:szCs w:val="19"/>
                <w:color w:val="auto"/>
              </w:rPr>
            </w:pPr>
          </w:p>
        </w:tc>
        <w:tc>
          <w:tcPr>
            <w:tcW w:w="15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August 31, 2024</w:t>
            </w:r>
          </w:p>
        </w:tc>
      </w:tr>
      <w:tr>
        <w:trPr>
          <w:trHeight w:val="33"/>
        </w:trPr>
        <w:tc>
          <w:tcPr>
            <w:tcW w:w="2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2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1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1,414,580</w:t>
            </w:r>
          </w:p>
        </w:tc>
      </w:tr>
      <w:tr>
        <w:trPr>
          <w:trHeight w:val="210"/>
        </w:trPr>
        <w:tc>
          <w:tcPr>
            <w:tcW w:w="2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136,220</w:t>
            </w:r>
          </w:p>
        </w:tc>
      </w:tr>
    </w:tbl>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as presented with the Consolidated Balance Sheets, is summarized as follows:</w:t>
      </w:r>
    </w:p>
    <w:p>
      <w:pPr>
        <w:spacing w:after="0" w:line="326" w:lineRule="exact"/>
        <w:rPr>
          <w:sz w:val="20"/>
          <w:szCs w:val="20"/>
          <w:color w:val="auto"/>
        </w:rPr>
      </w:pPr>
    </w:p>
    <w:tbl>
      <w:tblPr>
        <w:tblLayout w:type="fixed"/>
        <w:tblInd w:w="2320" w:type="dxa"/>
        <w:tblCellMar>
          <w:top w:w="0" w:type="dxa"/>
          <w:left w:w="0" w:type="dxa"/>
          <w:bottom w:w="0" w:type="dxa"/>
          <w:right w:w="0" w:type="dxa"/>
        </w:tblCellMar>
      </w:tblPr>
      <w:tr>
        <w:trPr>
          <w:trHeight w:val="24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29, 2026</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30, 2025</w:t>
            </w:r>
          </w:p>
        </w:tc>
      </w:tr>
      <w:tr>
        <w:trPr>
          <w:trHeight w:val="25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9,704</w:t>
            </w:r>
          </w:p>
        </w:tc>
      </w:tr>
      <w:tr>
        <w:trPr>
          <w:trHeight w:val="267"/>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w:t>
            </w:r>
          </w:p>
        </w:tc>
      </w:tr>
      <w:tr>
        <w:trPr>
          <w:trHeight w:val="27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24,476</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23,460</w:t>
            </w:r>
          </w:p>
        </w:tc>
      </w:tr>
      <w:tr>
        <w:trPr>
          <w:trHeight w:val="267"/>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13,054</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13,054</w:t>
            </w:r>
          </w:p>
        </w:tc>
      </w:tr>
      <w:tr>
        <w:trPr>
          <w:trHeight w:val="270"/>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31,494</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13,352</w:t>
            </w:r>
          </w:p>
        </w:tc>
      </w:tr>
      <w:tr>
        <w:trPr>
          <w:trHeight w:val="250"/>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83,395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62,385</w:t>
            </w:r>
          </w:p>
        </w:tc>
      </w:tr>
      <w:tr>
        <w:trPr>
          <w:trHeight w:val="270"/>
        </w:trPr>
        <w:tc>
          <w:tcPr>
            <w:tcW w:w="3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(30,781)</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(22,647)</w:t>
            </w:r>
          </w:p>
        </w:tc>
      </w:tr>
      <w:tr>
        <w:trPr>
          <w:trHeight w:val="226"/>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52,614</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39,738</w:t>
            </w:r>
          </w:p>
        </w:tc>
      </w:tr>
      <w:tr>
        <w:trPr>
          <w:trHeight w:val="20"/>
        </w:trPr>
        <w:tc>
          <w:tcPr>
            <w:tcW w:w="3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increase in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xml:space="preserve"> as of August 29, 2026, as compared to August 30, 2025, was primarily a result of purchases of property and equipment at our contract manufacturing facilities. Total depreciation expense was $8.4 million for the fifty-two weeks ended August 29, 2026, $6.1 million for the fifty-two weeks ended August 30, 2025, and $5.8 million for the fifty-three weeks ended August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Changes to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during the fifty-two weeks ended August 29, 2026, were as follows:</w:t>
      </w:r>
    </w:p>
    <w:p>
      <w:pPr>
        <w:spacing w:after="0" w:line="338" w:lineRule="exact"/>
        <w:rPr>
          <w:sz w:val="20"/>
          <w:szCs w:val="20"/>
          <w:color w:val="auto"/>
        </w:rPr>
      </w:pPr>
    </w:p>
    <w:tbl>
      <w:tblPr>
        <w:tblLayout w:type="fixed"/>
        <w:tblInd w:w="3180" w:type="dxa"/>
        <w:tblCellMar>
          <w:top w:w="0" w:type="dxa"/>
          <w:left w:w="0" w:type="dxa"/>
          <w:bottom w:w="0" w:type="dxa"/>
          <w:right w:w="0" w:type="dxa"/>
        </w:tblCellMar>
      </w:tblPr>
      <w:tr>
        <w:trPr>
          <w:trHeight w:val="215"/>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Goodwill</w:t>
            </w:r>
          </w:p>
        </w:tc>
        <w:tc>
          <w:tcPr>
            <w:tcW w:w="0" w:type="dxa"/>
            <w:vAlign w:val="bottom"/>
          </w:tcPr>
          <w:p>
            <w:pPr>
              <w:spacing w:after="0"/>
              <w:rPr>
                <w:sz w:val="1"/>
                <w:szCs w:val="1"/>
                <w:color w:val="auto"/>
              </w:rPr>
            </w:pPr>
          </w:p>
        </w:tc>
      </w:tr>
      <w:tr>
        <w:trPr>
          <w:trHeight w:val="23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31, 2024</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591,687</w:t>
            </w:r>
          </w:p>
        </w:tc>
        <w:tc>
          <w:tcPr>
            <w:tcW w:w="0" w:type="dxa"/>
            <w:vAlign w:val="bottom"/>
          </w:tcPr>
          <w:p>
            <w:pPr>
              <w:spacing w:after="0"/>
              <w:rPr>
                <w:sz w:val="1"/>
                <w:szCs w:val="1"/>
                <w:color w:val="auto"/>
              </w:rPr>
            </w:pPr>
          </w:p>
        </w:tc>
      </w:tr>
      <w:tr>
        <w:trPr>
          <w:trHeight w:val="162"/>
        </w:trPr>
        <w:tc>
          <w:tcPr>
            <w:tcW w:w="36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Acquisition of business measurement period</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0" w:type="dxa"/>
            <w:vAlign w:val="bottom"/>
          </w:tcPr>
          <w:p>
            <w:pPr>
              <w:spacing w:after="0"/>
              <w:rPr>
                <w:sz w:val="1"/>
                <w:szCs w:val="1"/>
                <w:color w:val="auto"/>
              </w:rPr>
            </w:pPr>
          </w:p>
        </w:tc>
      </w:tr>
      <w:tr>
        <w:trPr>
          <w:trHeight w:val="213"/>
        </w:trPr>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30, 2025</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589,974</w:t>
            </w:r>
          </w:p>
        </w:tc>
        <w:tc>
          <w:tcPr>
            <w:tcW w:w="0" w:type="dxa"/>
            <w:vAlign w:val="bottom"/>
          </w:tcPr>
          <w:p>
            <w:pPr>
              <w:spacing w:after="0"/>
              <w:rPr>
                <w:sz w:val="1"/>
                <w:szCs w:val="1"/>
                <w:color w:val="auto"/>
              </w:rPr>
            </w:pPr>
          </w:p>
        </w:tc>
      </w:tr>
      <w:tr>
        <w:trPr>
          <w:trHeight w:val="25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Accumulated impairment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(38,000)</w:t>
            </w:r>
          </w:p>
        </w:tc>
        <w:tc>
          <w:tcPr>
            <w:tcW w:w="0" w:type="dxa"/>
            <w:vAlign w:val="bottom"/>
          </w:tcPr>
          <w:p>
            <w:pPr>
              <w:spacing w:after="0"/>
              <w:rPr>
                <w:sz w:val="1"/>
                <w:szCs w:val="1"/>
                <w:color w:val="auto"/>
              </w:rPr>
            </w:pPr>
          </w:p>
        </w:tc>
      </w:tr>
      <w:tr>
        <w:trPr>
          <w:trHeight w:val="258"/>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29, 2026</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551,974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change in Goodwill during the fifty-two weeks ended August 29, 2026 was the result of a loss on impairment during the third quarter of fiscal year 2026. The change in Goodwill during the fifty-two weeks ended August 30, 2025, was the result of the acquisition method of accounting related to the OWYN Acquisition as described in Note 3. There were no impairment charges related to goodwill during the fifty-two weeks ended August 30, 2025.</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sustained decline in the Company’s stock price and declines in the Company’s market capitalization assessed during</w:t>
      </w:r>
    </w:p>
    <w:p>
      <w:pPr>
        <w:sectPr>
          <w:pgSz w:w="11900" w:h="16838" w:orient="portrait"/>
          <w:cols w:equalWidth="0" w:num="1">
            <w:col w:w="11240"/>
          </w:cols>
          <w:pgMar w:left="320" w:top="121"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third quarter of fiscal year 2026, the Company identified a triggering event indicating that it was more likely than not that the fair value of the goodwill reporting unit was less than its carrying amount. The Company conducted a quantitative interim goodwill assessment as of the last day of its third quarter, utilizing a weighted combination of the discounted cash flow method under the income approach and the guideline public company method under the market approach to estimate the fair value of the equity of the Company. Based on testing, the carrying value was greater than its fair value, resulting in an impairment of $38.0 million related to goodwill for the fifty-two weeks ended August 29, 2026.</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Intangible assets, net </w:t>
      </w:r>
      <w:r>
        <w:rPr>
          <w:rFonts w:ascii="Times New Roman" w:cs="Times New Roman" w:eastAsia="Times New Roman" w:hAnsi="Times New Roman"/>
          <w:sz w:val="18"/>
          <w:szCs w:val="18"/>
          <w:color w:val="auto"/>
        </w:rPr>
        <w:t>in the Consolidated Balance Sheets consist of the following:</w:t>
      </w:r>
    </w:p>
    <w:p>
      <w:pPr>
        <w:spacing w:after="0" w:line="353" w:lineRule="exact"/>
        <w:rPr>
          <w:sz w:val="20"/>
          <w:szCs w:val="20"/>
          <w:color w:val="auto"/>
        </w:rPr>
      </w:pPr>
    </w:p>
    <w:tbl>
      <w:tblPr>
        <w:tblLayout w:type="fixed"/>
        <w:tblInd w:w="880" w:type="dxa"/>
        <w:tblCellMar>
          <w:top w:w="0" w:type="dxa"/>
          <w:left w:w="0" w:type="dxa"/>
          <w:bottom w:w="0" w:type="dxa"/>
          <w:right w:w="0" w:type="dxa"/>
        </w:tblCellMar>
      </w:tblPr>
      <w:tr>
        <w:trPr>
          <w:trHeight w:val="213"/>
        </w:trPr>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6"/>
                <w:szCs w:val="16"/>
                <w:color w:val="auto"/>
              </w:rPr>
              <w:t>August 29, 2026</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6"/>
                <w:szCs w:val="16"/>
                <w:color w:val="auto"/>
              </w:rPr>
              <w:t>Useful life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Gross carrying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rPr>
              <w:t>Accumulated</w:t>
            </w:r>
          </w:p>
        </w:tc>
        <w:tc>
          <w:tcPr>
            <w:tcW w:w="15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Net carrying amount</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3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w w:val="99"/>
              </w:rPr>
              <w:t>amount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rPr>
              <w:t>amortization</w:t>
            </w:r>
          </w:p>
        </w:tc>
        <w:tc>
          <w:tcPr>
            <w:tcW w:w="15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3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color w:val="auto"/>
              </w:rPr>
              <w:t>Indefinite life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849,000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3"/>
                <w:szCs w:val="23"/>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20" w:type="dxa"/>
            <w:vAlign w:val="bottom"/>
          </w:tcPr>
          <w:p>
            <w:pPr>
              <w:spacing w:after="0"/>
              <w:rPr>
                <w:sz w:val="23"/>
                <w:szCs w:val="23"/>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color w:val="auto"/>
              </w:rPr>
              <w:t>15 years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194,500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91,105</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103,395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20" w:type="dxa"/>
            <w:vAlign w:val="bottom"/>
          </w:tcPr>
          <w:p>
            <w:pPr>
              <w:spacing w:after="0"/>
              <w:rPr>
                <w:sz w:val="23"/>
                <w:szCs w:val="23"/>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4"/>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color w:val="auto"/>
              </w:rPr>
              <w:t>10 years</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16,072</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16,072</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color w:val="auto"/>
              </w:rPr>
              <w:t>7 years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 years</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6,641</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1,073,213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120,209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25"/>
        </w:trPr>
        <w:tc>
          <w:tcPr>
            <w:tcW w:w="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August 30, 2025</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9"/>
              </w:rPr>
              <w:t>Useful life</w:t>
            </w:r>
          </w:p>
        </w:tc>
        <w:tc>
          <w:tcPr>
            <w:tcW w:w="4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Gross carrying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Accumulated</w:t>
            </w:r>
          </w:p>
        </w:tc>
        <w:tc>
          <w:tcPr>
            <w:tcW w:w="100" w:type="dxa"/>
            <w:vAlign w:val="bottom"/>
          </w:tcPr>
          <w:p>
            <w:pPr>
              <w:spacing w:after="0"/>
              <w:rPr>
                <w:sz w:val="17"/>
                <w:szCs w:val="17"/>
                <w:color w:val="auto"/>
              </w:rPr>
            </w:pPr>
          </w:p>
        </w:tc>
        <w:tc>
          <w:tcPr>
            <w:tcW w:w="14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Net carrying amount</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amount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amortization</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rPr>
              <w:t>Indefinite life</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1,142,000</w:t>
            </w:r>
          </w:p>
        </w:tc>
        <w:tc>
          <w:tcPr>
            <w:tcW w:w="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1,142,000</w:t>
            </w:r>
          </w:p>
        </w:tc>
        <w:tc>
          <w:tcPr>
            <w:tcW w:w="0" w:type="dxa"/>
            <w:vAlign w:val="bottom"/>
          </w:tcPr>
          <w:p>
            <w:pPr>
              <w:spacing w:after="0"/>
              <w:rPr>
                <w:sz w:val="1"/>
                <w:szCs w:val="1"/>
                <w:color w:val="auto"/>
              </w:rPr>
            </w:pPr>
          </w:p>
        </w:tc>
      </w:tr>
      <w:tr>
        <w:trPr>
          <w:trHeight w:val="273"/>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color w:val="auto"/>
              </w:rPr>
              <w:t>15 years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194,500</w:t>
            </w:r>
          </w:p>
        </w:tc>
        <w:tc>
          <w:tcPr>
            <w:tcW w:w="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78,138</w:t>
            </w:r>
          </w:p>
        </w:tc>
        <w:tc>
          <w:tcPr>
            <w:tcW w:w="40" w:type="dxa"/>
            <w:vAlign w:val="bottom"/>
          </w:tcPr>
          <w:p>
            <w:pPr>
              <w:spacing w:after="0"/>
              <w:rPr>
                <w:sz w:val="23"/>
                <w:szCs w:val="23"/>
                <w:color w:val="auto"/>
              </w:rPr>
            </w:pP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116,362</w:t>
            </w:r>
          </w:p>
        </w:tc>
        <w:tc>
          <w:tcPr>
            <w:tcW w:w="0" w:type="dxa"/>
            <w:vAlign w:val="bottom"/>
          </w:tcPr>
          <w:p>
            <w:pPr>
              <w:spacing w:after="0"/>
              <w:rPr>
                <w:sz w:val="1"/>
                <w:szCs w:val="1"/>
                <w:color w:val="auto"/>
              </w:rPr>
            </w:pPr>
          </w:p>
        </w:tc>
      </w:tr>
      <w:tr>
        <w:trPr>
          <w:trHeight w:val="273"/>
        </w:trPr>
        <w:tc>
          <w:tcPr>
            <w:tcW w:w="3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4"/>
            <w:shd w:val="clear" w:color="auto" w:fill="CCEEFF"/>
          </w:tcPr>
          <w:p>
            <w:pPr>
              <w:jc w:val="center"/>
              <w:ind w:right="380"/>
              <w:spacing w:after="0"/>
              <w:rPr>
                <w:sz w:val="20"/>
                <w:szCs w:val="20"/>
                <w:color w:val="auto"/>
              </w:rPr>
            </w:pPr>
            <w:r>
              <w:rPr>
                <w:rFonts w:ascii="Times New Roman" w:cs="Times New Roman" w:eastAsia="Times New Roman" w:hAnsi="Times New Roman"/>
                <w:sz w:val="16"/>
                <w:szCs w:val="16"/>
                <w:color w:val="auto"/>
              </w:rPr>
              <w:t>10 years</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16,072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14,319</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1,753</w:t>
            </w:r>
          </w:p>
        </w:tc>
        <w:tc>
          <w:tcPr>
            <w:tcW w:w="0" w:type="dxa"/>
            <w:vAlign w:val="bottom"/>
          </w:tcPr>
          <w:p>
            <w:pPr>
              <w:spacing w:after="0"/>
              <w:rPr>
                <w:sz w:val="1"/>
                <w:szCs w:val="1"/>
                <w:color w:val="auto"/>
              </w:rPr>
            </w:pPr>
          </w:p>
        </w:tc>
      </w:tr>
      <w:tr>
        <w:trPr>
          <w:trHeight w:val="267"/>
        </w:trPr>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color w:val="auto"/>
              </w:rPr>
              <w:t>7 years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7,000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7,000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3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34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5 years</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6,641</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5,153</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1,488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1,366,213</w:t>
            </w:r>
          </w:p>
        </w:tc>
        <w:tc>
          <w:tcPr>
            <w:tcW w:w="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104,610</w:t>
            </w:r>
          </w:p>
        </w:tc>
        <w:tc>
          <w:tcPr>
            <w:tcW w:w="40" w:type="dxa"/>
            <w:vAlign w:val="bottom"/>
          </w:tcPr>
          <w:p>
            <w:pPr>
              <w:spacing w:after="0"/>
              <w:rPr>
                <w:sz w:val="19"/>
                <w:szCs w:val="19"/>
                <w:color w:val="auto"/>
              </w:rPr>
            </w:pP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1,261,603</w:t>
            </w:r>
          </w:p>
        </w:tc>
        <w:tc>
          <w:tcPr>
            <w:tcW w:w="0" w:type="dxa"/>
            <w:vAlign w:val="bottom"/>
          </w:tcPr>
          <w:p>
            <w:pPr>
              <w:spacing w:after="0"/>
              <w:rPr>
                <w:sz w:val="1"/>
                <w:szCs w:val="1"/>
                <w:color w:val="auto"/>
              </w:rPr>
            </w:pPr>
          </w:p>
        </w:tc>
      </w:tr>
      <w:tr>
        <w:trPr>
          <w:trHeight w:val="24"/>
        </w:trPr>
        <w:tc>
          <w:tcPr>
            <w:tcW w:w="1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Changes in </w:t>
      </w: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 xml:space="preserve"> during the fifty-two weeks ended August 29, 2026, were primarily related to the impairment of both the OWYN and Atkins brands and trademarks indefinite-lived intangible assets, and recurring amortization expense. Changes related to the fifty-two weeks ended August 30, 2025, were primarily related to the impairment of the Atkins brand and trademarks indefinite-lived intangible asset and the licensing agreements finite-lived intangible asset, and recurring amortization expense.</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declines of net sales and future revenue projections assessed during the second quarter of fiscal year 2026, the Company identified a triggering event indicating that it was more likely than not that the fair value of both the OWYN and Atkins brands and trademarks indefinite-lived intangible assets were less than their respective carrying amounts. The Company conducted a quantitative assessment as of the last day of its second quarter, utilizing the relief from royalty methodology under the income approach to estimate the fair value of the intangible assets. Based on testing, the respective assets’ carrying values exceeded their fair values, resulting in a loss on impairment for OWYN and for Atkins.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sustained decline in the Company’s stock price and declines in the Company’s market capitalization assessed during the third quarter of fiscal year 2026, the Company identified a triggering event indicating that it was more likely than not that the fair value of both the OWYN and Atkins brands and trademarks indefinite-lived intangible assets were less than their respective carrying amounts. The Company conducted a quantitative assessment as of the last day of its third quarter, utilizing the relief from royalty methodology under the income approach to estimate the fair value of the intangible assets. Based on testing, the respective assets’ carrying values exceeded their fair values, resulting in a loss on impairment for OWYN and for Atkins. In addition, the Company included the Quest brand and trademark indefinite-lived intangible asset within the quantitative assessment, utilizing the relief from royalty methodology under the income approach to estimate the fair value of the intangible asset. Based on testing, Quest’s fair value exceeded its carrying value, resulting in no impairment.</w:t>
      </w:r>
    </w:p>
    <w:p>
      <w:pPr>
        <w:sectPr>
          <w:pgSz w:w="11900" w:h="16838" w:orient="portrait"/>
          <w:cols w:equalWidth="0" w:num="1">
            <w:col w:w="11240"/>
          </w:cols>
          <w:pgMar w:left="320" w:top="121" w:right="339"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fifty-two weeks ended August 29, 2026, the Company recorded a loss on impairment of $200.0 million and $93.0 million for the OWYN and Atkins brand indefinite-lived intangible assets, respectively. During the fifty-two weeks ended August 30, 2025, the Company recorded a loss on impairment of $60.9 million for the Atkins brand indefinite-lived intangible asset and the licensing agreements finite-lived intangible asset.</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qualitative impairment assessment of goodwill and its indefinite-lived and finite-lived intangible assets as of the first day of the fourth quarter of fiscal year 2026, which did not identify any incremental indicators of impairment from its previously performed quantitative assessment as of the last day of its third quarter. It was determined that it was more likely than not that goodwill and each indefinite-lived intangible asset had fair values in excess of or equal to their carrying values and its finite-lived intangible assets did not indicate that their carrying amounts may not be recoverable.</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the estimates and assumptions utilized in our impairment assessments are reasonable and are comparable to those that would be used by other marketplace participants. However, actual events and results could differ substantially from those utilized in our initial valuations. Significant declines of future revenue projections or changes of other assumptions used in estimating fair values versus those utilized at the time of the initial valuations could result in impairment charges that could materially affect the consolidated financial statements.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$15.6 million for the fifty-two weeks ended August 29, 2026, $15.1 million for the fifty-two weeks ended August 30, 2025, and $15.2 million for the fifty-three weeks ended August 31, 2024.</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Estimated future amortization for each of the next five fiscal years and thereafter is as follows:</w:t>
      </w:r>
    </w:p>
    <w:p>
      <w:pPr>
        <w:spacing w:after="0" w:line="349" w:lineRule="exact"/>
        <w:rPr>
          <w:sz w:val="20"/>
          <w:szCs w:val="20"/>
          <w:color w:val="auto"/>
        </w:rPr>
      </w:pPr>
    </w:p>
    <w:tbl>
      <w:tblPr>
        <w:tblLayout w:type="fixed"/>
        <w:tblInd w:w="3080" w:type="dxa"/>
        <w:tblCellMar>
          <w:top w:w="0" w:type="dxa"/>
          <w:left w:w="0" w:type="dxa"/>
          <w:bottom w:w="0" w:type="dxa"/>
          <w:right w:w="0" w:type="dxa"/>
        </w:tblCellMar>
      </w:tblPr>
      <w:tr>
        <w:trPr>
          <w:trHeight w:val="215"/>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3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Amortization</w:t>
            </w:r>
          </w:p>
        </w:tc>
      </w:tr>
      <w:tr>
        <w:trPr>
          <w:trHeight w:val="253"/>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13,575</w:t>
            </w:r>
          </w:p>
        </w:tc>
      </w:tr>
      <w:tr>
        <w:trPr>
          <w:trHeight w:val="26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12,967</w:t>
            </w:r>
          </w:p>
        </w:tc>
      </w:tr>
      <w:tr>
        <w:trPr>
          <w:trHeight w:val="27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12,967</w:t>
            </w:r>
          </w:p>
        </w:tc>
      </w:tr>
      <w:tr>
        <w:trPr>
          <w:trHeight w:val="26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2030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12,967</w:t>
            </w:r>
          </w:p>
        </w:tc>
      </w:tr>
      <w:tr>
        <w:trPr>
          <w:trHeight w:val="27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12,967</w:t>
            </w:r>
          </w:p>
        </w:tc>
      </w:tr>
      <w:tr>
        <w:trPr>
          <w:trHeight w:val="267"/>
        </w:trPr>
        <w:tc>
          <w:tcPr>
            <w:tcW w:w="3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Thereafter</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38,561</w:t>
            </w:r>
          </w:p>
        </w:tc>
      </w:tr>
      <w:tr>
        <w:trPr>
          <w:trHeight w:val="251"/>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104,004</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Accrued expenses and other current liabilities </w:t>
      </w:r>
      <w:r>
        <w:rPr>
          <w:rFonts w:ascii="Times New Roman" w:cs="Times New Roman" w:eastAsia="Times New Roman" w:hAnsi="Times New Roman"/>
          <w:sz w:val="18"/>
          <w:szCs w:val="18"/>
          <w:color w:val="auto"/>
        </w:rPr>
        <w:t>in the Consolidated Balance Sheets were comprised of the following:</w:t>
      </w:r>
    </w:p>
    <w:p>
      <w:pPr>
        <w:spacing w:after="0" w:line="326" w:lineRule="exact"/>
        <w:rPr>
          <w:sz w:val="20"/>
          <w:szCs w:val="20"/>
          <w:color w:val="auto"/>
        </w:rPr>
      </w:pPr>
    </w:p>
    <w:tbl>
      <w:tblPr>
        <w:tblLayout w:type="fixed"/>
        <w:tblInd w:w="2320" w:type="dxa"/>
        <w:tblCellMar>
          <w:top w:w="0" w:type="dxa"/>
          <w:left w:w="0" w:type="dxa"/>
          <w:bottom w:w="0" w:type="dxa"/>
          <w:right w:w="0" w:type="dxa"/>
        </w:tblCellMar>
      </w:tblPr>
      <w:tr>
        <w:trPr>
          <w:trHeight w:val="24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29, 2026</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30, 2025</w:t>
            </w:r>
          </w:p>
        </w:tc>
      </w:tr>
      <w:tr>
        <w:trPr>
          <w:trHeight w:val="25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15,955</w:t>
            </w:r>
          </w:p>
        </w:tc>
      </w:tr>
      <w:tr>
        <w:trPr>
          <w:trHeight w:val="267"/>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5,867</w:t>
            </w:r>
          </w:p>
        </w:tc>
      </w:tr>
      <w:tr>
        <w:trPr>
          <w:trHeight w:val="27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freight and manufacturing expenses</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w:t>
            </w:r>
          </w:p>
        </w:tc>
      </w:tr>
      <w:tr>
        <w:trPr>
          <w:trHeight w:val="267"/>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professional fees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r>
      <w:tr>
        <w:trPr>
          <w:trHeight w:val="27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advertising allowances and claims</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w:t>
            </w:r>
          </w:p>
        </w:tc>
      </w:tr>
      <w:tr>
        <w:trPr>
          <w:trHeight w:val="267"/>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commissions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w:t>
            </w:r>
          </w:p>
        </w:tc>
      </w:tr>
      <w:tr>
        <w:trPr>
          <w:trHeight w:val="27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w:t>
            </w:r>
          </w:p>
        </w:tc>
      </w:tr>
      <w:tr>
        <w:trPr>
          <w:trHeight w:val="267"/>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taxes payable</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6,254</w:t>
            </w:r>
          </w:p>
        </w:tc>
      </w:tr>
      <w:tr>
        <w:trPr>
          <w:trHeight w:val="27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R&amp;D expenses</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67"/>
        </w:trPr>
        <w:tc>
          <w:tcPr>
            <w:tcW w:w="3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 accrued expenses</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6,794</w:t>
            </w:r>
          </w:p>
        </w:tc>
      </w:tr>
      <w:tr>
        <w:trPr>
          <w:trHeight w:val="251"/>
        </w:trPr>
        <w:tc>
          <w:tcPr>
            <w:tcW w:w="3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46,219</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7. Long-Term Debt and Line of Credit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7, 2017, the Company (through certain of its subsidiaries)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OWYN Acquisition. No amounts under the Term Facility were repaid as a result of the execution of the 2024 Incremental Facility Amendment.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31, 2025, the Company entered into a seventh amendment (the “2025 Repricing Amendment”) to the Credit Agreement to reduce the interest rate per annum applicable to the Initial Term Loans outstanding under the Credit Agreement immediately prior to the effective date of the 2025 Repricing Amendment.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19, 2025, the Company entered into an eighth amendment (the “2026 Incremental Facility Amendment”) to the Credit Agreement to increase the principal borrowed on the Term Facility by $150.0 million and provided for an extension of the maturity date from March 17, 2027, to March 17, 2030. The 2026 Incremental Facility Amendment also provided for an extension of the stated maturity date of the Revolving Commitments and Revolving Loans (each as defined in the Credit Agreement) from December 16, 2026, to the earlier of (i) 91 days prior to the then-effective maturity date of the Term Facility and (ii) December 16, 2029. The terms of the incremental borrowing are substantially the same as the terms of the outstanding borrowings under the Term Facility. No amounts of the Term Facility were repaid as a result of the execution of the 2026 Incremental Facility Amendment.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as of the 2026 Incremental Facility Amendment, the interest rate per annum for the Initial Term Loans is based on either:</w:t>
      </w:r>
    </w:p>
    <w:p>
      <w:pPr>
        <w:spacing w:after="0" w:line="104" w:lineRule="exact"/>
        <w:rPr>
          <w:sz w:val="20"/>
          <w:szCs w:val="20"/>
          <w:color w:val="auto"/>
        </w:rPr>
      </w:pPr>
    </w:p>
    <w:p>
      <w:pPr>
        <w:jc w:val="both"/>
        <w:ind w:left="660" w:hanging="328"/>
        <w:spacing w:after="0" w:line="266" w:lineRule="auto"/>
        <w:tabs>
          <w:tab w:leader="none" w:pos="67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1.00% margin for the Term Loan or (y) 1.00% margin for the Revolving Credit Facility; or</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subject to a floor of 0.00%, plus (x) 2.00% margin for the Term Loan or (y) 2.00% margin for the Revolving Credit Facility.</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closing of the 2026 Incremental Facility Amendment, the Company expensed $2.7 million of non-deferrable third-party costs through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within the Consolidated Statements of Income and Comprehensive Income (Loss) and capitalized $2.6 million of upfront lender fees (original issue discount) and third-party financing costs.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and Only What You Need, Inc. are holding companies with no assets other than their investments in their respective subsidiaries.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w:t>
      </w:r>
    </w:p>
    <w:p>
      <w:pPr>
        <w:sectPr>
          <w:pgSz w:w="11900" w:h="16838" w:orient="portrait"/>
          <w:cols w:equalWidth="0" w:num="1">
            <w:col w:w="11240"/>
          </w:cols>
          <w:pgMar w:left="320" w:top="121" w:right="3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financial covenants as of August 29, 2026, and August 30, 2025, respectively.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324" w:lineRule="exact"/>
        <w:rPr>
          <w:sz w:val="20"/>
          <w:szCs w:val="20"/>
          <w:color w:val="auto"/>
        </w:rPr>
      </w:pPr>
    </w:p>
    <w:tbl>
      <w:tblPr>
        <w:tblLayout w:type="fixed"/>
        <w:tblInd w:w="1800" w:type="dxa"/>
        <w:tblCellMar>
          <w:top w:w="0" w:type="dxa"/>
          <w:left w:w="0" w:type="dxa"/>
          <w:bottom w:w="0" w:type="dxa"/>
          <w:right w:w="0" w:type="dxa"/>
        </w:tblCellMar>
      </w:tblPr>
      <w:tr>
        <w:trPr>
          <w:trHeight w:val="24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August 29, 2026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30, 2025</w:t>
            </w:r>
          </w:p>
        </w:tc>
      </w:tr>
      <w:tr>
        <w:trPr>
          <w:trHeight w:val="253"/>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Facility (effective rate of 5.7% at August 29,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r>
      <w:tr>
        <w:trPr>
          <w:trHeight w:val="267"/>
        </w:trPr>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Deferred financing fees</w:t>
            </w: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w:t>
            </w:r>
          </w:p>
        </w:tc>
      </w:tr>
      <w:tr>
        <w:trPr>
          <w:trHeight w:val="251"/>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fees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249,066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August 29, 2026, the Company had letters of credit in the amount of $0.8 million outstanding. These letters of credit offset against the $75.0 million availability of the Revolving Credit Facility and exist to support two of the Company’s leased buildings. No amounts were drawn against these letters of credit at August 29, 2026.</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required to make principal payments on the Term Facility over the twelve months following the period ended August 29, 2026. The outstanding balance of the Term Facility is due upon its maturity in March 2030.</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29, 2026, aggregate principal maturities of debt for each of the next five fiscal years and thereafter are as follows:</w:t>
      </w:r>
    </w:p>
    <w:p>
      <w:pPr>
        <w:spacing w:after="0" w:line="349" w:lineRule="exact"/>
        <w:rPr>
          <w:sz w:val="20"/>
          <w:szCs w:val="20"/>
          <w:color w:val="auto"/>
        </w:rPr>
      </w:pPr>
    </w:p>
    <w:tbl>
      <w:tblPr>
        <w:tblLayout w:type="fixed"/>
        <w:tblInd w:w="3080" w:type="dxa"/>
        <w:tblCellMar>
          <w:top w:w="0" w:type="dxa"/>
          <w:left w:w="0" w:type="dxa"/>
          <w:bottom w:w="0" w:type="dxa"/>
          <w:right w:w="0" w:type="dxa"/>
        </w:tblCellMar>
      </w:tblPr>
      <w:tr>
        <w:trPr>
          <w:trHeight w:val="215"/>
        </w:trPr>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Principal maturities</w:t>
            </w:r>
          </w:p>
        </w:tc>
      </w:tr>
      <w:tr>
        <w:trPr>
          <w:trHeight w:val="253"/>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2030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r>
      <w:tr>
        <w:trPr>
          <w:trHeight w:val="27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Thereafter</w:t>
            </w:r>
          </w:p>
        </w:tc>
        <w:tc>
          <w:tcPr>
            <w:tcW w:w="1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3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August 29, 2026, and August 30, 2025, the book value of the Company’s debt approximated fair value. The estimated fair value of the Term Loan is valued based on observable inputs and classified as Level 2 in the fair value hierarchy.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of Financial Instruments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25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20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transfers of financial instruments between the three levels of the fair value hierarchy during the fiscal years ended August 29, 2026, August 30, 2025, and August 31, 2024, respectively.</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Company’s non-financial assets, which consist primarily of property and equipment, right-of-use assets, goodwill, and other intangible assets, are not required to be carried at fair value on a recurring basis and are reported at carrying value. The fair values of these assets</w:t>
      </w:r>
    </w:p>
    <w:p>
      <w:pPr>
        <w:sectPr>
          <w:pgSz w:w="11900" w:h="16838" w:orient="portrait"/>
          <w:cols w:equalWidth="0" w:num="1">
            <w:col w:w="11240"/>
          </w:cols>
          <w:pgMar w:left="320" w:top="121"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are determined, as required, based on Level 3 measurements, including estimates of the amount and timing of future cash flows based upon historical experience, expected market conditions, and management’s plans. All other components of the balance sheet such as accounts receivable, cash and cash equivalents, and others approximate fair value as of August 29,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sources of income (loss) before income taxes are as follows:</w:t>
      </w:r>
    </w:p>
    <w:p>
      <w:pPr>
        <w:spacing w:after="0" w:line="351"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53-Weeks Ended</w:t>
            </w:r>
          </w:p>
        </w:tc>
      </w:tr>
      <w:tr>
        <w:trPr>
          <w:trHeight w:val="273"/>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29, 2026</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30, 2025</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r>
      <w:tr>
        <w:trPr>
          <w:trHeight w:val="25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(197,494)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134,781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184,580</w:t>
            </w:r>
          </w:p>
        </w:tc>
      </w:tr>
      <w:tr>
        <w:trPr>
          <w:trHeight w:val="267"/>
        </w:trPr>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w:t>
            </w:r>
          </w:p>
        </w:tc>
      </w:tr>
      <w:tr>
        <w:trPr>
          <w:trHeight w:val="251"/>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(loss) income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(198,123)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135,903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186,050</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(benefit) expense was comprised of the following: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3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53-Weeks Ended</w:t>
            </w:r>
          </w:p>
        </w:tc>
      </w:tr>
      <w:tr>
        <w:trPr>
          <w:trHeight w:val="267"/>
        </w:trPr>
        <w:tc>
          <w:tcPr>
            <w:tcW w:w="1560" w:type="dxa"/>
            <w:vAlign w:val="bottom"/>
          </w:tcPr>
          <w:p>
            <w:pPr>
              <w:spacing w:after="0"/>
              <w:rPr>
                <w:sz w:val="23"/>
                <w:szCs w:val="23"/>
                <w:color w:val="auto"/>
              </w:rPr>
            </w:pP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August 29, 2026</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30, 2025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31, 2024</w:t>
            </w:r>
          </w:p>
        </w:tc>
        <w:tc>
          <w:tcPr>
            <w:tcW w:w="1540" w:type="dxa"/>
            <w:vAlign w:val="bottom"/>
          </w:tcPr>
          <w:p>
            <w:pPr>
              <w:spacing w:after="0"/>
              <w:rPr>
                <w:sz w:val="23"/>
                <w:szCs w:val="23"/>
                <w:color w:val="auto"/>
              </w:rPr>
            </w:pPr>
          </w:p>
        </w:tc>
      </w:tr>
      <w:tr>
        <w:trPr>
          <w:trHeight w:val="253"/>
        </w:trPr>
        <w:tc>
          <w:tcPr>
            <w:tcW w:w="1560" w:type="dxa"/>
            <w:vAlign w:val="bottom"/>
          </w:tcPr>
          <w:p>
            <w:pPr>
              <w:spacing w:after="0"/>
              <w:rPr>
                <w:sz w:val="22"/>
                <w:szCs w:val="22"/>
                <w:color w:val="auto"/>
              </w:rPr>
            </w:pP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540" w:type="dxa"/>
            <w:vAlign w:val="bottom"/>
          </w:tcPr>
          <w:p>
            <w:pPr>
              <w:spacing w:after="0"/>
              <w:rPr>
                <w:sz w:val="22"/>
                <w:szCs w:val="22"/>
                <w:color w:val="auto"/>
              </w:rPr>
            </w:pPr>
          </w:p>
        </w:tc>
      </w:tr>
      <w:tr>
        <w:trPr>
          <w:trHeight w:val="267"/>
        </w:trPr>
        <w:tc>
          <w:tcPr>
            <w:tcW w:w="1560" w:type="dxa"/>
            <w:vAlign w:val="bottom"/>
          </w:tcPr>
          <w:p>
            <w:pPr>
              <w:spacing w:after="0"/>
              <w:rPr>
                <w:sz w:val="23"/>
                <w:szCs w:val="23"/>
                <w:color w:val="auto"/>
              </w:rPr>
            </w:pPr>
          </w:p>
        </w:tc>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24,591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30,600</w:t>
            </w:r>
          </w:p>
        </w:tc>
        <w:tc>
          <w:tcPr>
            <w:tcW w:w="1540" w:type="dxa"/>
            <w:vAlign w:val="bottom"/>
          </w:tcPr>
          <w:p>
            <w:pPr>
              <w:spacing w:after="0"/>
              <w:rPr>
                <w:sz w:val="23"/>
                <w:szCs w:val="23"/>
                <w:color w:val="auto"/>
              </w:rPr>
            </w:pPr>
          </w:p>
        </w:tc>
      </w:tr>
      <w:tr>
        <w:trPr>
          <w:trHeight w:val="273"/>
        </w:trPr>
        <w:tc>
          <w:tcPr>
            <w:tcW w:w="1560" w:type="dxa"/>
            <w:vAlign w:val="bottom"/>
          </w:tcPr>
          <w:p>
            <w:pPr>
              <w:spacing w:after="0"/>
              <w:rPr>
                <w:sz w:val="23"/>
                <w:szCs w:val="23"/>
                <w:color w:val="auto"/>
              </w:rPr>
            </w:pPr>
          </w:p>
        </w:tc>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local</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7,392</w:t>
            </w:r>
          </w:p>
        </w:tc>
        <w:tc>
          <w:tcPr>
            <w:tcW w:w="1540" w:type="dxa"/>
            <w:vAlign w:val="bottom"/>
          </w:tcPr>
          <w:p>
            <w:pPr>
              <w:spacing w:after="0"/>
              <w:rPr>
                <w:sz w:val="23"/>
                <w:szCs w:val="23"/>
                <w:color w:val="auto"/>
              </w:rPr>
            </w:pPr>
          </w:p>
        </w:tc>
      </w:tr>
      <w:tr>
        <w:trPr>
          <w:trHeight w:val="267"/>
        </w:trPr>
        <w:tc>
          <w:tcPr>
            <w:tcW w:w="1560" w:type="dxa"/>
            <w:vAlign w:val="bottom"/>
          </w:tcPr>
          <w:p>
            <w:pPr>
              <w:spacing w:after="0"/>
              <w:rPr>
                <w:sz w:val="23"/>
                <w:szCs w:val="23"/>
                <w:color w:val="auto"/>
              </w:rPr>
            </w:pPr>
          </w:p>
        </w:tc>
        <w:tc>
          <w:tcPr>
            <w:tcW w:w="3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540" w:type="dxa"/>
            <w:vAlign w:val="bottom"/>
          </w:tcPr>
          <w:p>
            <w:pPr>
              <w:spacing w:after="0"/>
              <w:rPr>
                <w:sz w:val="23"/>
                <w:szCs w:val="23"/>
                <w:color w:val="auto"/>
              </w:rPr>
            </w:pPr>
          </w:p>
        </w:tc>
      </w:tr>
      <w:tr>
        <w:trPr>
          <w:trHeight w:val="253"/>
        </w:trPr>
        <w:tc>
          <w:tcPr>
            <w:tcW w:w="1560" w:type="dxa"/>
            <w:vAlign w:val="bottom"/>
          </w:tcPr>
          <w:p>
            <w:pPr>
              <w:spacing w:after="0"/>
              <w:rPr>
                <w:sz w:val="22"/>
                <w:szCs w:val="22"/>
                <w:color w:val="auto"/>
              </w:rPr>
            </w:pP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7,232</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32,286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38,375</w:t>
            </w:r>
          </w:p>
        </w:tc>
        <w:tc>
          <w:tcPr>
            <w:tcW w:w="1540" w:type="dxa"/>
            <w:vAlign w:val="bottom"/>
          </w:tcPr>
          <w:p>
            <w:pPr>
              <w:spacing w:after="0"/>
              <w:rPr>
                <w:sz w:val="22"/>
                <w:szCs w:val="22"/>
                <w:color w:val="auto"/>
              </w:rPr>
            </w:pPr>
          </w:p>
        </w:tc>
      </w:tr>
      <w:tr>
        <w:trPr>
          <w:trHeight w:val="270"/>
        </w:trPr>
        <w:tc>
          <w:tcPr>
            <w:tcW w:w="15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560" w:type="dxa"/>
            <w:vAlign w:val="bottom"/>
          </w:tcPr>
          <w:p>
            <w:pPr>
              <w:spacing w:after="0"/>
              <w:rPr>
                <w:sz w:val="23"/>
                <w:szCs w:val="23"/>
                <w:color w:val="auto"/>
              </w:rPr>
            </w:pP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540" w:type="dxa"/>
            <w:vAlign w:val="bottom"/>
          </w:tcPr>
          <w:p>
            <w:pPr>
              <w:spacing w:after="0"/>
              <w:rPr>
                <w:sz w:val="23"/>
                <w:szCs w:val="23"/>
                <w:color w:val="auto"/>
              </w:rPr>
            </w:pPr>
          </w:p>
        </w:tc>
      </w:tr>
      <w:tr>
        <w:trPr>
          <w:trHeight w:val="267"/>
        </w:trPr>
        <w:tc>
          <w:tcPr>
            <w:tcW w:w="1560" w:type="dxa"/>
            <w:vAlign w:val="bottom"/>
          </w:tcPr>
          <w:p>
            <w:pPr>
              <w:spacing w:after="0"/>
              <w:rPr>
                <w:sz w:val="23"/>
                <w:szCs w:val="23"/>
                <w:color w:val="auto"/>
              </w:rPr>
            </w:pPr>
          </w:p>
        </w:tc>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(36,075)</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5,746</w:t>
            </w:r>
          </w:p>
        </w:tc>
        <w:tc>
          <w:tcPr>
            <w:tcW w:w="1540" w:type="dxa"/>
            <w:vAlign w:val="bottom"/>
          </w:tcPr>
          <w:p>
            <w:pPr>
              <w:spacing w:after="0"/>
              <w:rPr>
                <w:sz w:val="23"/>
                <w:szCs w:val="23"/>
                <w:color w:val="auto"/>
              </w:rPr>
            </w:pPr>
          </w:p>
        </w:tc>
      </w:tr>
      <w:tr>
        <w:trPr>
          <w:trHeight w:val="273"/>
        </w:trPr>
        <w:tc>
          <w:tcPr>
            <w:tcW w:w="1560" w:type="dxa"/>
            <w:vAlign w:val="bottom"/>
          </w:tcPr>
          <w:p>
            <w:pPr>
              <w:spacing w:after="0"/>
              <w:rPr>
                <w:sz w:val="23"/>
                <w:szCs w:val="23"/>
                <w:color w:val="auto"/>
              </w:rPr>
            </w:pPr>
          </w:p>
        </w:tc>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local</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540" w:type="dxa"/>
            <w:vAlign w:val="bottom"/>
          </w:tcPr>
          <w:p>
            <w:pPr>
              <w:spacing w:after="0"/>
              <w:rPr>
                <w:sz w:val="23"/>
                <w:szCs w:val="23"/>
                <w:color w:val="auto"/>
              </w:rPr>
            </w:pPr>
          </w:p>
        </w:tc>
      </w:tr>
      <w:tr>
        <w:trPr>
          <w:trHeight w:val="267"/>
        </w:trPr>
        <w:tc>
          <w:tcPr>
            <w:tcW w:w="1560" w:type="dxa"/>
            <w:vAlign w:val="bottom"/>
          </w:tcPr>
          <w:p>
            <w:pPr>
              <w:spacing w:after="0"/>
              <w:rPr>
                <w:sz w:val="23"/>
                <w:szCs w:val="23"/>
                <w:color w:val="auto"/>
              </w:rPr>
            </w:pPr>
          </w:p>
        </w:tc>
        <w:tc>
          <w:tcPr>
            <w:tcW w:w="3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540" w:type="dxa"/>
            <w:vAlign w:val="bottom"/>
          </w:tcPr>
          <w:p>
            <w:pPr>
              <w:spacing w:after="0"/>
              <w:rPr>
                <w:sz w:val="23"/>
                <w:szCs w:val="23"/>
                <w:color w:val="auto"/>
              </w:rPr>
            </w:pPr>
          </w:p>
        </w:tc>
      </w:tr>
      <w:tr>
        <w:trPr>
          <w:trHeight w:val="250"/>
        </w:trPr>
        <w:tc>
          <w:tcPr>
            <w:tcW w:w="1560" w:type="dxa"/>
            <w:vAlign w:val="bottom"/>
          </w:tcPr>
          <w:p>
            <w:pPr>
              <w:spacing w:after="0"/>
              <w:rPr>
                <w:sz w:val="21"/>
                <w:szCs w:val="21"/>
                <w:color w:val="auto"/>
              </w:rPr>
            </w:pP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income tax (benefit) expense</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(49,452)</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8,366</w:t>
            </w:r>
          </w:p>
        </w:tc>
        <w:tc>
          <w:tcPr>
            <w:tcW w:w="1540" w:type="dxa"/>
            <w:vAlign w:val="bottom"/>
          </w:tcPr>
          <w:p>
            <w:pPr>
              <w:spacing w:after="0"/>
              <w:rPr>
                <w:sz w:val="21"/>
                <w:szCs w:val="21"/>
                <w:color w:val="auto"/>
              </w:rPr>
            </w:pPr>
          </w:p>
        </w:tc>
      </w:tr>
      <w:tr>
        <w:trPr>
          <w:trHeight w:val="226"/>
        </w:trPr>
        <w:tc>
          <w:tcPr>
            <w:tcW w:w="1560" w:type="dxa"/>
            <w:vAlign w:val="bottom"/>
          </w:tcPr>
          <w:p>
            <w:pPr>
              <w:spacing w:after="0"/>
              <w:rPr>
                <w:sz w:val="19"/>
                <w:szCs w:val="19"/>
                <w:color w:val="auto"/>
              </w:rPr>
            </w:pP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tax (benefit)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(42,220)</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32,289</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46,741</w:t>
            </w:r>
          </w:p>
        </w:tc>
        <w:tc>
          <w:tcPr>
            <w:tcW w:w="154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885"/>
        </w:trPr>
        <w:tc>
          <w:tcPr>
            <w:tcW w:w="15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678"/>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5"/>
        </w:trPr>
        <w:tc>
          <w:tcPr>
            <w:tcW w:w="156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income tax rate for the fifty-two weeks ended August 29, 2026 is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76" w:lineRule="exact"/>
        <w:rPr>
          <w:sz w:val="20"/>
          <w:szCs w:val="20"/>
          <w:color w:val="auto"/>
        </w:rPr>
      </w:pPr>
    </w:p>
    <w:tbl>
      <w:tblPr>
        <w:tblLayout w:type="fixed"/>
        <w:tblInd w:w="174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52-Weeks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August 29, 2026</w:t>
            </w: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 Federal Statutory Tax Rate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(41,606)</w:t>
            </w:r>
          </w:p>
        </w:tc>
        <w:tc>
          <w:tcPr>
            <w:tcW w:w="0" w:type="dxa"/>
            <w:vAlign w:val="bottom"/>
          </w:tcPr>
          <w:p>
            <w:pPr>
              <w:spacing w:after="0"/>
              <w:rPr>
                <w:sz w:val="1"/>
                <w:szCs w:val="1"/>
                <w:color w:val="auto"/>
              </w:rPr>
            </w:pPr>
          </w:p>
        </w:tc>
      </w:tr>
      <w:tr>
        <w:trPr>
          <w:trHeight w:val="257"/>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State and Local Income Taxes, Net of Federal Income Tax Effect </w:t>
            </w:r>
            <w:r>
              <w:rPr>
                <w:rFonts w:ascii="Times New Roman" w:cs="Times New Roman" w:eastAsia="Times New Roman" w:hAnsi="Times New Roman"/>
                <w:sz w:val="21"/>
                <w:szCs w:val="21"/>
                <w:color w:val="auto"/>
                <w:vertAlign w:val="superscript"/>
              </w:rPr>
              <w:t>(1)</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0" w:type="dxa"/>
            <w:vAlign w:val="bottom"/>
          </w:tcPr>
          <w:p>
            <w:pPr>
              <w:spacing w:after="0"/>
              <w:rPr>
                <w:sz w:val="1"/>
                <w:szCs w:val="1"/>
                <w:color w:val="auto"/>
              </w:rPr>
            </w:pPr>
          </w:p>
        </w:tc>
      </w:tr>
      <w:tr>
        <w:trPr>
          <w:trHeight w:val="257"/>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Tax Effects</w:t>
            </w: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62"/>
        </w:trPr>
        <w:tc>
          <w:tcPr>
            <w:tcW w:w="460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Effect of Changes in Tax Laws or Rates Enacted in the Current</w:t>
            </w:r>
          </w:p>
        </w:tc>
        <w:tc>
          <w:tcPr>
            <w:tcW w:w="16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Period</w:t>
            </w:r>
          </w:p>
        </w:tc>
        <w:tc>
          <w:tcPr>
            <w:tcW w:w="16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Effects of Cross-Border Tax Laws</w:t>
            </w: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 Credits</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60"/>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1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Wind-down of Canadian legacy operations</w:t>
            </w: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w:t>
            </w:r>
          </w:p>
        </w:tc>
        <w:tc>
          <w:tcPr>
            <w:tcW w:w="0" w:type="dxa"/>
            <w:vAlign w:val="bottom"/>
          </w:tcPr>
          <w:p>
            <w:pPr>
              <w:spacing w:after="0"/>
              <w:rPr>
                <w:sz w:val="1"/>
                <w:szCs w:val="1"/>
                <w:color w:val="auto"/>
              </w:rPr>
            </w:pPr>
          </w:p>
        </w:tc>
      </w:tr>
      <w:tr>
        <w:trPr>
          <w:trHeight w:val="254"/>
        </w:trPr>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Goodwill Impairment</w:t>
            </w:r>
          </w:p>
        </w:tc>
        <w:tc>
          <w:tcPr>
            <w:tcW w:w="1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7,980</w:t>
            </w:r>
          </w:p>
        </w:tc>
        <w:tc>
          <w:tcPr>
            <w:tcW w:w="0" w:type="dxa"/>
            <w:vAlign w:val="bottom"/>
          </w:tcPr>
          <w:p>
            <w:pPr>
              <w:spacing w:after="0"/>
              <w:rPr>
                <w:sz w:val="1"/>
                <w:szCs w:val="1"/>
                <w:color w:val="auto"/>
              </w:rPr>
            </w:pPr>
          </w:p>
        </w:tc>
      </w:tr>
      <w:tr>
        <w:trPr>
          <w:trHeight w:val="259"/>
        </w:trPr>
        <w:tc>
          <w:tcPr>
            <w:tcW w:w="4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Officers' Compensation Limitation</w:t>
            </w:r>
          </w:p>
        </w:tc>
        <w:tc>
          <w:tcPr>
            <w:tcW w:w="15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0" w:type="dxa"/>
            <w:vAlign w:val="bottom"/>
          </w:tcPr>
          <w:p>
            <w:pPr>
              <w:spacing w:after="0"/>
              <w:rPr>
                <w:sz w:val="1"/>
                <w:szCs w:val="1"/>
                <w:color w:val="auto"/>
              </w:rPr>
            </w:pPr>
          </w:p>
        </w:tc>
      </w:tr>
      <w:tr>
        <w:trPr>
          <w:trHeight w:val="254"/>
        </w:trPr>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259"/>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Unrecognized Tax Benefits</w:t>
            </w: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0" w:type="dxa"/>
            <w:vAlign w:val="bottom"/>
          </w:tcPr>
          <w:p>
            <w:pPr>
              <w:spacing w:after="0"/>
              <w:rPr>
                <w:sz w:val="1"/>
                <w:szCs w:val="1"/>
                <w:color w:val="auto"/>
              </w:rPr>
            </w:pPr>
          </w:p>
        </w:tc>
      </w:tr>
      <w:tr>
        <w:trPr>
          <w:trHeight w:val="21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40" w:type="dxa"/>
            <w:vAlign w:val="bottom"/>
          </w:tcPr>
          <w:p>
            <w:pPr>
              <w:spacing w:after="0"/>
              <w:rPr>
                <w:sz w:val="18"/>
                <w:szCs w:val="18"/>
                <w:color w:val="auto"/>
              </w:rPr>
            </w:pPr>
          </w:p>
        </w:tc>
        <w:tc>
          <w:tcPr>
            <w:tcW w:w="5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(42,220)</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740" w:right="1840"/>
        <w:spacing w:after="0" w:line="210"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California, Florida, Georgia, Iowa, Idaho, New Jersey, and Pennsylvania contributed to the majority of the tax effect in this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-226695</wp:posOffset>
            </wp:positionV>
            <wp:extent cx="20231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income taxes paid (net of refunds received) for the fifty-two weeks ended August 29, 2026:</w:t>
      </w:r>
    </w:p>
    <w:p>
      <w:pPr>
        <w:spacing w:after="0" w:line="351" w:lineRule="exact"/>
        <w:rPr>
          <w:sz w:val="20"/>
          <w:szCs w:val="20"/>
          <w:color w:val="auto"/>
        </w:rPr>
      </w:pPr>
    </w:p>
    <w:tbl>
      <w:tblPr>
        <w:tblLayout w:type="fixed"/>
        <w:tblInd w:w="308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73"/>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29, 2026</w:t>
            </w:r>
          </w:p>
        </w:tc>
      </w:tr>
      <w:tr>
        <w:trPr>
          <w:trHeight w:val="25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7"/>
        </w:trPr>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 Federal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9,728</w:t>
            </w:r>
          </w:p>
        </w:tc>
      </w:tr>
      <w:tr>
        <w:trPr>
          <w:trHeight w:val="27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7"/>
        </w:trPr>
        <w:tc>
          <w:tcPr>
            <w:tcW w:w="3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California</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r>
      <w:tr>
        <w:trPr>
          <w:trHeight w:val="273"/>
        </w:trPr>
        <w:tc>
          <w:tcPr>
            <w:tcW w:w="3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4,184</w:t>
            </w:r>
          </w:p>
        </w:tc>
      </w:tr>
      <w:tr>
        <w:trPr>
          <w:trHeight w:val="267"/>
        </w:trPr>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w:t>
            </w: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3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226"/>
        </w:trPr>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15,395</w:t>
            </w:r>
          </w:p>
        </w:tc>
      </w:tr>
      <w:tr>
        <w:trPr>
          <w:trHeight w:val="20"/>
        </w:trPr>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paid cash for income taxes of $39.3 million for the fifty-two weeks ended August 30, 2025, and $33.2 million for the fifty-three weeks ended August 31, 2024.</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income tax rate for the fifty-two weeks ended August 30, 2025, and fifty-three weeks ended August 31, 2024, is as follows:</w:t>
      </w:r>
    </w:p>
    <w:p>
      <w:pPr>
        <w:spacing w:after="0" w:line="288" w:lineRule="exact"/>
        <w:rPr>
          <w:sz w:val="20"/>
          <w:szCs w:val="20"/>
          <w:color w:val="auto"/>
        </w:rPr>
      </w:pPr>
    </w:p>
    <w:tbl>
      <w:tblPr>
        <w:tblLayout w:type="fixed"/>
        <w:tblInd w:w="232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52-Weeks Ended</w:t>
            </w: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53-Weeks Ended</w:t>
            </w:r>
          </w:p>
        </w:tc>
      </w:tr>
      <w:tr>
        <w:trPr>
          <w:trHeight w:val="273"/>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30, 2025</w:t>
            </w: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r>
      <w:tr>
        <w:trPr>
          <w:trHeight w:val="253"/>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Statutory income tax expense: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67"/>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State income tax expense, net of federal</w:t>
            </w: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23"/>
                <w:szCs w:val="23"/>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r>
      <w:tr>
        <w:trPr>
          <w:trHeight w:val="273"/>
        </w:trPr>
        <w:tc>
          <w:tcPr>
            <w:tcW w:w="3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Valuation allowance</w:t>
            </w:r>
          </w:p>
        </w:tc>
        <w:tc>
          <w:tcPr>
            <w:tcW w:w="15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Taxes on foreign income above the U.S. tax</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r>
      <w:tr>
        <w:trPr>
          <w:trHeight w:val="273"/>
        </w:trPr>
        <w:tc>
          <w:tcPr>
            <w:tcW w:w="3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tax rate</w:t>
            </w:r>
          </w:p>
        </w:tc>
        <w:tc>
          <w:tcPr>
            <w:tcW w:w="15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r>
      <w:tr>
        <w:trPr>
          <w:trHeight w:val="267"/>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Non-deductible transaction costs</w:t>
            </w: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23"/>
                <w:szCs w:val="23"/>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r>
      <w:tr>
        <w:trPr>
          <w:trHeight w:val="270"/>
        </w:trPr>
        <w:tc>
          <w:tcPr>
            <w:tcW w:w="3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permanent items</w:t>
            </w:r>
          </w:p>
        </w:tc>
        <w:tc>
          <w:tcPr>
            <w:tcW w:w="15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(0.9)</w:t>
            </w:r>
          </w:p>
        </w:tc>
      </w:tr>
      <w:tr>
        <w:trPr>
          <w:trHeight w:val="226"/>
        </w:trPr>
        <w:tc>
          <w:tcPr>
            <w:tcW w:w="3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14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25.1 %</w:t>
            </w:r>
          </w:p>
        </w:tc>
      </w:tr>
      <w:tr>
        <w:trPr>
          <w:trHeight w:val="21"/>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and liabilities as of August 29,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30, 2025, were as follows:</w:t>
      </w:r>
    </w:p>
    <w:p>
      <w:pPr>
        <w:spacing w:after="0" w:line="90" w:lineRule="exact"/>
        <w:rPr>
          <w:sz w:val="20"/>
          <w:szCs w:val="20"/>
          <w:color w:val="auto"/>
        </w:rPr>
      </w:pPr>
    </w:p>
    <w:tbl>
      <w:tblPr>
        <w:tblLayout w:type="fixed"/>
        <w:tblInd w:w="232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52-Weeks Ended</w:t>
            </w:r>
          </w:p>
        </w:tc>
      </w:tr>
      <w:tr>
        <w:trPr>
          <w:trHeight w:val="273"/>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gridSpan w:val="2"/>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August 29, 2026</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August 30, 2025</w:t>
            </w:r>
          </w:p>
        </w:tc>
      </w:tr>
      <w:tr>
        <w:trPr>
          <w:trHeight w:val="253"/>
        </w:trPr>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3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Accounts receivable allowances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1,349</w:t>
            </w:r>
          </w:p>
        </w:tc>
        <w:tc>
          <w:tcPr>
            <w:tcW w:w="12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r>
      <w:tr>
        <w:trPr>
          <w:trHeight w:val="273"/>
        </w:trPr>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expenses</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3,012</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5,937</w:t>
            </w:r>
          </w:p>
        </w:tc>
      </w:tr>
      <w:tr>
        <w:trPr>
          <w:trHeight w:val="267"/>
        </w:trPr>
        <w:tc>
          <w:tcPr>
            <w:tcW w:w="3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5,602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10,104</w:t>
            </w:r>
          </w:p>
        </w:tc>
      </w:tr>
      <w:tr>
        <w:trPr>
          <w:trHeight w:val="273"/>
        </w:trPr>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 based compensation</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4,077</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w:t>
            </w:r>
          </w:p>
        </w:tc>
      </w:tr>
      <w:tr>
        <w:trPr>
          <w:trHeight w:val="267"/>
        </w:trPr>
        <w:tc>
          <w:tcPr>
            <w:tcW w:w="3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Lease liabilities</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12,523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13,916</w:t>
            </w:r>
          </w:p>
        </w:tc>
      </w:tr>
      <w:tr>
        <w:trPr>
          <w:trHeight w:val="273"/>
        </w:trPr>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Capitalized Section 174 Expenditures</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w:t>
            </w:r>
          </w:p>
        </w:tc>
      </w:tr>
      <w:tr>
        <w:trPr>
          <w:trHeight w:val="267"/>
        </w:trPr>
        <w:tc>
          <w:tcPr>
            <w:tcW w:w="3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Tax capitalization of inventory costs</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2,561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w:t>
            </w:r>
          </w:p>
        </w:tc>
      </w:tr>
      <w:tr>
        <w:trPr>
          <w:trHeight w:val="273"/>
        </w:trPr>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Transaction costs</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1,465</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r>
      <w:tr>
        <w:trPr>
          <w:trHeight w:val="267"/>
        </w:trPr>
        <w:tc>
          <w:tcPr>
            <w:tcW w:w="3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Federal benefit of state taxes</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w:t>
            </w:r>
          </w:p>
        </w:tc>
      </w:tr>
      <w:tr>
        <w:trPr>
          <w:trHeight w:val="270"/>
        </w:trPr>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r>
      <w:tr>
        <w:trPr>
          <w:trHeight w:val="250"/>
        </w:trPr>
        <w:tc>
          <w:tcPr>
            <w:tcW w:w="3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32,425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48,657</w:t>
            </w:r>
          </w:p>
        </w:tc>
      </w:tr>
      <w:tr>
        <w:trPr>
          <w:trHeight w:val="270"/>
        </w:trPr>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50"/>
        </w:trPr>
        <w:tc>
          <w:tcPr>
            <w:tcW w:w="3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tax asset, net of valuation allowance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32,096</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48,301</w:t>
            </w:r>
          </w:p>
        </w:tc>
      </w:tr>
      <w:tr>
        <w:trPr>
          <w:trHeight w:val="273"/>
        </w:trPr>
        <w:tc>
          <w:tcPr>
            <w:tcW w:w="3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7"/>
        </w:trPr>
        <w:tc>
          <w:tcPr>
            <w:tcW w:w="3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3"/>
        </w:trPr>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Excess tax over book depreciation</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(4,781)</w:t>
            </w:r>
          </w:p>
        </w:tc>
      </w:tr>
      <w:tr>
        <w:trPr>
          <w:trHeight w:val="267"/>
        </w:trPr>
        <w:tc>
          <w:tcPr>
            <w:tcW w:w="3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Intangible assets</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(133,171)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(197,031)</w:t>
            </w:r>
          </w:p>
        </w:tc>
      </w:tr>
      <w:tr>
        <w:trPr>
          <w:trHeight w:val="273"/>
        </w:trPr>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Lease right-of-use assets</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(9,685)</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(11,090)</w:t>
            </w:r>
          </w:p>
        </w:tc>
      </w:tr>
      <w:tr>
        <w:trPr>
          <w:trHeight w:val="267"/>
        </w:trPr>
        <w:tc>
          <w:tcPr>
            <w:tcW w:w="350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w:t>
            </w:r>
          </w:p>
        </w:tc>
      </w:tr>
      <w:tr>
        <w:trPr>
          <w:trHeight w:val="250"/>
        </w:trPr>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(148,659)</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(214,316)</w:t>
            </w:r>
          </w:p>
        </w:tc>
      </w:tr>
      <w:tr>
        <w:trPr>
          <w:trHeight w:val="226"/>
        </w:trPr>
        <w:tc>
          <w:tcPr>
            <w:tcW w:w="3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(116,563)</w:t>
            </w: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(166,015)</w:t>
            </w:r>
          </w:p>
        </w:tc>
      </w:tr>
      <w:tr>
        <w:trPr>
          <w:trHeight w:val="20"/>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08"/>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52-Weeks Ended</w:t>
            </w:r>
          </w:p>
        </w:tc>
      </w:tr>
      <w:tr>
        <w:trPr>
          <w:trHeight w:val="219"/>
        </w:trPr>
        <w:tc>
          <w:tcPr>
            <w:tcW w:w="350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August 29, 2026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August 30, 2025</w:t>
            </w:r>
          </w:p>
        </w:tc>
      </w:tr>
      <w:tr>
        <w:trPr>
          <w:trHeight w:val="212"/>
        </w:trPr>
        <w:tc>
          <w:tcPr>
            <w:tcW w:w="3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54"/>
        </w:trPr>
        <w:tc>
          <w:tcPr>
            <w:tcW w:w="3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Valuation allowance at beginning of year</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09"/>
        </w:trPr>
        <w:tc>
          <w:tcPr>
            <w:tcW w:w="3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Valuation allowance at end of year</w:t>
            </w: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1"/>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had federal net operating loss carryforwards of $11.1 million and $35.6 million, state net operating loss carryforwards of $35.7 million and $30.8 million, and foreign net operating loss carryforwards of $1.6 million and $0.4 million as of August 29, 2026 and August 30, 2025, respectively. Federal net operating loss carryforwards do not expire and the state net operating loss carryforwards will begin to expire in 2031. Foreign net operating loss carryforwards do not expire and are carried forward indefinitely.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August 29, 2026, the Company has recorded total valuation allowances of $0.3 million, of which $0.3 million relates to valuation allowances on deferred tax assets related to foreign net operating loss carryforwards. This amount represents a full valuation allowance on the deferred tax assets of foreign entities within Australia.</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August 29, 2026, the Company does not intend to indefinitely reinvest its foreign earnings within its subsidiary in Canada and has not recognized any tax liabilities related to this jurisdiction. It is the Company’s intention to reinvest the earnings of its other non-U.S. subsidiaries in its Australia and New Zealand operations. As of August 29, 2026, the Company has not made a provision for U.S. or additional foreign withholding taxes for any outside basis differences inherent in its investments in foreign subsidiaries that are indefinitely reinvested. It is not practicable to estimate the amount of deferred tax liability related to investments in these foreign subsidiaries.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29, 2026, and August 30, 2025, the Company has no unrecognized tax benefits.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interest and penalties associated with unrecognized tax benefits as a component of tax expense. As of August 29, 2026, and August 30, 2025, the Company has not accrued any interest or penalties on unrecognized tax benefits, as there is no position recorded as of these fiscal year-ends. No changes to the uncertain tax position balance are anticipated within the next 12 months and are not expected to materially affect the financial statements.</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of August 29, 2026, tax years 2018 to 2025 remain subject to examination in the United States and the tax years 2019 to 2025 remain subject to examination in other major foreign jurisdictions where the Company conducts business. State income tax returns are generally subject to examination for a period of three to six years after the filing of the respective return. Net operating losses originating in earlier, otherwise closed tax years remain subject to examination to the extent they are utilized in an open tax year.</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future utilization of federal net operating loss carryforwards generated after 2017 is limited to 80% of taxable income. An additional limitation applies to the use of federal net operating loss and credit carryforwards, under Section 382 of the Internal Revenue Code of 1986, as amended, that is applicable if the Company experiences an “ownership change”. The Company has experienced various “ownership changes” in prior years. The resulting Section 382 limitations are not expected to materially affect the Company’s ability to utilize carryforwards. Future changes in the ownership of the Company could further limit the Company’s ability to utilize its net operating losses and credits.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2021, the Organization for Economic Co-operation and Development (OECD) announced Pillar Two Model Rules, which call for the taxation of large multinational corporations at a minimum rate of 15%. Many non-U.S. tax jurisdictions have either recently enacted legislation to adopt certain components of the Pillar Two Model Rules beginning in fiscal 2025 with the adoption of additional components in later years or announced their plans to enact legislation in future years. The currently enacted Pillar Two Model Rules are not expected to have a significant effect on the Company’s provision for income taxes. The Company continues to monitor developments and evaluate effects, if any, of these provisions on its results of operations and cash flows for future years.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4, 2025, the H.R.1 tax law was enacted in the U.S. (the “H.R.1 Tax Act”). The H.R.1 Tax Act includes provisions, such as the permanent extension of certain expiring provisions of the Tax Cuts and Jobs Act of 2017, modifications to the international tax framework, and the restoration of favorable tax treatment for certain business provisions. The Company has accounted for the effect of the applicable H.R.1 Tax Act provisions in its consolidated financial statements for the year ended August 29, 2026.</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The objective of the project is to improve the transparency and usefulness of income tax disclosures. The Company adopted ASU 2023-09 for the year ended August 29, 2026 and applied the new disclosure requirements prospectively to the current fiscal year. Prior fiscal year disclosures have not been adjusted to reflect the new disclosure requirements.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generally leases office space and distribution centers in the United States through operating lease agreements. As of the fifty-two weeks ended August 29, 2026, the Company has no finance lease agreements. Our leases have remaining lease terms up to 6 years and most include an option to renew for additional terms.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Company’s lease costs recognized in the Consolidated Statements of Income and Comprehensive Income (Loss) consist of the following:</w:t>
      </w:r>
    </w:p>
    <w:p>
      <w:pPr>
        <w:spacing w:after="0" w:line="120"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2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53-Weeks Ended</w:t>
            </w:r>
          </w:p>
        </w:tc>
        <w:tc>
          <w:tcPr>
            <w:tcW w:w="0" w:type="dxa"/>
            <w:vAlign w:val="bottom"/>
          </w:tcPr>
          <w:p>
            <w:pPr>
              <w:spacing w:after="0"/>
              <w:rPr>
                <w:sz w:val="1"/>
                <w:szCs w:val="1"/>
                <w:color w:val="auto"/>
              </w:rPr>
            </w:pPr>
          </w:p>
        </w:tc>
      </w:tr>
      <w:tr>
        <w:trPr>
          <w:trHeight w:val="273"/>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3"/>
                <w:szCs w:val="23"/>
                <w:color w:val="auto"/>
              </w:rPr>
            </w:pPr>
          </w:p>
        </w:tc>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Statement of Operations Caption</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29, 2026</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30, 2025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August 31, 2024</w:t>
            </w:r>
          </w:p>
        </w:tc>
        <w:tc>
          <w:tcPr>
            <w:tcW w:w="0" w:type="dxa"/>
            <w:vAlign w:val="bottom"/>
          </w:tcPr>
          <w:p>
            <w:pPr>
              <w:spacing w:after="0"/>
              <w:rPr>
                <w:sz w:val="1"/>
                <w:szCs w:val="1"/>
                <w:color w:val="auto"/>
              </w:rPr>
            </w:pPr>
          </w:p>
        </w:tc>
      </w:tr>
      <w:tr>
        <w:trPr>
          <w:trHeight w:val="253"/>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2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Lease cost</w:t>
            </w:r>
          </w:p>
        </w:tc>
        <w:tc>
          <w:tcPr>
            <w:tcW w:w="26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Cost of goods sold and General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9,258</w:t>
            </w:r>
          </w:p>
        </w:tc>
        <w:tc>
          <w:tcPr>
            <w:tcW w:w="1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9,381</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9,011</w:t>
            </w:r>
          </w:p>
        </w:tc>
        <w:tc>
          <w:tcPr>
            <w:tcW w:w="0" w:type="dxa"/>
            <w:vAlign w:val="bottom"/>
          </w:tcPr>
          <w:p>
            <w:pPr>
              <w:spacing w:after="0"/>
              <w:rPr>
                <w:sz w:val="1"/>
                <w:szCs w:val="1"/>
                <w:color w:val="auto"/>
              </w:rPr>
            </w:pPr>
          </w:p>
        </w:tc>
      </w:tr>
      <w:tr>
        <w:trPr>
          <w:trHeight w:val="214"/>
        </w:trPr>
        <w:tc>
          <w:tcPr>
            <w:tcW w:w="2640" w:type="dxa"/>
            <w:vAlign w:val="bottom"/>
            <w:gridSpan w:val="2"/>
            <w:vMerge w:val="continue"/>
          </w:tcPr>
          <w:p>
            <w:pPr>
              <w:spacing w:after="0"/>
              <w:rPr>
                <w:sz w:val="18"/>
                <w:szCs w:val="18"/>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administrative</w:t>
            </w:r>
          </w:p>
        </w:tc>
        <w:tc>
          <w:tcPr>
            <w:tcW w:w="1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6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Variable lease cost </w:t>
            </w:r>
            <w:r>
              <w:rPr>
                <w:rFonts w:ascii="Times New Roman" w:cs="Times New Roman" w:eastAsia="Times New Roman" w:hAnsi="Times New Roman"/>
                <w:sz w:val="21"/>
                <w:szCs w:val="21"/>
                <w:color w:val="auto"/>
                <w:vertAlign w:val="superscript"/>
              </w:rPr>
              <w:t>(1)</w:t>
            </w:r>
          </w:p>
        </w:tc>
        <w:tc>
          <w:tcPr>
            <w:tcW w:w="268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i w:val="1"/>
                <w:iCs w:val="1"/>
                <w:color w:val="auto"/>
              </w:rPr>
              <w:t>Cost of goods sold and General and</w:t>
            </w: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w:t>
            </w:r>
          </w:p>
        </w:tc>
        <w:tc>
          <w:tcPr>
            <w:tcW w:w="0" w:type="dxa"/>
            <w:vAlign w:val="bottom"/>
          </w:tcPr>
          <w:p>
            <w:pPr>
              <w:spacing w:after="0"/>
              <w:rPr>
                <w:sz w:val="1"/>
                <w:szCs w:val="1"/>
                <w:color w:val="auto"/>
              </w:rPr>
            </w:pPr>
          </w:p>
        </w:tc>
      </w:tr>
      <w:tr>
        <w:trPr>
          <w:trHeight w:val="216"/>
        </w:trPr>
        <w:tc>
          <w:tcPr>
            <w:tcW w:w="2640" w:type="dxa"/>
            <w:vAlign w:val="bottom"/>
            <w:gridSpan w:val="2"/>
            <w:vMerge w:val="continue"/>
            <w:shd w:val="clear" w:color="auto" w:fill="CCEEFF"/>
          </w:tcPr>
          <w:p>
            <w:pPr>
              <w:spacing w:after="0"/>
              <w:rPr>
                <w:sz w:val="18"/>
                <w:szCs w:val="18"/>
                <w:color w:val="auto"/>
              </w:rPr>
            </w:pP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2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13,353</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12,836</w:t>
            </w:r>
          </w:p>
        </w:tc>
        <w:tc>
          <w:tcPr>
            <w:tcW w:w="0" w:type="dxa"/>
            <w:vAlign w:val="bottom"/>
          </w:tcPr>
          <w:p>
            <w:pPr>
              <w:spacing w:after="0"/>
              <w:rPr>
                <w:sz w:val="1"/>
                <w:szCs w:val="1"/>
                <w:color w:val="auto"/>
              </w:rPr>
            </w:pPr>
          </w:p>
        </w:tc>
      </w:tr>
      <w:tr>
        <w:trPr>
          <w:trHeight w:val="273"/>
        </w:trPr>
        <w:tc>
          <w:tcPr>
            <w:tcW w:w="2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Cost of goods sold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67"/>
        </w:trPr>
        <w:tc>
          <w:tcPr>
            <w:tcW w:w="2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2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Interest expense</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53"/>
        </w:trPr>
        <w:tc>
          <w:tcPr>
            <w:tcW w:w="2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2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70"/>
        </w:trPr>
        <w:tc>
          <w:tcPr>
            <w:tcW w:w="25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5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Variable lease cost primarily consists of common area maintenance, such as cleaning and repairs.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right-of-use assets and corresponding liabilities related to operating leases are as follows:</w:t>
      </w:r>
    </w:p>
    <w:p>
      <w:pPr>
        <w:spacing w:after="0" w:line="349"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Balance Sheets Caption</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29, 2026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30, 2025</w:t>
            </w:r>
          </w:p>
        </w:tc>
      </w:tr>
      <w:tr>
        <w:trPr>
          <w:trHeight w:val="25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7"/>
        </w:trPr>
        <w:tc>
          <w:tcPr>
            <w:tcW w:w="2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Other long-term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38,934</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44,118</w:t>
            </w:r>
          </w:p>
        </w:tc>
      </w:tr>
      <w:tr>
        <w:trPr>
          <w:trHeight w:val="251"/>
        </w:trPr>
        <w:tc>
          <w:tcPr>
            <w:tcW w:w="27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assets</w:t>
            </w:r>
          </w:p>
        </w:tc>
        <w:tc>
          <w:tcPr>
            <w:tcW w:w="3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44,118</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3"/>
        </w:trPr>
        <w:tc>
          <w:tcPr>
            <w:tcW w:w="2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Accrued expenses and other 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5,867</w:t>
            </w:r>
          </w:p>
        </w:tc>
      </w:tr>
      <w:tr>
        <w:trPr>
          <w:trHeight w:val="26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3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2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41,978</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49,494</w:t>
            </w:r>
          </w:p>
        </w:tc>
      </w:tr>
      <w:tr>
        <w:trPr>
          <w:trHeight w:val="226"/>
        </w:trPr>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50,345</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55,361</w:t>
            </w: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maturities of lease liabilities as of August 29, 2026, were as follows:</w:t>
      </w:r>
    </w:p>
    <w:p>
      <w:pPr>
        <w:spacing w:after="0" w:line="349" w:lineRule="exact"/>
        <w:rPr>
          <w:sz w:val="20"/>
          <w:szCs w:val="20"/>
          <w:color w:val="auto"/>
        </w:rPr>
      </w:pPr>
    </w:p>
    <w:tbl>
      <w:tblPr>
        <w:tblLayout w:type="fixed"/>
        <w:tblInd w:w="2960" w:type="dxa"/>
        <w:tblCellMar>
          <w:top w:w="0" w:type="dxa"/>
          <w:left w:w="0" w:type="dxa"/>
          <w:bottom w:w="0" w:type="dxa"/>
          <w:right w:w="0" w:type="dxa"/>
        </w:tblCellMar>
      </w:tblPr>
      <w:tr>
        <w:trPr>
          <w:trHeight w:val="215"/>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Operating Leases</w:t>
            </w:r>
          </w:p>
        </w:tc>
      </w:tr>
      <w:tr>
        <w:trPr>
          <w:trHeight w:val="253"/>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year ending:</w:t>
            </w: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67"/>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11,175</w:t>
            </w:r>
          </w:p>
        </w:tc>
      </w:tr>
      <w:tr>
        <w:trPr>
          <w:trHeight w:val="273"/>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10,636</w:t>
            </w:r>
          </w:p>
        </w:tc>
      </w:tr>
      <w:tr>
        <w:trPr>
          <w:trHeight w:val="267"/>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10,685</w:t>
            </w:r>
          </w:p>
        </w:tc>
      </w:tr>
      <w:tr>
        <w:trPr>
          <w:trHeight w:val="273"/>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2030</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10,756</w:t>
            </w:r>
          </w:p>
        </w:tc>
      </w:tr>
      <w:tr>
        <w:trPr>
          <w:trHeight w:val="267"/>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2031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10,724</w:t>
            </w:r>
          </w:p>
        </w:tc>
      </w:tr>
      <w:tr>
        <w:trPr>
          <w:trHeight w:val="270"/>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w:t>
            </w:r>
          </w:p>
        </w:tc>
      </w:tr>
      <w:tr>
        <w:trPr>
          <w:trHeight w:val="250"/>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59,399</w:t>
            </w:r>
          </w:p>
        </w:tc>
      </w:tr>
      <w:tr>
        <w:trPr>
          <w:trHeight w:val="270"/>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2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(9,054)</w:t>
            </w:r>
          </w:p>
        </w:tc>
      </w:tr>
      <w:tr>
        <w:trPr>
          <w:trHeight w:val="226"/>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50,345</w:t>
            </w:r>
          </w:p>
        </w:tc>
      </w:tr>
      <w:tr>
        <w:trPr>
          <w:trHeight w:val="21"/>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leases were as follows:</w:t>
      </w:r>
    </w:p>
    <w:p>
      <w:pPr>
        <w:spacing w:after="0" w:line="338" w:lineRule="exact"/>
        <w:rPr>
          <w:sz w:val="20"/>
          <w:szCs w:val="20"/>
          <w:color w:val="auto"/>
        </w:rPr>
      </w:pPr>
    </w:p>
    <w:tbl>
      <w:tblPr>
        <w:tblLayout w:type="fixed"/>
        <w:tblInd w:w="232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August 29, 2026</w:t>
            </w: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30, 2025</w:t>
            </w:r>
          </w:p>
        </w:tc>
      </w:tr>
      <w:tr>
        <w:trPr>
          <w:trHeight w:val="253"/>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5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r>
      <w:tr>
        <w:trPr>
          <w:trHeight w:val="267"/>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r>
      <w:tr>
        <w:trPr>
          <w:trHeight w:val="27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4"/>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r>
    </w:tbl>
    <w:p>
      <w:pPr>
        <w:spacing w:after="0" w:line="3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and other information related to leases was as follows:</w:t>
      </w:r>
    </w:p>
    <w:p>
      <w:pPr>
        <w:spacing w:after="0" w:line="297"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53-Weeks Ended</w:t>
            </w:r>
          </w:p>
        </w:tc>
      </w:tr>
      <w:tr>
        <w:trPr>
          <w:trHeight w:val="21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29, 2026</w:t>
            </w:r>
          </w:p>
        </w:tc>
        <w:tc>
          <w:tcPr>
            <w:tcW w:w="14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30, 2025</w:t>
            </w:r>
          </w:p>
        </w:tc>
        <w:tc>
          <w:tcPr>
            <w:tcW w:w="140" w:type="dxa"/>
            <w:vAlign w:val="bottom"/>
          </w:tcPr>
          <w:p>
            <w:pPr>
              <w:spacing w:after="0"/>
              <w:rPr>
                <w:sz w:val="19"/>
                <w:szCs w:val="19"/>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r>
      <w:tr>
        <w:trPr>
          <w:trHeight w:val="158"/>
        </w:trPr>
        <w:tc>
          <w:tcPr>
            <w:tcW w:w="452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Cash paid for amounts included in the measurement of lease</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216"/>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67"/>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11,293</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10,153</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12,042</w:t>
            </w:r>
          </w:p>
        </w:tc>
      </w:tr>
      <w:tr>
        <w:trPr>
          <w:trHeight w:val="273"/>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955</w:t>
            </w:r>
          </w:p>
        </w:tc>
      </w:tr>
      <w:tr>
        <w:trPr>
          <w:trHeight w:val="264"/>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Except as described below,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August 14, 2026, a putative class action complaint captioned </w:t>
      </w:r>
      <w:r>
        <w:rPr>
          <w:rFonts w:ascii="Times New Roman" w:cs="Times New Roman" w:eastAsia="Times New Roman" w:hAnsi="Times New Roman"/>
          <w:sz w:val="18"/>
          <w:szCs w:val="18"/>
          <w:i w:val="1"/>
          <w:iCs w:val="1"/>
          <w:color w:val="auto"/>
        </w:rPr>
        <w:t>Monroe County Employees’ Retirement System v. The Simply Good Foods Co.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No. 1:26-cv-06971-JAV, was filed in the United States District Court for the Southern District of New York. The complaint names as defendants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our former CEO Geoff E. Tanner, our former CFO Shaun P. Mara, and our current CFO Christopher J. Bealer. The complaint alleges that the defendants made materially false and/or misleading statements or omissions regarding our integration of OWYN and asserts claims under Sections 10(b) and 20(a) of the Securities Exchange Act of 1934. Plaintiff seeks to represent a putative class of stockholders who purchased our common stock between October 24, 2024, and April 8, 2026, both dates inclusive. We believe the complaint lacks merit and intend to defend the claims vigorously.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enters into endorsement contracts with certain celebrity figures and social media influencers to promote and endorse the Quest, Atkins, and OWYN brands and product lines. These contracts contain endorsement fees, which are expensed ratably over the life of the contract, and performance fees, which are recognized at the time of achievement. Based on the terms of contracts in place and achievement of performance conditions as of August 29, 2026, the Company will be required to make payments of $0.2 million over the next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adopted a stock repurchase program in November 2018. On January 6, 2026, the Company announced that its Board of Directors approved a $200.0 million increase in its repurchase authorization under its stock repurchase program (the “Current Authorization”).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fifty-two weeks ended August 29, 2026, the Company repurchased 11,662,234 shares of common stock at an average share price of $18.29 per share, inclusive of commissions and exclusive of accrued excise tax. During the fifty-two weeks ended August 30, 2025, the Company repurchased 1,592,471 shares of common stock at an average share price of $31.95 per share, inclusive of commissions and exclusive of accrued excise tax. The Company did not repurchase any shares of common stock during the fifty-three weeks ended August 31, 2024. The</w:t>
      </w:r>
    </w:p>
    <w:p>
      <w:pPr>
        <w:sectPr>
          <w:pgSz w:w="11900" w:h="16838" w:orient="portrait"/>
          <w:cols w:equalWidth="0" w:num="1">
            <w:col w:w="11240"/>
          </w:cols>
          <w:pgMar w:left="320" w:top="121" w:right="339" w:bottom="1440" w:gutter="0" w:footer="0" w:header="0"/>
        </w:sect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 Inflation Reduction Act of 2022 requires a 1% excise tax on the net amount of share repurchases. As of August 29, 2026, approximately $157.4 million remained available under the Current Authorization.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including the Company’s (i) employee stock options and (ii) non-vested restricted stock units and performance stock units (collectively, the “Stock Units”).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periods in which the Company has a net loss, diluted loss per share is based on the weighted average number of common shares issued and outstanding as the effect of including common stock equivalents outstanding would be anti-dilutive. As the Company was in a net loss position for the fifty-two weeks ended August 29, 2026, 0.2 million shares of common stock issuable upon exercise of stock options and non-vested Stock Units were excluded from the diluted earnings per share computation.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computations of both basic and diluted earnings per share:</w:t>
      </w:r>
    </w:p>
    <w:p>
      <w:pPr>
        <w:spacing w:after="0" w:line="54"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53-Weeks Ended</w:t>
            </w:r>
          </w:p>
        </w:tc>
        <w:tc>
          <w:tcPr>
            <w:tcW w:w="0" w:type="dxa"/>
            <w:vAlign w:val="bottom"/>
          </w:tcPr>
          <w:p>
            <w:pPr>
              <w:spacing w:after="0"/>
              <w:rPr>
                <w:sz w:val="1"/>
                <w:szCs w:val="1"/>
                <w:color w:val="auto"/>
              </w:rPr>
            </w:pPr>
          </w:p>
        </w:tc>
      </w:tr>
      <w:tr>
        <w:trPr>
          <w:trHeight w:val="21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4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29, 2026</w:t>
            </w:r>
          </w:p>
        </w:tc>
        <w:tc>
          <w:tcPr>
            <w:tcW w:w="14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30, 2025</w:t>
            </w:r>
          </w:p>
        </w:tc>
        <w:tc>
          <w:tcPr>
            <w:tcW w:w="140" w:type="dxa"/>
            <w:vAlign w:val="bottom"/>
          </w:tcPr>
          <w:p>
            <w:pPr>
              <w:spacing w:after="0"/>
              <w:rPr>
                <w:sz w:val="19"/>
                <w:szCs w:val="19"/>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c>
          <w:tcPr>
            <w:tcW w:w="0" w:type="dxa"/>
            <w:vAlign w:val="bottom"/>
          </w:tcPr>
          <w:p>
            <w:pPr>
              <w:spacing w:after="0"/>
              <w:rPr>
                <w:sz w:val="1"/>
                <w:szCs w:val="1"/>
                <w:color w:val="auto"/>
              </w:rPr>
            </w:pPr>
          </w:p>
        </w:tc>
      </w:tr>
      <w:tr>
        <w:trPr>
          <w:trHeight w:val="212"/>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(loss) earnings per share computation:</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Numerator: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120" w:type="dxa"/>
            <w:vAlign w:val="bottom"/>
            <w:gridSpan w:val="2"/>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Net (loss) income available to common stock</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(155,903)</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103,614</w:t>
            </w:r>
          </w:p>
        </w:tc>
        <w:tc>
          <w:tcPr>
            <w:tcW w:w="14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139,309</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stockholders</w:t>
            </w:r>
          </w:p>
        </w:tc>
        <w:tc>
          <w:tcPr>
            <w:tcW w:w="1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Denominator: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120" w:type="dxa"/>
            <w:vAlign w:val="bottom"/>
            <w:gridSpan w:val="2"/>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92,372,473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100,695,181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99,929,196</w:t>
            </w:r>
          </w:p>
        </w:tc>
        <w:tc>
          <w:tcPr>
            <w:tcW w:w="0" w:type="dxa"/>
            <w:vAlign w:val="bottom"/>
          </w:tcPr>
          <w:p>
            <w:pPr>
              <w:spacing w:after="0"/>
              <w:rPr>
                <w:sz w:val="1"/>
                <w:szCs w:val="1"/>
                <w:color w:val="auto"/>
              </w:rPr>
            </w:pPr>
          </w:p>
        </w:tc>
      </w:tr>
      <w:tr>
        <w:trPr>
          <w:trHeight w:val="213"/>
        </w:trPr>
        <w:tc>
          <w:tcPr>
            <w:tcW w:w="4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Basic (loss) earnings per share from net (loss)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(loss) earnings per share computation:</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Numerator:</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120" w:type="dxa"/>
            <w:vAlign w:val="bottom"/>
            <w:gridSpan w:val="2"/>
          </w:tcPr>
          <w:p>
            <w:pPr>
              <w:ind w:left="460"/>
              <w:spacing w:after="0" w:line="162" w:lineRule="exact"/>
              <w:rPr>
                <w:sz w:val="20"/>
                <w:szCs w:val="20"/>
                <w:color w:val="auto"/>
              </w:rPr>
            </w:pPr>
            <w:r>
              <w:rPr>
                <w:rFonts w:ascii="Times New Roman" w:cs="Times New Roman" w:eastAsia="Times New Roman" w:hAnsi="Times New Roman"/>
                <w:sz w:val="16"/>
                <w:szCs w:val="16"/>
                <w:color w:val="auto"/>
              </w:rPr>
              <w:t>Net (loss) income available to common stock</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(155,903)</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103,614</w:t>
            </w:r>
          </w:p>
        </w:tc>
        <w:tc>
          <w:tcPr>
            <w:tcW w:w="1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139,309</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stockholders</w:t>
            </w:r>
          </w:p>
        </w:tc>
        <w:tc>
          <w:tcPr>
            <w:tcW w:w="14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Denominator:</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120" w:type="dxa"/>
            <w:vAlign w:val="bottom"/>
            <w:gridSpan w:val="2"/>
          </w:tcPr>
          <w:p>
            <w:pPr>
              <w:ind w:left="460"/>
              <w:spacing w:after="0" w:line="162"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92,372,473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100,695,181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99,929,196</w:t>
            </w:r>
          </w:p>
        </w:tc>
        <w:tc>
          <w:tcPr>
            <w:tcW w:w="0" w:type="dxa"/>
            <w:vAlign w:val="bottom"/>
          </w:tcPr>
          <w:p>
            <w:pPr>
              <w:spacing w:after="0"/>
              <w:rPr>
                <w:sz w:val="1"/>
                <w:szCs w:val="1"/>
                <w:color w:val="auto"/>
              </w:rPr>
            </w:pPr>
          </w:p>
        </w:tc>
      </w:tr>
      <w:tr>
        <w:trPr>
          <w:trHeight w:val="213"/>
        </w:trPr>
        <w:tc>
          <w:tcPr>
            <w:tcW w:w="41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Employee stock options</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629,800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1,112,459</w:t>
            </w:r>
          </w:p>
        </w:tc>
        <w:tc>
          <w:tcPr>
            <w:tcW w:w="0" w:type="dxa"/>
            <w:vAlign w:val="bottom"/>
          </w:tcPr>
          <w:p>
            <w:pPr>
              <w:spacing w:after="0"/>
              <w:rPr>
                <w:sz w:val="1"/>
                <w:szCs w:val="1"/>
                <w:color w:val="auto"/>
              </w:rPr>
            </w:pPr>
          </w:p>
        </w:tc>
      </w:tr>
      <w:tr>
        <w:trPr>
          <w:trHeight w:val="213"/>
        </w:trPr>
        <w:tc>
          <w:tcPr>
            <w:tcW w:w="41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Non-vested stock units</w:t>
            </w:r>
          </w:p>
        </w:tc>
        <w:tc>
          <w:tcPr>
            <w:tcW w:w="1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240,233</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Weighted average common shares – diluted</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92,372,473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101,510,772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101,281,888</w:t>
            </w:r>
          </w:p>
        </w:tc>
        <w:tc>
          <w:tcPr>
            <w:tcW w:w="0" w:type="dxa"/>
            <w:vAlign w:val="bottom"/>
          </w:tcPr>
          <w:p>
            <w:pPr>
              <w:spacing w:after="0"/>
              <w:rPr>
                <w:sz w:val="1"/>
                <w:szCs w:val="1"/>
                <w:color w:val="auto"/>
              </w:rPr>
            </w:pPr>
          </w:p>
        </w:tc>
      </w:tr>
      <w:tr>
        <w:trPr>
          <w:trHeight w:val="212"/>
        </w:trPr>
        <w:tc>
          <w:tcPr>
            <w:tcW w:w="41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Diluted (loss) earnings per share from net (loss)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Diluted earnings per share calculations for the fifty-two weeks ended August 29, 2026, the fifty-two weeks ended August 30, 2025, and the fifty-three weeks ended August 31, 2024, excluded 3.0 million shares, 0.7 million shares, and 0.8 million shares of common stock issuable upon exercise of stock options and non-vested Stock Units, respectively, that would have been anti-dilutive.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Incentive Plan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Stock-based compensation includes stock options, restricted stock units, performance stock unit awards, and stock appreciation rights, which are awarded to employees, directors, and consultants of the Company. Stock-based compensation expense is recognized on a straight-line basis over the requisite service period of the award based on their grant date fair value. Stock-based compensation expense is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expense, which is the same financial statement caption where the recipient’s other compensation is reported.</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fifty-two weeks ended August 29, 2026, and the fifty-two weeks ended August 30, 2025, and fifty-three weeks ended August 31, 2024, the Company recorded stock-based compensation expense of $17.3 million, $15.3 million, and $18.4 million, respectively.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2026, the Company’s stockholders approved The Simply Good Foods Company Incentive Plan (the “Incentive Plan”), which replaced the 2017 Omnibus Incentive Plan (the “Prior Plan”). The purpose of the Incentive Plan is to assist the Company to attract, retain, and motivate officers and employees of, consultants to, and non-employee directors providing services to, the Company and to promote the success of the Company’s business by providing these participating individuals with a proprietary interest in the Company’s performance.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Incentive Plan provides for the issuance of a maximum of 6,355,505 shares of stock-denominated awards to directors, employees, officers and agents of the Company. As of August 29, 2026, there were 3.6 million shares available for grant under the Incentive Plan.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Executive Officer Stock Inducement Award</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hiring of the Company’s President and Chief Executive Officer on January 19, 2026, the Board of Directors granted a stock option exercisable for the purchase of </w:t>
      </w:r>
      <w:r>
        <w:rPr>
          <w:rFonts w:ascii="Times New Roman" w:cs="Times New Roman" w:eastAsia="Times New Roman" w:hAnsi="Times New Roman"/>
          <w:sz w:val="16"/>
          <w:szCs w:val="16"/>
          <w:color w:val="auto"/>
        </w:rPr>
        <w:t>2,000,000</w:t>
      </w:r>
      <w:r>
        <w:rPr>
          <w:rFonts w:ascii="Times New Roman" w:cs="Times New Roman" w:eastAsia="Times New Roman" w:hAnsi="Times New Roman"/>
          <w:sz w:val="18"/>
          <w:szCs w:val="18"/>
          <w:color w:val="auto"/>
        </w:rPr>
        <w:t xml:space="preserve"> shares of the Company’s common stock at an exercise price of </w:t>
      </w:r>
      <w:r>
        <w:rPr>
          <w:rFonts w:ascii="Times New Roman" w:cs="Times New Roman" w:eastAsia="Times New Roman" w:hAnsi="Times New Roman"/>
          <w:sz w:val="16"/>
          <w:szCs w:val="16"/>
          <w:color w:val="auto"/>
        </w:rPr>
        <w:t>$20.93</w:t>
      </w:r>
      <w:r>
        <w:rPr>
          <w:rFonts w:ascii="Times New Roman" w:cs="Times New Roman" w:eastAsia="Times New Roman" w:hAnsi="Times New Roman"/>
          <w:sz w:val="18"/>
          <w:szCs w:val="18"/>
          <w:color w:val="auto"/>
        </w:rPr>
        <w:t xml:space="preserve"> per share (the “CEO Stock Option Inducement Award”). This stock option is considered an inducement grant pursuant to Nasdaq Listing Rule 5635(c)(4) whereby the underlying shares were authorized outside of the Incentive Plan and the Prior Plan in connection with the commencement of the new President and Chief Executive Officer’s employment. The CEO Stock Option Inducement Award has a term that expires on January 19, 2034, and vests in three substantially equal installments on the anniversary of the grant date beginning January 19, 2027. The fair value of the Inducement Award was </w:t>
      </w:r>
      <w:r>
        <w:rPr>
          <w:rFonts w:ascii="Times New Roman" w:cs="Times New Roman" w:eastAsia="Times New Roman" w:hAnsi="Times New Roman"/>
          <w:sz w:val="16"/>
          <w:szCs w:val="16"/>
          <w:color w:val="auto"/>
        </w:rPr>
        <w:t>$7.38</w:t>
      </w:r>
      <w:r>
        <w:rPr>
          <w:rFonts w:ascii="Times New Roman" w:cs="Times New Roman" w:eastAsia="Times New Roman" w:hAnsi="Times New Roman"/>
          <w:sz w:val="18"/>
          <w:szCs w:val="18"/>
          <w:color w:val="auto"/>
        </w:rPr>
        <w:t xml:space="preserve"> per share and was computed using the Black-Scholes Option Pricing Model.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 options granted under the Incentive Plan are granted at a price equal to or more than the fair value of common stock on the date the option is granted. Stock options under the Incentive Plan generally become exercisable ratably over three years from the date of grant and must be exercised within ten years from the date of grant.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inclusive of the CEO Stock Option Inducement Award, for the fifty-two weeks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29, 2026:</w:t>
      </w:r>
    </w:p>
    <w:p>
      <w:pPr>
        <w:spacing w:after="0" w:line="352"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100" w:type="dxa"/>
            <w:vAlign w:val="bottom"/>
          </w:tcPr>
          <w:p>
            <w:pPr>
              <w:spacing w:after="0"/>
              <w:rPr>
                <w:sz w:val="16"/>
                <w:szCs w:val="16"/>
                <w:color w:val="auto"/>
              </w:rPr>
            </w:pPr>
          </w:p>
        </w:tc>
        <w:tc>
          <w:tcPr>
            <w:tcW w:w="13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Aggregate intrinsic</w:t>
            </w:r>
          </w:p>
        </w:tc>
        <w:tc>
          <w:tcPr>
            <w:tcW w:w="0" w:type="dxa"/>
            <w:vAlign w:val="bottom"/>
          </w:tcPr>
          <w:p>
            <w:pPr>
              <w:spacing w:after="0"/>
              <w:rPr>
                <w:sz w:val="1"/>
                <w:szCs w:val="1"/>
                <w:color w:val="auto"/>
              </w:rPr>
            </w:pPr>
          </w:p>
        </w:tc>
      </w:tr>
      <w:tr>
        <w:trPr>
          <w:trHeight w:val="162"/>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40" w:type="dxa"/>
            <w:vAlign w:val="bottom"/>
            <w:vMerge w:val="restart"/>
          </w:tcPr>
          <w:p>
            <w:pPr>
              <w:spacing w:after="0"/>
              <w:rPr>
                <w:sz w:val="14"/>
                <w:szCs w:val="14"/>
                <w:color w:val="auto"/>
              </w:rPr>
            </w:pPr>
          </w:p>
        </w:tc>
        <w:tc>
          <w:tcPr>
            <w:tcW w:w="1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5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remaining life</w:t>
            </w: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3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exercise price</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5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30, 2025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1,476,243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25.44</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10,147</w:t>
            </w:r>
          </w:p>
        </w:tc>
        <w:tc>
          <w:tcPr>
            <w:tcW w:w="0" w:type="dxa"/>
            <w:vAlign w:val="bottom"/>
          </w:tcPr>
          <w:p>
            <w:pPr>
              <w:spacing w:after="0"/>
              <w:rPr>
                <w:sz w:val="1"/>
                <w:szCs w:val="1"/>
                <w:color w:val="auto"/>
              </w:rPr>
            </w:pPr>
          </w:p>
        </w:tc>
      </w:tr>
      <w:tr>
        <w:trPr>
          <w:trHeight w:val="267"/>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2,059,311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20.93</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(46,215)</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29.92</w:t>
            </w:r>
          </w:p>
        </w:tc>
        <w:tc>
          <w:tcPr>
            <w:tcW w:w="12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29,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3,401,339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23.00</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August 29, 2026</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3,401,339</w:t>
            </w:r>
          </w:p>
        </w:tc>
        <w:tc>
          <w:tcPr>
            <w:tcW w:w="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23.00</w:t>
            </w:r>
          </w:p>
        </w:tc>
        <w:tc>
          <w:tcPr>
            <w:tcW w:w="12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August 29,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1,307,993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25.89</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August 29, 2026:</w:t>
      </w:r>
    </w:p>
    <w:p>
      <w:pPr>
        <w:spacing w:after="0" w:line="200" w:lineRule="exact"/>
        <w:rPr>
          <w:sz w:val="20"/>
          <w:szCs w:val="20"/>
          <w:color w:val="auto"/>
        </w:rPr>
      </w:pPr>
    </w:p>
    <w:p>
      <w:pPr>
        <w:spacing w:after="0" w:line="237"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206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rPr>
              <w:t>Range of Exercise Prices</w:t>
            </w: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Number outstanding</w:t>
            </w:r>
          </w:p>
        </w:tc>
        <w:tc>
          <w:tcPr>
            <w:tcW w:w="10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Number exercisable</w:t>
            </w:r>
          </w:p>
        </w:tc>
        <w:tc>
          <w:tcPr>
            <w:tcW w:w="10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2060" w:type="dxa"/>
            <w:vAlign w:val="bottom"/>
            <w:gridSpan w:val="4"/>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exercise price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remaining life (years)</w:t>
            </w:r>
          </w:p>
        </w:tc>
        <w:tc>
          <w:tcPr>
            <w:tcW w:w="1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exercise price</w:t>
            </w:r>
          </w:p>
        </w:tc>
        <w:tc>
          <w:tcPr>
            <w:tcW w:w="0" w:type="dxa"/>
            <w:vAlign w:val="bottom"/>
          </w:tcPr>
          <w:p>
            <w:pPr>
              <w:spacing w:after="0"/>
              <w:rPr>
                <w:sz w:val="1"/>
                <w:szCs w:val="1"/>
                <w:color w:val="auto"/>
              </w:rPr>
            </w:pPr>
          </w:p>
        </w:tc>
      </w:tr>
      <w:tr>
        <w:trPr>
          <w:trHeight w:val="253"/>
        </w:trPr>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17.77</w:t>
            </w:r>
          </w:p>
        </w:tc>
        <w:tc>
          <w:tcPr>
            <w:tcW w:w="14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353,163</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4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353,163</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12.67</w:t>
            </w:r>
          </w:p>
        </w:tc>
        <w:tc>
          <w:tcPr>
            <w:tcW w:w="0" w:type="dxa"/>
            <w:vAlign w:val="bottom"/>
          </w:tcPr>
          <w:p>
            <w:pPr>
              <w:spacing w:after="0"/>
              <w:rPr>
                <w:sz w:val="1"/>
                <w:szCs w:val="1"/>
                <w:color w:val="auto"/>
              </w:rPr>
            </w:pPr>
          </w:p>
        </w:tc>
      </w:tr>
      <w:tr>
        <w:trPr>
          <w:trHeight w:val="267"/>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23.55</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2,330,672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271,361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273"/>
        </w:trPr>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29.33</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137,069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137,069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24.41</w:t>
            </w:r>
          </w:p>
        </w:tc>
        <w:tc>
          <w:tcPr>
            <w:tcW w:w="0" w:type="dxa"/>
            <w:vAlign w:val="bottom"/>
          </w:tcPr>
          <w:p>
            <w:pPr>
              <w:spacing w:after="0"/>
              <w:rPr>
                <w:sz w:val="1"/>
                <w:szCs w:val="1"/>
                <w:color w:val="auto"/>
              </w:rPr>
            </w:pPr>
          </w:p>
        </w:tc>
      </w:tr>
      <w:tr>
        <w:trPr>
          <w:trHeight w:val="267"/>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35.11</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33.02</w:t>
            </w:r>
          </w:p>
        </w:tc>
        <w:tc>
          <w:tcPr>
            <w:tcW w:w="0" w:type="dxa"/>
            <w:vAlign w:val="bottom"/>
          </w:tcPr>
          <w:p>
            <w:pPr>
              <w:spacing w:after="0"/>
              <w:rPr>
                <w:sz w:val="1"/>
                <w:szCs w:val="1"/>
                <w:color w:val="auto"/>
              </w:rPr>
            </w:pPr>
          </w:p>
        </w:tc>
      </w:tr>
      <w:tr>
        <w:trPr>
          <w:trHeight w:val="270"/>
        </w:trPr>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40.88</w:t>
            </w:r>
          </w:p>
        </w:tc>
        <w:tc>
          <w:tcPr>
            <w:tcW w:w="14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568,680</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14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2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534,645</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37.76</w:t>
            </w:r>
          </w:p>
        </w:tc>
        <w:tc>
          <w:tcPr>
            <w:tcW w:w="0" w:type="dxa"/>
            <w:vAlign w:val="bottom"/>
          </w:tcPr>
          <w:p>
            <w:pPr>
              <w:spacing w:after="0"/>
              <w:rPr>
                <w:sz w:val="1"/>
                <w:szCs w:val="1"/>
                <w:color w:val="auto"/>
              </w:rPr>
            </w:pPr>
          </w:p>
        </w:tc>
      </w:tr>
      <w:tr>
        <w:trPr>
          <w:trHeight w:val="247"/>
        </w:trPr>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3,401,339</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1,307,993</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25.89</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options granted during the fifty-two weeks ended August 29, 2026, the fifty-two weeks ended August 30, 2025, and fifty-three weeks ended August 31, 2024, were $7.38, $16.47, and $14.36, respectively.</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 Pricing Model based on the following assumptions:</w:t>
      </w:r>
    </w:p>
    <w:p>
      <w:pPr>
        <w:spacing w:after="0" w:line="288"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52-Weeks Ended</w:t>
            </w: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52-Weeks Ended</w:t>
            </w:r>
          </w:p>
        </w:tc>
        <w:tc>
          <w:tcPr>
            <w:tcW w:w="1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53-Weeks Ended</w:t>
            </w:r>
          </w:p>
        </w:tc>
      </w:tr>
      <w:tr>
        <w:trPr>
          <w:trHeight w:val="273"/>
        </w:trPr>
        <w:tc>
          <w:tcPr>
            <w:tcW w:w="3320" w:type="dxa"/>
            <w:vAlign w:val="bottom"/>
          </w:tcPr>
          <w:p>
            <w:pPr>
              <w:spacing w:after="0"/>
              <w:rPr>
                <w:sz w:val="23"/>
                <w:szCs w:val="23"/>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August 29, 2026</w:t>
            </w: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August 30, 2025</w:t>
            </w:r>
          </w:p>
        </w:tc>
        <w:tc>
          <w:tcPr>
            <w:tcW w:w="1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August 31, 2024</w:t>
            </w:r>
          </w:p>
        </w:tc>
      </w:tr>
      <w:tr>
        <w:trPr>
          <w:trHeight w:val="25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32.22%</w:t>
            </w:r>
          </w:p>
        </w:tc>
        <w:tc>
          <w:tcPr>
            <w:tcW w:w="14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37.58%</w:t>
            </w:r>
          </w:p>
        </w:tc>
        <w:tc>
          <w:tcPr>
            <w:tcW w:w="14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37.00%</w:t>
            </w:r>
          </w:p>
        </w:tc>
      </w:tr>
      <w:tr>
        <w:trPr>
          <w:trHeight w:val="267"/>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option term</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264"/>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rate of return</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3.82%</w:t>
            </w:r>
          </w:p>
        </w:tc>
        <w:tc>
          <w:tcPr>
            <w:tcW w:w="14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4.39%</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the Company has now been listed for more than six years for the years presented above, which is broadly consistent with the expected term of the options, the Company has based its Black-Scholes valuation model’s expected volatility assumption on the actual volatility of its daily closing share price over the period since listing to the valuation date. The risk-free rates are based on the implied yield available on U.S. Treasury zero-coupon issues with an equivalent remaining term. Future annual dividends over the expected term are estimated to be nil.</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August 29, 2026, the Company had $10.9 million of total unrecognized compensation cost related to stock option plans that will be recognized over a weighted average period of 1.4 years. During the fifty-two weeks ended August 29, 2026, fifty-two weeks ended August 30, 2025, and fifty-three weeks ended August 31, 2024, the Company received $1.1 million, $12.9 million, and $4.3 million in cash from stock option exercises,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Restricted stock units granted under the Incentive Plan are granted at a price equal to the closing market price of the Company’s common stock on the date of grant. Restricted stock units granted under the Incentive Plan generally vest over three years.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fifty-two weeks ended August 29, 2026:</w:t>
      </w:r>
    </w:p>
    <w:p>
      <w:pPr>
        <w:spacing w:after="0" w:line="275" w:lineRule="exact"/>
        <w:rPr>
          <w:sz w:val="20"/>
          <w:szCs w:val="20"/>
          <w:color w:val="auto"/>
        </w:rPr>
      </w:pPr>
    </w:p>
    <w:tbl>
      <w:tblPr>
        <w:tblLayout w:type="fixed"/>
        <w:tblInd w:w="232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5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as of August 30,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639,015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1,284,008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0" w:type="dxa"/>
            <w:vAlign w:val="bottom"/>
          </w:tcPr>
          <w:p>
            <w:pPr>
              <w:spacing w:after="0"/>
              <w:rPr>
                <w:sz w:val="1"/>
                <w:szCs w:val="1"/>
                <w:color w:val="auto"/>
              </w:rPr>
            </w:pPr>
          </w:p>
        </w:tc>
      </w:tr>
      <w:tr>
        <w:trPr>
          <w:trHeight w:val="27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(362,289)</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0" w:type="dxa"/>
            <w:vAlign w:val="bottom"/>
          </w:tcPr>
          <w:p>
            <w:pPr>
              <w:spacing w:after="0"/>
              <w:rPr>
                <w:sz w:val="1"/>
                <w:szCs w:val="1"/>
                <w:color w:val="auto"/>
              </w:rPr>
            </w:pPr>
          </w:p>
        </w:tc>
      </w:tr>
      <w:tr>
        <w:trPr>
          <w:trHeight w:val="267"/>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(169,806)</w:t>
            </w: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0" w:type="dxa"/>
            <w:vAlign w:val="bottom"/>
          </w:tcPr>
          <w:p>
            <w:pPr>
              <w:spacing w:after="0"/>
              <w:rPr>
                <w:sz w:val="1"/>
                <w:szCs w:val="1"/>
                <w:color w:val="auto"/>
              </w:rPr>
            </w:pPr>
          </w:p>
        </w:tc>
      </w:tr>
      <w:tr>
        <w:trPr>
          <w:trHeight w:val="25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as of August 29,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1,390,928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August 29, 2026, the Company had $16.6 million of total unrecognized compensation cost related to restricted stock units that will be recognized over a weighted average period of 1.9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fifty-two weeks ended August 29, 2026, the Board of Directors granted performance stock units under the Prior Plan. The number of shares issuable as a result of grants of performance stock units is determined based on market-based criteria, performance-based criteria, or a combination of market-based criteria and performance-based criteria. The number of shares may be increased or decreased based on the results of these metrics in accordance with the terms established at the date of grant.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market-based criteria awards, the Company’s relative total shareholder return, or relative TSR, is measured for the Company and each company in the Russell 3000 Food &amp; Beverage index using the immediately preceding 30-day average share price at the beginning and end of the applicable three-year performance period. The percentile rank of the Company’s TSR relative to that of the peer group determines the percent of the target award earned, ranging between 0% and 200%. The related compensation expense is recognized ratably over the term regardless of whether or not the market condition is satisfied, provided the requisite service is rendered. These units are valued using a Monte Carlo simulation.</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Company financial performance-based criteria awards, we estimate the probability that the Company’s internally established performance criteria will be achieved at each reporting period and adjust compensation expense accordingly. The performance metrics achieved determine the percent of the target award earned, ranging between 0% and 200%. These units are valued using the closing market price of the Company’s common stock on the date of grant.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market-based criteria and Company financial performance-based criteria awards, the Company’s TSR within the peer group and the performance metrics achieved determine the percent of the target award earned, ranging between 0% and 275%. We estimate the probability that the performance criteria will be achieved at each reporting period and adjust compensation expense accordingly. Should the performance-based criteria not be probable of being achieved, the compensation expense for the value of the award incorporating the market-based criteria is recognized ratably over the term, provided the requisite service is rendered. These units are valued using a Monte Carlo simulation.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performance stock unit activity for the fifty-two weeks ended August 29, 2026:</w:t>
      </w:r>
    </w:p>
    <w:p>
      <w:pPr>
        <w:spacing w:after="0" w:line="275" w:lineRule="exact"/>
        <w:rPr>
          <w:sz w:val="20"/>
          <w:szCs w:val="20"/>
          <w:color w:val="auto"/>
        </w:rPr>
      </w:pPr>
    </w:p>
    <w:tbl>
      <w:tblPr>
        <w:tblLayout w:type="fixed"/>
        <w:tblInd w:w="232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4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as of August 30,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278,193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52.66</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290,348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(56,651)</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62.55</w:t>
            </w:r>
          </w:p>
        </w:tc>
        <w:tc>
          <w:tcPr>
            <w:tcW w:w="0" w:type="dxa"/>
            <w:vAlign w:val="bottom"/>
          </w:tcPr>
          <w:p>
            <w:pPr>
              <w:spacing w:after="0"/>
              <w:rPr>
                <w:sz w:val="1"/>
                <w:szCs w:val="1"/>
                <w:color w:val="auto"/>
              </w:rPr>
            </w:pPr>
          </w:p>
        </w:tc>
      </w:tr>
      <w:tr>
        <w:trPr>
          <w:trHeight w:val="267"/>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(212,226)</w:t>
            </w: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35.87</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as of August 29,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299,664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Performance stock units are generally granted to employees as a part of the annual grant in November of the associated fiscal year, although the Board of Directors reserves the right to administer mid-year grants from time to time as it sees fit. The fair value of each performance stock unit grant with a market-based TSR component is estimated on the date of grant using a Monte Carlo simulation based on the following assumptions presented below which are associated with each year’s annual grant:</w:t>
      </w:r>
    </w:p>
    <w:p>
      <w:pPr>
        <w:spacing w:after="0" w:line="306"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52-Weeks Ended</w:t>
            </w: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52-Weeks Ended</w:t>
            </w:r>
          </w:p>
        </w:tc>
        <w:tc>
          <w:tcPr>
            <w:tcW w:w="1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53-Weeks Ended</w:t>
            </w:r>
          </w:p>
        </w:tc>
      </w:tr>
      <w:tr>
        <w:trPr>
          <w:trHeight w:val="273"/>
        </w:trPr>
        <w:tc>
          <w:tcPr>
            <w:tcW w:w="3340" w:type="dxa"/>
            <w:vAlign w:val="bottom"/>
          </w:tcPr>
          <w:p>
            <w:pPr>
              <w:spacing w:after="0"/>
              <w:rPr>
                <w:sz w:val="23"/>
                <w:szCs w:val="23"/>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August 29, 2026</w:t>
            </w: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August 30, 2025</w:t>
            </w:r>
          </w:p>
        </w:tc>
        <w:tc>
          <w:tcPr>
            <w:tcW w:w="1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August 31, 2024</w:t>
            </w:r>
          </w:p>
        </w:tc>
      </w:tr>
      <w:tr>
        <w:trPr>
          <w:trHeight w:val="253"/>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29.96%</w:t>
            </w:r>
          </w:p>
        </w:tc>
        <w:tc>
          <w:tcPr>
            <w:tcW w:w="12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31.38%</w:t>
            </w:r>
          </w:p>
        </w:tc>
        <w:tc>
          <w:tcPr>
            <w:tcW w:w="14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33.96%</w:t>
            </w:r>
          </w:p>
        </w:tc>
      </w:tr>
      <w:tr>
        <w:trPr>
          <w:trHeight w:val="267"/>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performance term</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2.93</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2.93</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2.93</w:t>
            </w:r>
          </w:p>
        </w:tc>
      </w:tr>
      <w:tr>
        <w:trPr>
          <w:trHeight w:val="267"/>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rate of return</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4.14%</w:t>
            </w:r>
          </w:p>
        </w:tc>
        <w:tc>
          <w:tcPr>
            <w:tcW w:w="14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4.62%</w:t>
            </w:r>
          </w:p>
        </w:tc>
      </w:tr>
      <w:tr>
        <w:trPr>
          <w:trHeight w:val="27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$22.22</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$54.41</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$57.43</w:t>
            </w: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August 29, 2026, the Company had $3.4 million of total unrecognized compensation cost related to performance stock units that will be recognized over a weighted average period of 1.7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 appreciation rights (“SARs”) permit the holder to participate in the appreciation of the Company’s common stock price and are awarded to non-employee consultants of the Company. The SARs settle in shares of its common stock once the applicable vesting criteria have been met. The SARs outstanding as of August 29, 2026 cliff vested two years from the date of grant and must be exercised within five years from the date of grant.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SARs activity for the fifty-two weeks ended August 29, 2026:</w:t>
      </w:r>
    </w:p>
    <w:p>
      <w:pPr>
        <w:spacing w:after="0" w:line="200" w:lineRule="exact"/>
        <w:rPr>
          <w:sz w:val="20"/>
          <w:szCs w:val="20"/>
          <w:color w:val="auto"/>
        </w:rPr>
      </w:pPr>
    </w:p>
    <w:p>
      <w:pPr>
        <w:spacing w:after="0" w:line="386" w:lineRule="exact"/>
        <w:rPr>
          <w:sz w:val="20"/>
          <w:szCs w:val="20"/>
          <w:color w:val="auto"/>
        </w:rPr>
      </w:pPr>
    </w:p>
    <w:tbl>
      <w:tblPr>
        <w:tblLayout w:type="fixed"/>
        <w:tblInd w:w="232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r>
      <w:tr>
        <w:trPr>
          <w:trHeight w:val="213"/>
        </w:trPr>
        <w:tc>
          <w:tcPr>
            <w:tcW w:w="35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SARs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exercise price</w:t>
            </w:r>
          </w:p>
        </w:tc>
      </w:tr>
      <w:tr>
        <w:trPr>
          <w:trHeight w:val="25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August 30,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August 29,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Vested as of August 29, 2026</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Exercisable as of August 29,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bl>
    <w:p>
      <w:pPr>
        <w:spacing w:after="0" w:line="30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SARs outstanding as of the fifty-two weeks ended August 29, 2026 are liability-classified; therefore, the related stock-based compensation expense is based on the vesting provisions and the fair value of the awards.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Customer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August 29, 2026, the Company determined its operations are organized into </w:t>
      </w:r>
      <w:r>
        <w:rPr>
          <w:rFonts w:ascii="Times New Roman" w:cs="Times New Roman" w:eastAsia="Times New Roman" w:hAnsi="Times New Roman"/>
          <w:sz w:val="16"/>
          <w:szCs w:val="16"/>
          <w:color w:val="auto"/>
        </w:rPr>
        <w:t>one</w:t>
      </w:r>
      <w:r>
        <w:rPr>
          <w:rFonts w:ascii="Times New Roman" w:cs="Times New Roman" w:eastAsia="Times New Roman" w:hAnsi="Times New Roman"/>
          <w:sz w:val="18"/>
          <w:szCs w:val="18"/>
          <w:color w:val="auto"/>
        </w:rPr>
        <w:t xml:space="preserve"> consolidated operating segment and reportable segment, represented by the Company’s consolidated financial statements. Previously, as of August 30, 2025, the Company’s operations were organized into </w:t>
      </w:r>
      <w:r>
        <w:rPr>
          <w:rFonts w:ascii="Times New Roman" w:cs="Times New Roman" w:eastAsia="Times New Roman" w:hAnsi="Times New Roman"/>
          <w:sz w:val="16"/>
          <w:szCs w:val="16"/>
          <w:color w:val="auto"/>
        </w:rPr>
        <w:t>two</w:t>
      </w:r>
      <w:r>
        <w:rPr>
          <w:rFonts w:ascii="Times New Roman" w:cs="Times New Roman" w:eastAsia="Times New Roman" w:hAnsi="Times New Roman"/>
          <w:sz w:val="18"/>
          <w:szCs w:val="18"/>
          <w:color w:val="auto"/>
        </w:rPr>
        <w:t xml:space="preserve"> operating segments, Quest and Atkins, and OWYN, which were aggregated into </w:t>
      </w:r>
      <w:r>
        <w:rPr>
          <w:rFonts w:ascii="Times New Roman" w:cs="Times New Roman" w:eastAsia="Times New Roman" w:hAnsi="Times New Roman"/>
          <w:sz w:val="16"/>
          <w:szCs w:val="16"/>
          <w:color w:val="auto"/>
        </w:rPr>
        <w:t>one</w:t>
      </w:r>
      <w:r>
        <w:rPr>
          <w:rFonts w:ascii="Times New Roman" w:cs="Times New Roman" w:eastAsia="Times New Roman" w:hAnsi="Times New Roman"/>
          <w:sz w:val="18"/>
          <w:szCs w:val="18"/>
          <w:color w:val="auto"/>
        </w:rPr>
        <w:t xml:space="preserve"> reportable segment due to similar financial, economic and operating characteristics.</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Chief Operating Decision Maker (“CODM”) is the President and Chief Executive Officer (“CEO”). The CODM regularly reviews consolidated segment performance including net sales, significant expenses, net income, Adjusted EBITDA, budget to actual variance analysis, as well as other key metrics. The CODM uses net income as the measure of profitability to assess segment performance and allocate resources. The accounting policies of the segment are the same as those described in Note 2, Summary of Significant Accounting Policies.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segment net sales, significant expenses, and net income for the fifty-two weeks ended August 29, 2026, fifty-two weeks ended August 30, 2025, and fifty-three weeks ended August 31, 2024:</w:t>
      </w:r>
    </w:p>
    <w:p>
      <w:pPr>
        <w:spacing w:after="0" w:line="274"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53-Weeks Ended</w:t>
            </w:r>
          </w:p>
        </w:tc>
      </w:tr>
      <w:tr>
        <w:trPr>
          <w:trHeight w:val="260"/>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29, 2026</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30, 2025</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r>
      <w:tr>
        <w:trPr>
          <w:trHeight w:val="23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1,356,499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1,450,920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1,331,321</w:t>
            </w:r>
          </w:p>
        </w:tc>
      </w:tr>
      <w:tr>
        <w:trPr>
          <w:trHeight w:val="25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914,136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925,173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819,755</w:t>
            </w:r>
          </w:p>
        </w:tc>
      </w:tr>
      <w:tr>
        <w:trPr>
          <w:trHeight w:val="25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3"/>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129,446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134,282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143,929</w:t>
            </w:r>
          </w:p>
        </w:tc>
      </w:tr>
      <w:tr>
        <w:trPr>
          <w:trHeight w:val="260"/>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143,901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155,930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129,699</w:t>
            </w:r>
          </w:p>
        </w:tc>
      </w:tr>
      <w:tr>
        <w:trPr>
          <w:trHeight w:val="253"/>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16,917</w:t>
            </w:r>
          </w:p>
        </w:tc>
      </w:tr>
      <w:tr>
        <w:trPr>
          <w:trHeight w:val="260"/>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14,524</w:t>
            </w:r>
          </w:p>
        </w:tc>
      </w:tr>
      <w:tr>
        <w:trPr>
          <w:trHeight w:val="253"/>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Loss on impairment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331,000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60,928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(18,408)</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(20,447)</w:t>
            </w:r>
          </w:p>
        </w:tc>
      </w:tr>
      <w:tr>
        <w:trPr>
          <w:trHeight w:val="253"/>
        </w:trPr>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(42,220)</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32,289</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46,741</w:t>
            </w:r>
          </w:p>
        </w:tc>
      </w:tr>
      <w:tr>
        <w:trPr>
          <w:trHeight w:val="238"/>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(155,903)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103,614</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139,309</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revenue disaggregated by geographic area and brand:</w:t>
      </w:r>
    </w:p>
    <w:p>
      <w:pPr>
        <w:spacing w:after="0" w:line="324"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53-Weeks Ended</w:t>
            </w:r>
          </w:p>
        </w:tc>
      </w:tr>
      <w:tr>
        <w:trPr>
          <w:trHeight w:val="300"/>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29, 2026</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30, 2025</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r>
      <w:tr>
        <w:trPr>
          <w:trHeight w:val="25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Atkins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332,674</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420,787</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491,986</w:t>
            </w:r>
          </w:p>
        </w:tc>
      </w:tr>
      <w:tr>
        <w:trPr>
          <w:trHeight w:val="273"/>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Quest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869,707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863,614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777,394</w:t>
            </w:r>
          </w:p>
        </w:tc>
      </w:tr>
      <w:tr>
        <w:trPr>
          <w:trHeight w:val="267"/>
        </w:trPr>
        <w:tc>
          <w:tcPr>
            <w:tcW w:w="34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OWYN</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123,785</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137,020</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29,213</w:t>
            </w:r>
          </w:p>
        </w:tc>
      </w:tr>
      <w:tr>
        <w:trPr>
          <w:trHeight w:val="253"/>
        </w:trPr>
        <w:tc>
          <w:tcPr>
            <w:tcW w:w="3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North America</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1,326,166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1,421,421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1,298,593</w:t>
            </w:r>
          </w:p>
        </w:tc>
      </w:tr>
      <w:tr>
        <w:trPr>
          <w:trHeight w:val="270"/>
        </w:trPr>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International </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30,333</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29,499</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32,728</w:t>
            </w:r>
          </w:p>
        </w:tc>
      </w:tr>
      <w:tr>
        <w:trPr>
          <w:trHeight w:val="248"/>
        </w:trPr>
        <w:tc>
          <w:tcPr>
            <w:tcW w:w="34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1,356,499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1,450,920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1,331,321</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580" w:right="1820" w:hanging="8"/>
        <w:spacing w:after="0" w:line="226" w:lineRule="auto"/>
        <w:tabs>
          <w:tab w:leader="none" w:pos="1743"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long lived assets by geographic area:</w:t>
      </w:r>
    </w:p>
    <w:p>
      <w:pPr>
        <w:spacing w:after="0" w:line="324" w:lineRule="exact"/>
        <w:rPr>
          <w:sz w:val="20"/>
          <w:szCs w:val="20"/>
          <w:color w:val="auto"/>
        </w:rPr>
      </w:pPr>
    </w:p>
    <w:tbl>
      <w:tblPr>
        <w:tblLayout w:type="fixed"/>
        <w:tblInd w:w="2320" w:type="dxa"/>
        <w:tblCellMar>
          <w:top w:w="0" w:type="dxa"/>
          <w:left w:w="0" w:type="dxa"/>
          <w:bottom w:w="0" w:type="dxa"/>
          <w:right w:w="0" w:type="dxa"/>
        </w:tblCellMar>
      </w:tblPr>
      <w:tr>
        <w:trPr>
          <w:trHeight w:val="24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29, 2026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30, 2025</w:t>
            </w:r>
          </w:p>
        </w:tc>
      </w:tr>
      <w:tr>
        <w:trPr>
          <w:trHeight w:val="25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 lived assets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70"/>
        </w:trPr>
        <w:tc>
          <w:tcPr>
            <w:tcW w:w="35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52,614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39,738</w:t>
            </w:r>
          </w:p>
        </w:tc>
      </w:tr>
      <w:tr>
        <w:trPr>
          <w:trHeight w:val="248"/>
        </w:trPr>
        <w:tc>
          <w:tcPr>
            <w:tcW w:w="3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52,614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39,738</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320" w:right="2340" w:firstLine="8"/>
        <w:spacing w:after="0" w:line="243" w:lineRule="auto"/>
        <w:tabs>
          <w:tab w:leader="none" w:pos="2469" w:val="left"/>
        </w:tabs>
        <w:numPr>
          <w:ilvl w:val="0"/>
          <w:numId w:val="3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North America geographic area consists of long-lived assets substantially related to the United States and there is no individual foreign country in which more than 10% of the Company’s long-lived assets are located or that is otherwise deemed individually material.</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Credit risk for the Company was concentrated in two customers who each comprised more than 10% of the Company’s total sales for the fifty-two weeks ended August 29, 2026, fifty-two weeks ended August 30, 2025, and fifty-three weeks ended August 31, 2024:</w:t>
      </w:r>
    </w:p>
    <w:p>
      <w:pPr>
        <w:spacing w:after="0" w:line="261" w:lineRule="exact"/>
        <w:rPr>
          <w:sz w:val="20"/>
          <w:szCs w:val="20"/>
          <w:color w:val="auto"/>
        </w:rPr>
      </w:pPr>
    </w:p>
    <w:tbl>
      <w:tblPr>
        <w:tblLayout w:type="fixed"/>
        <w:tblInd w:w="2320" w:type="dxa"/>
        <w:tblCellMar>
          <w:top w:w="0" w:type="dxa"/>
          <w:left w:w="0" w:type="dxa"/>
          <w:bottom w:w="0" w:type="dxa"/>
          <w:right w:w="0" w:type="dxa"/>
        </w:tblCellMar>
      </w:tblPr>
      <w:tr>
        <w:trPr>
          <w:trHeight w:val="210"/>
        </w:trPr>
        <w:tc>
          <w:tcPr>
            <w:tcW w:w="1980" w:type="dxa"/>
            <w:vAlign w:val="bottom"/>
          </w:tcPr>
          <w:p>
            <w:pPr>
              <w:spacing w:after="0"/>
              <w:rPr>
                <w:sz w:val="18"/>
                <w:szCs w:val="18"/>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52-Weeks Ended</w:t>
            </w: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52-Weeks Ended</w:t>
            </w: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53-Weeks Ended</w:t>
            </w:r>
          </w:p>
        </w:tc>
      </w:tr>
      <w:tr>
        <w:trPr>
          <w:trHeight w:val="270"/>
        </w:trPr>
        <w:tc>
          <w:tcPr>
            <w:tcW w:w="1980" w:type="dxa"/>
            <w:vAlign w:val="bottom"/>
          </w:tcPr>
          <w:p>
            <w:pPr>
              <w:spacing w:after="0"/>
              <w:rPr>
                <w:sz w:val="23"/>
                <w:szCs w:val="23"/>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August 29, 2026</w:t>
            </w: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August 30, 2025</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August 31, 2024</w:t>
            </w:r>
          </w:p>
        </w:tc>
      </w:tr>
      <w:tr>
        <w:trPr>
          <w:trHeight w:val="33"/>
        </w:trPr>
        <w:tc>
          <w:tcPr>
            <w:tcW w:w="19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6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2</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r>
    </w:tbl>
    <w:p>
      <w:pPr>
        <w:spacing w:after="0" w:line="31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At August 29, 2026, and August 30, 2025, the following amounts of the Company’s accounts receivable, net were related to these significant customers for the periods in which the customers were significant:</w:t>
      </w:r>
    </w:p>
    <w:p>
      <w:pPr>
        <w:spacing w:after="0" w:line="261" w:lineRule="exact"/>
        <w:rPr>
          <w:sz w:val="20"/>
          <w:szCs w:val="20"/>
          <w:color w:val="auto"/>
        </w:rPr>
      </w:pPr>
    </w:p>
    <w:tbl>
      <w:tblPr>
        <w:tblLayout w:type="fixed"/>
        <w:tblInd w:w="2820" w:type="dxa"/>
        <w:tblCellMar>
          <w:top w:w="0" w:type="dxa"/>
          <w:left w:w="0" w:type="dxa"/>
          <w:bottom w:w="0" w:type="dxa"/>
          <w:right w:w="0" w:type="dxa"/>
        </w:tblCellMar>
      </w:tblPr>
      <w:tr>
        <w:trPr>
          <w:trHeight w:val="240"/>
        </w:trPr>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August 29, 2026</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August 30, 2025</w:t>
            </w:r>
          </w:p>
        </w:tc>
        <w:tc>
          <w:tcPr>
            <w:tcW w:w="380" w:type="dxa"/>
            <w:vAlign w:val="bottom"/>
            <w:tcBorders>
              <w:bottom w:val="single" w:sz="8" w:color="auto"/>
            </w:tcBorders>
          </w:tcPr>
          <w:p>
            <w:pPr>
              <w:spacing w:after="0"/>
              <w:rPr>
                <w:sz w:val="20"/>
                <w:szCs w:val="20"/>
                <w:color w:val="auto"/>
              </w:rPr>
            </w:pPr>
          </w:p>
        </w:tc>
      </w:tr>
      <w:tr>
        <w:trPr>
          <w:trHeight w:val="253"/>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1</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47,726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35 %</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60,151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6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2</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50,319</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37 %</w:t>
            </w:r>
          </w:p>
        </w:tc>
        <w:tc>
          <w:tcPr>
            <w:tcW w:w="14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46,225</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Restructuring and Other</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the fifty-two weeks ended August 29, 2026, the Company incurred $19.5 million of costs for restructuring activities, of which $5.7 million have been included within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$1.1 million have been included within </w:t>
      </w: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xml:space="preserve">, and $12.7 million have been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which includes $2.6 million of impairment charges related to various assets utilized at our contract manufacturing facilities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their carrying values were greater than their fair values, in the Consolidated Statements of Income and Comprehensive Income (Loss).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to the restructuring liability during the fifty-two weeks ended August 29, 2026 were as follows:</w:t>
      </w:r>
    </w:p>
    <w:p>
      <w:pPr>
        <w:spacing w:after="0" w:line="275" w:lineRule="exact"/>
        <w:rPr>
          <w:sz w:val="20"/>
          <w:szCs w:val="20"/>
          <w:color w:val="auto"/>
        </w:rPr>
      </w:pPr>
    </w:p>
    <w:tbl>
      <w:tblPr>
        <w:tblLayout w:type="fixed"/>
        <w:tblInd w:w="2520" w:type="dxa"/>
        <w:tblCellMar>
          <w:top w:w="0" w:type="dxa"/>
          <w:left w:w="0" w:type="dxa"/>
          <w:bottom w:w="0" w:type="dxa"/>
          <w:right w:w="0" w:type="dxa"/>
        </w:tblCellMar>
      </w:tblPr>
      <w:tr>
        <w:trPr>
          <w:trHeight w:val="184"/>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Termination benefits,</w:t>
            </w:r>
          </w:p>
        </w:tc>
        <w:tc>
          <w:tcPr>
            <w:tcW w:w="240" w:type="dxa"/>
            <w:vAlign w:val="bottom"/>
          </w:tcPr>
          <w:p>
            <w:pPr>
              <w:spacing w:after="0"/>
              <w:rPr>
                <w:sz w:val="16"/>
                <w:szCs w:val="16"/>
                <w:color w:val="auto"/>
              </w:rPr>
            </w:pPr>
          </w:p>
        </w:tc>
        <w:tc>
          <w:tcPr>
            <w:tcW w:w="138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rPr>
              <w:t>Total Liability</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severance and other</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30,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7"/>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Charges</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19,492</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19,492</w:t>
            </w:r>
          </w:p>
        </w:tc>
        <w:tc>
          <w:tcPr>
            <w:tcW w:w="0" w:type="dxa"/>
            <w:vAlign w:val="bottom"/>
          </w:tcPr>
          <w:p>
            <w:pPr>
              <w:spacing w:after="0"/>
              <w:rPr>
                <w:sz w:val="1"/>
                <w:szCs w:val="1"/>
                <w:color w:val="auto"/>
              </w:rPr>
            </w:pPr>
          </w:p>
        </w:tc>
      </w:tr>
      <w:tr>
        <w:trPr>
          <w:trHeight w:val="273"/>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(14,565)</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(14,565)</w:t>
            </w:r>
          </w:p>
        </w:tc>
        <w:tc>
          <w:tcPr>
            <w:tcW w:w="0" w:type="dxa"/>
            <w:vAlign w:val="bottom"/>
          </w:tcPr>
          <w:p>
            <w:pPr>
              <w:spacing w:after="0"/>
              <w:rPr>
                <w:sz w:val="1"/>
                <w:szCs w:val="1"/>
                <w:color w:val="auto"/>
              </w:rPr>
            </w:pPr>
          </w:p>
        </w:tc>
      </w:tr>
      <w:tr>
        <w:trPr>
          <w:trHeight w:val="267"/>
        </w:trPr>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Non-cash settlements or adjustments</w:t>
            </w:r>
          </w:p>
        </w:tc>
        <w:tc>
          <w:tcPr>
            <w:tcW w:w="1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2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0" w:type="dxa"/>
            <w:vAlign w:val="bottom"/>
          </w:tcPr>
          <w:p>
            <w:pPr>
              <w:spacing w:after="0"/>
              <w:rPr>
                <w:sz w:val="1"/>
                <w:szCs w:val="1"/>
                <w:color w:val="auto"/>
              </w:rPr>
            </w:pPr>
          </w:p>
        </w:tc>
      </w:tr>
      <w:tr>
        <w:trPr>
          <w:trHeight w:val="251"/>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29,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During the second quarter of fiscal year 2026, the Company announced certain restructuring activities in conjunction with the implementation of the Company’s modified organization design and actions to streamline its operations, which will create a more efficient organization that will continue to support and build its business. These restructuring plans primarily included workforce reductions, changes in management structure, actions to streamline its operations and other cost savings initiatives. As of August 29, 2026, the Company expects to incur approximately $25.0 million, including the $19.5 million referenced above, in restructuring and other costs, which were paid throughout fiscal 2026 and will continue to be paid throughout fiscal 2027.</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restructuring activities, the Company recorded incremental stock-based compensation expense of $1.0 million in the second quarter of fiscal year 2026 related to the separation of the Company’s prior President and Chief Executive Officer in January 2026. Refer to Note 14, Incentive Plan, of our Notes to Consolidated Financial Statements in this Report for additional information.</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one-time termination benefits and employee severance costs to be incurred in relation to these restructuring activities are accounted for in accordance with ASC Topic 420, Exit or Disposal Cost Obligations, and ASC Topic 712, Compensation-Nonretirement Postemployment Benefits, respectively. The Company recognizes a liability and the related expense for these restructuring costs when the liability is incurred and can be measured. Restructuring accruals are based upon management estimates at the time and can change depending upon changes in facts and circumstances subsequent to the date the original liability was recorded.</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August 29, 2026, the Company’s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is responsible for designing, implementing and maintaining adequate internal control over financial reporting (“ICFR”), as such term is defined in Rules 13a-15(f) and 15d-15(f) under the Exchange Act, to provide reasonable assurance regarding the reliability of our financial reporting and the preparation of financial statements in accordance with U.S. generally accepted accounting principles. Management assessed the effectiveness of our ICFR as of August 29, 2026. Management based its assessment on criteria established in Internal Control-Integrated Framework (2013) issued by the Committee of Sponsoring Organizations of the Treadway Commission. Based on the assessment using these criteria, management has concluded that our ICFR was effective as of August 29, 2026.</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ICFR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our ICFR as of August 29, 2026, was audited by Deloitte &amp; Touche LLP, our independent registered public accounting firm, as stated in their report appearing below, which expressed an unqualified opinion on the effectiveness of our ICFR as of August 29,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ICFR during the quarter ended August 29, 2026, that have materially affected, or are reasonably likely to materially affect, our ICFR.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The Simply Good Foods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The Simply Good Foods Company and subsidiaries (the “Company”) as of August 29,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August 29,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fifty-two weeks ended August 29, 2026, of the Company and our report dated October 27, 2026,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2026</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the quarter ended August 29, 2026, no directors or officers adopted or terminated a “Rule 10b5-1 trading arrangement” or a “non-Rule 10b5-1 trading arrangement,” as each term is defined in Item 408(a) of Regulation 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Incorporated herein by reference to our definitive proxy statement for our 2027 Annual Meeting of Stockholders to be filed no later than 120 days after the end of the fiscal year ended August 29,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Incorporated herein by reference to our definitive proxy statement for our 2027 Annual Meeting of Stockholders to be filed no later than 120 days after the end of the fiscal year ended August 29,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Incorporated herein by reference to our definitive proxy statement for our 2027 Annual Meeting of Stockholders to be filed no later than 120 days after the end of the fiscal year ended August 29,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Incorporated herein by reference to our definitive proxy statement for our 2027 Annual Meeting of Stockholders to be filed no later than 120 days after the end of the fiscal year ended August 29,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Information about aggregate fees billed to us by our principal accountant, Deloitte &amp; Touche LLP (PCAOB ID No. 34) will be presented under the caption “Audit Committee Matters - Principal Accounting Firm Fees” in our definitive proxy statement for our 2027 Annual Meeting of Stockholders to be filed no later than 120 days after the end of the fiscal year ended August 29, 2026 and is incorporated herein by reference.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The Simply Good Foods Company and its subsidiaries, as required to be filed, are included under Item 8 of this Annual Report on Form 10-K. Other schedules have been omitted as they are not applicable or the required information is set forth in the consolidated financial statements or notes thereto.</w:t>
      </w:r>
    </w:p>
    <w:p>
      <w:pPr>
        <w:sectPr>
          <w:pgSz w:w="11900" w:h="16838" w:orient="portrait"/>
          <w:cols w:equalWidth="0" w:num="1">
            <w:col w:w="11200"/>
          </w:cols>
          <w:pgMar w:left="320" w:top="121" w:right="379" w:bottom="1440" w:gutter="0" w:footer="0" w:header="0"/>
        </w:sectPr>
      </w:pP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b w:val="1"/>
          <w:bCs w:val="1"/>
          <w:color w:val="auto"/>
        </w:rPr>
        <w:t>Exhibit No.</w:t>
      </w:r>
    </w:p>
    <w:p>
      <w:pPr>
        <w:spacing w:after="0" w:line="46" w:lineRule="exact"/>
        <w:rPr>
          <w:sz w:val="20"/>
          <w:szCs w:val="20"/>
          <w:color w:val="auto"/>
        </w:rPr>
      </w:pPr>
    </w:p>
    <w:p>
      <w:pPr>
        <w:ind w:left="720"/>
        <w:spacing w:after="0"/>
        <w:rPr>
          <w:rFonts w:ascii="Times New Roman" w:cs="Times New Roman" w:eastAsia="Times New Roman" w:hAnsi="Times New Roman"/>
          <w:sz w:val="16"/>
          <w:szCs w:val="16"/>
          <w:u w:val="single" w:color="auto"/>
          <w:color w:val="0000FF"/>
        </w:rPr>
      </w:pPr>
      <w:hyperlink r:id="rId100">
        <w:r>
          <w:rPr>
            <w:rFonts w:ascii="Times New Roman" w:cs="Times New Roman" w:eastAsia="Times New Roman" w:hAnsi="Times New Roman"/>
            <w:sz w:val="16"/>
            <w:szCs w:val="16"/>
            <w:u w:val="single" w:color="auto"/>
            <w:color w:val="0000FF"/>
          </w:rPr>
          <w:t>2.1</w:t>
        </w:r>
      </w:hyperlink>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21590</wp:posOffset>
            </wp:positionV>
            <wp:extent cx="6669405" cy="3600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669405" cy="360045"/>
                    </a:xfrm>
                    <a:prstGeom prst="rect">
                      <a:avLst/>
                    </a:prstGeom>
                    <a:noFill/>
                  </pic:spPr>
                </pic:pic>
              </a:graphicData>
            </a:graphic>
          </wp:anchor>
        </w:drawing>
      </w:r>
    </w:p>
    <w:p>
      <w:pPr>
        <w:spacing w:after="0" w:line="41" w:lineRule="exact"/>
        <w:rPr>
          <w:sz w:val="20"/>
          <w:szCs w:val="20"/>
          <w:color w:val="auto"/>
        </w:rPr>
      </w:pPr>
    </w:p>
    <w:p>
      <w:pPr>
        <w:ind w:right="40"/>
        <w:spacing w:after="0" w:line="232" w:lineRule="auto"/>
        <w:rPr>
          <w:rFonts w:ascii="Times New Roman" w:cs="Times New Roman" w:eastAsia="Times New Roman" w:hAnsi="Times New Roman"/>
          <w:sz w:val="16"/>
          <w:szCs w:val="16"/>
          <w:u w:val="single" w:color="auto"/>
          <w:color w:val="0000FF"/>
        </w:rPr>
      </w:pPr>
      <w:hyperlink r:id="rId100">
        <w:r>
          <w:rPr>
            <w:rFonts w:ascii="Times New Roman" w:cs="Times New Roman" w:eastAsia="Times New Roman" w:hAnsi="Times New Roman"/>
            <w:sz w:val="16"/>
            <w:szCs w:val="16"/>
            <w:u w:val="single" w:color="auto"/>
            <w:color w:val="0000FF"/>
          </w:rPr>
          <w:t>Stock Purchase Agreement, dated as of April 29, 2024, by and among Simply Good Foods USA, Inc., a New York corporation, Only What You</w:t>
        </w:r>
      </w:hyperlink>
      <w:r>
        <w:rPr>
          <w:rFonts w:ascii="Times New Roman" w:cs="Times New Roman" w:eastAsia="Times New Roman" w:hAnsi="Times New Roman"/>
          <w:sz w:val="16"/>
          <w:szCs w:val="16"/>
          <w:u w:val="single" w:color="auto"/>
          <w:color w:val="0000FF"/>
        </w:rPr>
        <w:t xml:space="preserve"> </w:t>
      </w:r>
      <w:hyperlink r:id="rId100">
        <w:r>
          <w:rPr>
            <w:rFonts w:ascii="Times New Roman" w:cs="Times New Roman" w:eastAsia="Times New Roman" w:hAnsi="Times New Roman"/>
            <w:sz w:val="16"/>
            <w:szCs w:val="16"/>
            <w:u w:val="single" w:color="auto"/>
            <w:color w:val="0000FF"/>
          </w:rPr>
          <w:t>Need, Inc., a Delaware corporation, and Safe Brands, LLC, a Delaware limited liability company (incorporated by reference to Exhibit 2.1 to</w:t>
        </w:r>
      </w:hyperlink>
      <w:r>
        <w:rPr>
          <w:rFonts w:ascii="Times New Roman" w:cs="Times New Roman" w:eastAsia="Times New Roman" w:hAnsi="Times New Roman"/>
          <w:sz w:val="16"/>
          <w:szCs w:val="16"/>
          <w:u w:val="single" w:color="auto"/>
          <w:color w:val="0000FF"/>
        </w:rPr>
        <w:t xml:space="preserve"> </w:t>
      </w:r>
      <w:hyperlink r:id="rId100">
        <w:r>
          <w:rPr>
            <w:rFonts w:ascii="Times New Roman" w:cs="Times New Roman" w:eastAsia="Times New Roman" w:hAnsi="Times New Roman"/>
            <w:sz w:val="16"/>
            <w:szCs w:val="16"/>
            <w:u w:val="single" w:color="auto"/>
            <w:color w:val="0000FF"/>
          </w:rPr>
          <w:t>our Current Report on Form 8-K filed on April 30, 2024).</w:t>
        </w:r>
      </w:hyperlink>
    </w:p>
    <w:p>
      <w:pPr>
        <w:spacing w:after="0" w:line="1"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1500" w:space="360"/>
            <w:col w:w="9340"/>
          </w:cols>
          <w:pgMar w:left="320" w:top="121" w:right="379" w:bottom="1440" w:gutter="0" w:footer="0" w:header="0"/>
          <w:type w:val="continuous"/>
        </w:sectPr>
      </w:pPr>
    </w:p>
    <w:tbl>
      <w:tblPr>
        <w:tblLayout w:type="fixed"/>
        <w:tblInd w:w="700" w:type="dxa"/>
        <w:tblCellMar>
          <w:top w:w="0" w:type="dxa"/>
          <w:left w:w="0" w:type="dxa"/>
          <w:bottom w:w="0" w:type="dxa"/>
          <w:right w:w="0" w:type="dxa"/>
        </w:tblCellMar>
      </w:tblPr>
      <w:tr>
        <w:trPr>
          <w:trHeight w:val="182"/>
        </w:trPr>
        <w:tc>
          <w:tcPr>
            <w:tcW w:w="300" w:type="dxa"/>
            <w:vAlign w:val="bottom"/>
            <w:gridSpan w:val="3"/>
          </w:tcPr>
          <w:p>
            <w:pPr>
              <w:ind w:left="20"/>
              <w:spacing w:after="0" w:line="18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3.</w:t>
              </w:r>
              <w:r>
                <w:rPr>
                  <w:rFonts w:ascii="Times New Roman" w:cs="Times New Roman" w:eastAsia="Times New Roman" w:hAnsi="Times New Roman"/>
                  <w:sz w:val="16"/>
                  <w:szCs w:val="16"/>
                  <w:u w:val="single" w:color="auto"/>
                  <w:color w:val="0000FF"/>
                </w:rPr>
                <w:t>1</w:t>
              </w:r>
            </w:hyperlink>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20" w:type="dxa"/>
            <w:vAlign w:val="bottom"/>
            <w:gridSpan w:val="43"/>
          </w:tcPr>
          <w:p>
            <w:pPr>
              <w:spacing w:after="0" w:line="18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Fourth Amended and Restated Certificate of Incorporation of The Simply Good Foods Company (incorporated by reference to Exhibit 3.1 to</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34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our Current Report on Form 8-K/A filed on January 24,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300" w:type="dxa"/>
            <w:vAlign w:val="bottom"/>
            <w:gridSpan w:val="3"/>
            <w:shd w:val="clear" w:color="auto" w:fill="CCEEFF"/>
          </w:tcPr>
          <w:p>
            <w:pPr>
              <w:ind w:left="20"/>
              <w:spacing w:after="0" w:line="175"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3.</w:t>
              </w:r>
              <w:r>
                <w:rPr>
                  <w:rFonts w:ascii="Times New Roman" w:cs="Times New Roman" w:eastAsia="Times New Roman" w:hAnsi="Times New Roman"/>
                  <w:sz w:val="16"/>
                  <w:szCs w:val="16"/>
                  <w:u w:val="single" w:color="auto"/>
                  <w:color w:val="0000FF"/>
                </w:rPr>
                <w:t>2</w:t>
              </w:r>
            </w:hyperlink>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20" w:type="dxa"/>
            <w:vAlign w:val="bottom"/>
            <w:gridSpan w:val="43"/>
            <w:shd w:val="clear" w:color="auto" w:fill="CCEEFF"/>
          </w:tcPr>
          <w:p>
            <w:pPr>
              <w:spacing w:after="0" w:line="175"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Third Amended and Restated Bylaws of The Simply Good Foods Company (incorporated by reference to Exhibit 3.1 to our Current Report on</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2200" w:type="dxa"/>
            <w:vAlign w:val="bottom"/>
            <w:tcBorders>
              <w:top w:val="single" w:sz="8" w:color="0000FF"/>
              <w:bottom w:val="single" w:sz="8" w:color="0000FF"/>
            </w:tcBorders>
            <w:gridSpan w:val="6"/>
            <w:shd w:val="clear" w:color="auto" w:fill="CCEEFF"/>
          </w:tcPr>
          <w:p>
            <w:pPr>
              <w:spacing w:after="0" w:line="14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Form 8-K filed on July 19, 2023).</w:t>
              </w:r>
            </w:hyperlink>
          </w:p>
        </w:tc>
        <w:tc>
          <w:tcPr>
            <w:tcW w:w="7160" w:type="dxa"/>
            <w:vAlign w:val="bottom"/>
            <w:tcBorders>
              <w:top w:val="single" w:sz="8" w:color="0000FF"/>
              <w:bottom w:val="single" w:sz="8" w:color="CCEEFF"/>
            </w:tcBorders>
            <w:gridSpan w:val="1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300" w:type="dxa"/>
            <w:vAlign w:val="bottom"/>
            <w:gridSpan w:val="3"/>
          </w:tcPr>
          <w:p>
            <w:pPr>
              <w:ind w:left="20"/>
              <w:spacing w:after="0" w:line="175"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4.</w:t>
              </w:r>
              <w:r>
                <w:rPr>
                  <w:rFonts w:ascii="Times New Roman" w:cs="Times New Roman" w:eastAsia="Times New Roman" w:hAnsi="Times New Roman"/>
                  <w:sz w:val="16"/>
                  <w:szCs w:val="16"/>
                  <w:u w:val="single" w:color="auto"/>
                  <w:color w:val="0000FF"/>
                </w:rPr>
                <w:t>1</w:t>
              </w:r>
            </w:hyperlink>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20" w:type="dxa"/>
            <w:vAlign w:val="bottom"/>
            <w:gridSpan w:val="43"/>
          </w:tcPr>
          <w:p>
            <w:pPr>
              <w:spacing w:after="0" w:line="175"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Form of Common Stock Certificate (incorporated by reference to Exhibit 4.1 to Amendment No. 3 to our Registration Statement on Form S-4</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38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filed on June 12,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300" w:type="dxa"/>
            <w:vAlign w:val="bottom"/>
            <w:gridSpan w:val="3"/>
            <w:shd w:val="clear" w:color="auto" w:fill="CCEEFF"/>
          </w:tcPr>
          <w:p>
            <w:pPr>
              <w:ind w:left="20"/>
              <w:spacing w:after="0" w:line="175"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4.</w:t>
              </w:r>
              <w:r>
                <w:rPr>
                  <w:rFonts w:ascii="Times New Roman" w:cs="Times New Roman" w:eastAsia="Times New Roman" w:hAnsi="Times New Roman"/>
                  <w:sz w:val="16"/>
                  <w:szCs w:val="16"/>
                  <w:u w:val="single" w:color="auto"/>
                  <w:color w:val="0000FF"/>
                </w:rPr>
                <w:t>2</w:t>
              </w:r>
            </w:hyperlink>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20" w:type="dxa"/>
            <w:vAlign w:val="bottom"/>
            <w:gridSpan w:val="43"/>
            <w:shd w:val="clear" w:color="auto" w:fill="CCEEFF"/>
          </w:tcPr>
          <w:p>
            <w:pPr>
              <w:spacing w:after="0" w:line="175"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Description of Securities (incorporated by reference to Exhibit 4.2 to our Annual Report on Form 10-K filed on October 29, 2024).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60" w:type="dxa"/>
            <w:vAlign w:val="bottom"/>
            <w:gridSpan w:val="5"/>
          </w:tcPr>
          <w:p>
            <w:pPr>
              <w:ind w:left="20"/>
              <w:spacing w:after="0" w:line="175"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hyperlink>
          </w:p>
        </w:tc>
        <w:tc>
          <w:tcPr>
            <w:tcW w:w="9820" w:type="dxa"/>
            <w:vAlign w:val="bottom"/>
            <w:gridSpan w:val="43"/>
          </w:tcPr>
          <w:p>
            <w:pPr>
              <w:spacing w:after="0" w:line="175"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2017 Omnibus Incentive Plan (incorporated by reference to Exhibit 10.3 to Amendment No. 3 to Registration Statement on Form S-4 filed on</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80" w:type="dxa"/>
            <w:vAlign w:val="bottom"/>
          </w:tcPr>
          <w:p>
            <w:pPr>
              <w:spacing w:after="0"/>
              <w:rPr>
                <w:sz w:val="12"/>
                <w:szCs w:val="12"/>
                <w:color w:val="auto"/>
              </w:rPr>
            </w:pPr>
          </w:p>
        </w:tc>
        <w:tc>
          <w:tcPr>
            <w:tcW w:w="956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June 12,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60" w:type="dxa"/>
            <w:vAlign w:val="bottom"/>
            <w:gridSpan w:val="5"/>
            <w:shd w:val="clear" w:color="auto" w:fill="CCEEFF"/>
          </w:tcPr>
          <w:p>
            <w:pPr>
              <w:ind w:left="20"/>
              <w:spacing w:after="0" w:line="175"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w:t>
              </w:r>
            </w:hyperlink>
          </w:p>
        </w:tc>
        <w:tc>
          <w:tcPr>
            <w:tcW w:w="9820" w:type="dxa"/>
            <w:vAlign w:val="bottom"/>
            <w:gridSpan w:val="43"/>
            <w:shd w:val="clear" w:color="auto" w:fill="CCEEFF"/>
          </w:tcPr>
          <w:p>
            <w:pPr>
              <w:spacing w:after="0" w:line="175"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2017 Omnibus Incentive Plan, as amended from time to time Policy Regarding Treatment of Awards in the Event of an Awardee’s Retirement</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6680" w:type="dxa"/>
            <w:vAlign w:val="bottom"/>
            <w:tcBorders>
              <w:top w:val="single" w:sz="8" w:color="0000FF"/>
              <w:bottom w:val="single" w:sz="8" w:color="0000FF"/>
            </w:tcBorders>
            <w:gridSpan w:val="13"/>
            <w:shd w:val="clear" w:color="auto" w:fill="CCEEFF"/>
          </w:tcPr>
          <w:p>
            <w:pPr>
              <w:spacing w:after="0" w:line="14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(incorporated by reference to Exhibit 10.2 to our Current Report on Form 8-K filed on April 22, 2024).</w:t>
              </w:r>
            </w:hyperlink>
          </w:p>
        </w:tc>
        <w:tc>
          <w:tcPr>
            <w:tcW w:w="3060" w:type="dxa"/>
            <w:vAlign w:val="bottom"/>
            <w:tcBorders>
              <w:top w:val="single" w:sz="8" w:color="0000FF"/>
              <w:bottom w:val="single" w:sz="8" w:color="CCEEFF"/>
            </w:tcBorders>
            <w:gridSpan w:val="26"/>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160" w:type="dxa"/>
            <w:vAlign w:val="bottom"/>
            <w:gridSpan w:val="5"/>
          </w:tcPr>
          <w:p>
            <w:pPr>
              <w:ind w:left="20"/>
              <w:spacing w:after="0" w:line="175"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3†</w:t>
              </w:r>
            </w:hyperlink>
          </w:p>
        </w:tc>
        <w:tc>
          <w:tcPr>
            <w:tcW w:w="9820" w:type="dxa"/>
            <w:vAlign w:val="bottom"/>
            <w:gridSpan w:val="43"/>
          </w:tcPr>
          <w:p>
            <w:pPr>
              <w:spacing w:after="0" w:line="175"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The Simply Good Foods Company Incentive Plan (dated as of January 28, 2026) (incorporated by reference to Exhibit 99.1 to our Registration</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80" w:type="dxa"/>
            <w:vAlign w:val="bottom"/>
          </w:tcPr>
          <w:p>
            <w:pPr>
              <w:spacing w:after="0"/>
              <w:rPr>
                <w:sz w:val="12"/>
                <w:szCs w:val="12"/>
                <w:color w:val="auto"/>
              </w:rPr>
            </w:pPr>
          </w:p>
        </w:tc>
        <w:tc>
          <w:tcPr>
            <w:tcW w:w="9720" w:type="dxa"/>
            <w:vAlign w:val="bottom"/>
            <w:tcBorders>
              <w:top w:val="single" w:sz="8" w:color="0000FF"/>
            </w:tcBorders>
            <w:gridSpan w:val="38"/>
          </w:tcPr>
          <w:p>
            <w:pPr>
              <w:spacing w:after="0" w:line="14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Statement on Form S-8, File Number 333-293244, filed on February 6, 2026).</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60" w:type="dxa"/>
            <w:vAlign w:val="bottom"/>
            <w:gridSpan w:val="5"/>
            <w:shd w:val="clear" w:color="auto" w:fill="CCEEFF"/>
          </w:tcPr>
          <w:p>
            <w:pPr>
              <w:ind w:left="20"/>
              <w:spacing w:after="0" w:line="175"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4†</w:t>
              </w:r>
            </w:hyperlink>
          </w:p>
        </w:tc>
        <w:tc>
          <w:tcPr>
            <w:tcW w:w="9820" w:type="dxa"/>
            <w:vAlign w:val="bottom"/>
            <w:gridSpan w:val="43"/>
            <w:shd w:val="clear" w:color="auto" w:fill="CCEEFF"/>
          </w:tcPr>
          <w:p>
            <w:pPr>
              <w:spacing w:after="0" w:line="175"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Form of Indemnity Agreement (incorporated by reference to Exhibit 10.8 to Amendment No. 3 to our Registration Statement on Form S-4 filed</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9340" w:type="dxa"/>
            <w:vAlign w:val="bottom"/>
            <w:tcBorders>
              <w:top w:val="single" w:sz="8" w:color="0000FF"/>
            </w:tcBorders>
            <w:gridSpan w:val="19"/>
            <w:shd w:val="clear" w:color="auto" w:fill="CCEEFF"/>
          </w:tcPr>
          <w:p>
            <w:pPr>
              <w:spacing w:after="0" w:line="142"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on June 12, 2017).</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60" w:type="dxa"/>
            <w:vAlign w:val="bottom"/>
            <w:gridSpan w:val="5"/>
          </w:tcPr>
          <w:p>
            <w:pPr>
              <w:ind w:left="20"/>
              <w:spacing w:after="0" w:line="175"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5†</w:t>
              </w:r>
            </w:hyperlink>
          </w:p>
        </w:tc>
        <w:tc>
          <w:tcPr>
            <w:tcW w:w="9820" w:type="dxa"/>
            <w:vAlign w:val="bottom"/>
            <w:gridSpan w:val="43"/>
          </w:tcPr>
          <w:p>
            <w:pPr>
              <w:spacing w:after="0" w:line="175"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The Simply Good Foods Company Third Amended and Restated Executive Severance Compensation Plan, Effective May 23, 2025</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80" w:type="dxa"/>
            <w:vAlign w:val="bottom"/>
          </w:tcPr>
          <w:p>
            <w:pPr>
              <w:spacing w:after="0"/>
              <w:rPr>
                <w:sz w:val="12"/>
                <w:szCs w:val="12"/>
                <w:color w:val="auto"/>
              </w:rPr>
            </w:pPr>
          </w:p>
        </w:tc>
        <w:tc>
          <w:tcPr>
            <w:tcW w:w="946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(incorporated by reference to Exhibit 10.1 to our Current Report on Form 8-K filed on May 28,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60" w:type="dxa"/>
            <w:vAlign w:val="bottom"/>
            <w:gridSpan w:val="5"/>
            <w:shd w:val="clear" w:color="auto" w:fill="CCEEFF"/>
          </w:tcPr>
          <w:p>
            <w:pPr>
              <w:ind w:left="20"/>
              <w:spacing w:after="0" w:line="17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6†</w:t>
              </w:r>
            </w:hyperlink>
          </w:p>
        </w:tc>
        <w:tc>
          <w:tcPr>
            <w:tcW w:w="9820" w:type="dxa"/>
            <w:vAlign w:val="bottom"/>
            <w:gridSpan w:val="43"/>
            <w:shd w:val="clear" w:color="auto" w:fill="CCEEFF"/>
          </w:tcPr>
          <w:p>
            <w:pPr>
              <w:spacing w:after="0" w:line="17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Employment Agreement, dated January 19, 2026, between The Simply Good Foods Company and Joseph E. Scalzo (incorporated by reference</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9700" w:type="dxa"/>
            <w:vAlign w:val="bottom"/>
            <w:tcBorders>
              <w:top w:val="single" w:sz="8" w:color="0000FF"/>
            </w:tcBorders>
            <w:gridSpan w:val="37"/>
            <w:shd w:val="clear" w:color="auto" w:fill="CCEEFF"/>
          </w:tcPr>
          <w:p>
            <w:pPr>
              <w:spacing w:after="0" w:line="14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to Exhibit 10.1 to our Form 8-K filed on January 21, 2026).</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60" w:type="dxa"/>
            <w:vAlign w:val="bottom"/>
            <w:gridSpan w:val="5"/>
          </w:tcPr>
          <w:p>
            <w:pPr>
              <w:ind w:left="20"/>
              <w:spacing w:after="0" w:line="17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7†</w:t>
              </w:r>
            </w:hyperlink>
          </w:p>
        </w:tc>
        <w:tc>
          <w:tcPr>
            <w:tcW w:w="9820" w:type="dxa"/>
            <w:vAlign w:val="bottom"/>
            <w:gridSpan w:val="43"/>
          </w:tcPr>
          <w:p>
            <w:pPr>
              <w:spacing w:after="0" w:line="17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The Simply Good Foods Company Stand-Alone Inducement Award - Nonqualified Stock Option Grant Notice and Agreement with Joseph E.</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80" w:type="dxa"/>
            <w:vAlign w:val="bottom"/>
          </w:tcPr>
          <w:p>
            <w:pPr>
              <w:spacing w:after="0"/>
              <w:rPr>
                <w:sz w:val="12"/>
                <w:szCs w:val="12"/>
                <w:color w:val="auto"/>
              </w:rPr>
            </w:pPr>
          </w:p>
        </w:tc>
        <w:tc>
          <w:tcPr>
            <w:tcW w:w="9660" w:type="dxa"/>
            <w:vAlign w:val="bottom"/>
            <w:tcBorders>
              <w:top w:val="single" w:sz="8" w:color="0000FF"/>
            </w:tcBorders>
            <w:gridSpan w:val="35"/>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Scalzo (incorporated by reference to Exhibit 10.2 to our Form 8-K filed on January 21, 2026).</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60" w:type="dxa"/>
            <w:vAlign w:val="bottom"/>
            <w:gridSpan w:val="5"/>
            <w:shd w:val="clear" w:color="auto" w:fill="CCEEFF"/>
          </w:tcPr>
          <w:p>
            <w:pPr>
              <w:ind w:left="20"/>
              <w:spacing w:after="0" w:line="175"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8†</w:t>
              </w:r>
            </w:hyperlink>
          </w:p>
        </w:tc>
        <w:tc>
          <w:tcPr>
            <w:tcW w:w="9820" w:type="dxa"/>
            <w:vAlign w:val="bottom"/>
            <w:gridSpan w:val="43"/>
            <w:shd w:val="clear" w:color="auto" w:fill="CCEEFF"/>
          </w:tcPr>
          <w:p>
            <w:pPr>
              <w:spacing w:after="0" w:line="175"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Separation Agreement and General Release, dated January 18, 2026, by and between Geoff E. Tanner and Simply Good Foods USA, Inc., and</w:t>
              </w:r>
            </w:hyperlink>
          </w:p>
        </w:tc>
      </w:tr>
      <w:tr>
        <w:trPr>
          <w:trHeight w:val="142"/>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9500" w:type="dxa"/>
            <w:vAlign w:val="bottom"/>
            <w:tcBorders>
              <w:top w:val="single" w:sz="8" w:color="0000FF"/>
              <w:bottom w:val="single" w:sz="8" w:color="0000FF"/>
            </w:tcBorders>
            <w:gridSpan w:val="27"/>
            <w:shd w:val="clear" w:color="auto" w:fill="CCEEFF"/>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for certain purposes therein, The Simply Good Foods Company (incorporated by reference to Exhibit 10.3 to our Form 8-K filed on January</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2"/>
        </w:trPr>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21, 2026).</w:t>
              </w:r>
            </w:hyperlink>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80" w:type="dxa"/>
            <w:vAlign w:val="bottom"/>
            <w:gridSpan w:val="4"/>
          </w:tcPr>
          <w:p>
            <w:pPr>
              <w:ind w:left="20"/>
              <w:spacing w:after="0" w:line="17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9</w:t>
              </w:r>
            </w:hyperlink>
          </w:p>
        </w:tc>
        <w:tc>
          <w:tcPr>
            <w:tcW w:w="780" w:type="dxa"/>
            <w:vAlign w:val="bottom"/>
          </w:tcPr>
          <w:p>
            <w:pPr>
              <w:spacing w:after="0"/>
              <w:rPr>
                <w:sz w:val="15"/>
                <w:szCs w:val="15"/>
                <w:color w:val="auto"/>
              </w:rPr>
            </w:pPr>
          </w:p>
        </w:tc>
        <w:tc>
          <w:tcPr>
            <w:tcW w:w="9820" w:type="dxa"/>
            <w:vAlign w:val="bottom"/>
            <w:gridSpan w:val="43"/>
          </w:tcPr>
          <w:p>
            <w:pPr>
              <w:spacing w:after="0" w:line="17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Credit Agreement, dated July 7, 2017, among Atkins Intermediate Holdings, LLC, Conyers Park Parent Merger Sub, Inc., Conyers Park</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40" w:type="dxa"/>
            <w:vAlign w:val="bottom"/>
            <w:tcBorders>
              <w:top w:val="single" w:sz="8" w:color="0000FF"/>
              <w:bottom w:val="single" w:sz="8" w:color="0000FF"/>
            </w:tcBorders>
            <w:gridSpan w:val="34"/>
          </w:tcPr>
          <w:p>
            <w:pPr>
              <w:spacing w:after="0" w:line="14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Acquisition Corp., Conyers Park Merger Sub 1, Inc., Conyers Park Merger Sub 2, Inc., Conyers Park Merger Sub 3, Inc., Conyers Park Merger</w:t>
              </w:r>
            </w:hyperlink>
          </w:p>
        </w:tc>
        <w:tc>
          <w:tcPr>
            <w:tcW w:w="40" w:type="dxa"/>
            <w:vAlign w:val="bottom"/>
            <w:tcBorders>
              <w:bottom w:val="single" w:sz="8" w:color="0000FF"/>
            </w:tcBorders>
            <w:gridSpan w:val="2"/>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0" w:type="dxa"/>
            <w:vAlign w:val="bottom"/>
            <w:gridSpan w:val="42"/>
          </w:tcPr>
          <w:p>
            <w:pPr>
              <w:spacing w:after="0" w:line="14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Sub 4, Inc., NCP-ATK Holdings, Inc., Atkins Nutritionals Holdings, Inc., Atkins Nutritional Holdings II, Inc., Atkins Nutritionals, Inc., the</w:t>
              </w:r>
            </w:hyperlink>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0" w:type="dxa"/>
            <w:vAlign w:val="bottom"/>
            <w:tcBorders>
              <w:top w:val="single" w:sz="8" w:color="0000FF"/>
              <w:bottom w:val="single" w:sz="8" w:color="0000FF"/>
            </w:tcBorders>
            <w:gridSpan w:val="32"/>
          </w:tcPr>
          <w:p>
            <w:pPr>
              <w:spacing w:after="0" w:line="14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lenders party thereto and Barclays Bank PLC, as the administrative agent (incorporated by reference to Exhibit 10.1 to our Current Report on</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gridSpan w:val="36"/>
          </w:tcPr>
          <w:p>
            <w:pPr>
              <w:spacing w:after="0" w:line="14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Form 8-K filed on July 13, 2017).</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60" w:type="dxa"/>
            <w:vAlign w:val="bottom"/>
            <w:gridSpan w:val="5"/>
            <w:shd w:val="clear" w:color="auto" w:fill="CCEEFF"/>
          </w:tcPr>
          <w:p>
            <w:pPr>
              <w:ind w:left="20"/>
              <w:spacing w:after="0" w:line="175"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10</w:t>
              </w:r>
            </w:hyperlink>
          </w:p>
        </w:tc>
        <w:tc>
          <w:tcPr>
            <w:tcW w:w="9820" w:type="dxa"/>
            <w:vAlign w:val="bottom"/>
            <w:gridSpan w:val="43"/>
            <w:shd w:val="clear" w:color="auto" w:fill="CCEEFF"/>
          </w:tcPr>
          <w:p>
            <w:pPr>
              <w:spacing w:after="0" w:line="175"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Repricing Amendment, dated March 16, 2018, among Atkins Intermediate Holdings, LLC, Conyers Park Acquisition Corp., Atkins</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9580" w:type="dxa"/>
            <w:vAlign w:val="bottom"/>
            <w:tcBorders>
              <w:top w:val="single" w:sz="8" w:color="0000FF"/>
            </w:tcBorders>
            <w:gridSpan w:val="31"/>
            <w:shd w:val="clear" w:color="auto" w:fill="CCEEFF"/>
          </w:tcPr>
          <w:p>
            <w:pPr>
              <w:spacing w:after="0" w:line="142"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Nutritionals, Inc., Atkins Nutritionals Holdings, Inc., Atkins Nutritionals Holdings II, Inc. NCP-ATK Holdings, Inc. and Barclays Bank PLC</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CCEEFF"/>
            </w:tcBorders>
            <w:gridSpan w:val="7"/>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6760" w:type="dxa"/>
            <w:vAlign w:val="bottom"/>
            <w:tcBorders>
              <w:top w:val="single" w:sz="8" w:color="0000FF"/>
              <w:bottom w:val="single" w:sz="8" w:color="0000FF"/>
            </w:tcBorders>
            <w:gridSpan w:val="14"/>
            <w:shd w:val="clear" w:color="auto" w:fill="CCEEFF"/>
          </w:tcPr>
          <w:p>
            <w:pPr>
              <w:spacing w:after="0" w:line="142"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(incorporated by reference to Exhibit 10.1 to our Current Report on Form 8-K filed on March 20, 2018).</w:t>
              </w:r>
            </w:hyperlink>
          </w:p>
        </w:tc>
        <w:tc>
          <w:tcPr>
            <w:tcW w:w="2640" w:type="dxa"/>
            <w:vAlign w:val="bottom"/>
            <w:tcBorders>
              <w:top w:val="single" w:sz="8" w:color="0000FF"/>
              <w:bottom w:val="single" w:sz="8" w:color="CCEEFF"/>
            </w:tcBorders>
            <w:gridSpan w:val="8"/>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7"/>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5"/>
        </w:trPr>
        <w:tc>
          <w:tcPr>
            <w:tcW w:w="380" w:type="dxa"/>
            <w:vAlign w:val="bottom"/>
            <w:gridSpan w:val="4"/>
          </w:tcPr>
          <w:p>
            <w:pPr>
              <w:ind w:left="20"/>
              <w:spacing w:after="0" w:line="175" w:lineRule="exact"/>
              <w:rPr>
                <w:rFonts w:ascii="Times New Roman" w:cs="Times New Roman" w:eastAsia="Times New Roman" w:hAnsi="Times New Roman"/>
                <w:sz w:val="16"/>
                <w:szCs w:val="16"/>
                <w:color w:val="0000FF"/>
                <w:w w:val="94"/>
              </w:rPr>
            </w:pPr>
            <w:hyperlink r:id="rId116">
              <w:r>
                <w:rPr>
                  <w:rFonts w:ascii="Times New Roman" w:cs="Times New Roman" w:eastAsia="Times New Roman" w:hAnsi="Times New Roman"/>
                  <w:sz w:val="16"/>
                  <w:szCs w:val="16"/>
                  <w:color w:val="0000FF"/>
                  <w:w w:val="94"/>
                </w:rPr>
                <w:t>10.</w:t>
              </w:r>
              <w:r>
                <w:rPr>
                  <w:rFonts w:ascii="Times New Roman" w:cs="Times New Roman" w:eastAsia="Times New Roman" w:hAnsi="Times New Roman"/>
                  <w:sz w:val="16"/>
                  <w:szCs w:val="16"/>
                  <w:u w:val="single" w:color="auto"/>
                  <w:color w:val="0000FF"/>
                  <w:w w:val="94"/>
                </w:rPr>
                <w:t>11</w:t>
              </w:r>
            </w:hyperlink>
          </w:p>
        </w:tc>
        <w:tc>
          <w:tcPr>
            <w:tcW w:w="780" w:type="dxa"/>
            <w:vAlign w:val="bottom"/>
          </w:tcPr>
          <w:p>
            <w:pPr>
              <w:spacing w:after="0"/>
              <w:rPr>
                <w:sz w:val="15"/>
                <w:szCs w:val="15"/>
                <w:color w:val="auto"/>
              </w:rPr>
            </w:pPr>
          </w:p>
        </w:tc>
        <w:tc>
          <w:tcPr>
            <w:tcW w:w="9820" w:type="dxa"/>
            <w:vAlign w:val="bottom"/>
            <w:gridSpan w:val="43"/>
          </w:tcPr>
          <w:p>
            <w:pPr>
              <w:spacing w:after="0" w:line="175"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Amendment No. 2 (Incremental Facility Amendment), dated November 7, 2019, among Atkins Intermediate Holdings, LLC, Conyers Park</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80" w:type="dxa"/>
            <w:vAlign w:val="bottom"/>
          </w:tcPr>
          <w:p>
            <w:pPr>
              <w:spacing w:after="0"/>
              <w:rPr>
                <w:sz w:val="12"/>
                <w:szCs w:val="12"/>
                <w:color w:val="auto"/>
              </w:rPr>
            </w:pPr>
          </w:p>
        </w:tc>
        <w:tc>
          <w:tcPr>
            <w:tcW w:w="9540" w:type="dxa"/>
            <w:vAlign w:val="bottom"/>
            <w:tcBorders>
              <w:top w:val="single" w:sz="8" w:color="0000FF"/>
              <w:bottom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Acquisition Corp., Atkins Nutritionals, Inc., Atkins Nutritionals Holdings, Inc., Atkins Nutritionals Holdings II, Inc., NCP-ATK Holdings, Inc.,</w:t>
              </w:r>
            </w:hyperlink>
          </w:p>
        </w:tc>
        <w:tc>
          <w:tcPr>
            <w:tcW w:w="80" w:type="dxa"/>
            <w:vAlign w:val="bottom"/>
            <w:tcBorders>
              <w:bottom w:val="single" w:sz="8" w:color="0000FF"/>
            </w:tcBorders>
            <w:gridSpan w:val="4"/>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20" w:type="dxa"/>
            <w:vAlign w:val="bottom"/>
            <w:gridSpan w:val="33"/>
          </w:tcPr>
          <w:p>
            <w:pPr>
              <w:spacing w:after="0" w:line="14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the financial institutions set forth on Schedule A thereto as Additional Term Lenders and acknowledged by Barclays Bank PLC, as</w:t>
              </w:r>
            </w:hyperlink>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8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administrative agent (incorporated by reference to Exhibit 10.1 of our Current Report on Form 8-K filed on November 7, 2019).</w:t>
              </w:r>
            </w:hyperlink>
          </w:p>
        </w:tc>
        <w:tc>
          <w:tcPr>
            <w:tcW w:w="40" w:type="dxa"/>
            <w:vAlign w:val="bottom"/>
            <w:gridSpan w:val="2"/>
          </w:tcPr>
          <w:p>
            <w:pPr>
              <w:spacing w:after="0"/>
              <w:rPr>
                <w:sz w:val="12"/>
                <w:szCs w:val="12"/>
                <w:color w:val="auto"/>
              </w:rPr>
            </w:pPr>
          </w:p>
        </w:tc>
        <w:tc>
          <w:tcPr>
            <w:tcW w:w="240" w:type="dxa"/>
            <w:vAlign w:val="bottom"/>
            <w:gridSpan w:val="1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60" w:type="dxa"/>
            <w:vAlign w:val="bottom"/>
            <w:gridSpan w:val="5"/>
            <w:shd w:val="clear" w:color="auto" w:fill="CCEEFF"/>
          </w:tcPr>
          <w:p>
            <w:pPr>
              <w:ind w:left="20"/>
              <w:spacing w:after="0" w:line="175"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12</w:t>
              </w:r>
            </w:hyperlink>
          </w:p>
        </w:tc>
        <w:tc>
          <w:tcPr>
            <w:tcW w:w="9820" w:type="dxa"/>
            <w:vAlign w:val="bottom"/>
            <w:gridSpan w:val="43"/>
            <w:shd w:val="clear" w:color="auto" w:fill="CCEEFF"/>
          </w:tcPr>
          <w:p>
            <w:pPr>
              <w:spacing w:after="0" w:line="175"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Extension Amendment, dated December 16, 2021, among Atkins Intermediate Holdings, LLC, Conyers Park Acquisition Corp., Simply Good</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9580" w:type="dxa"/>
            <w:vAlign w:val="bottom"/>
            <w:tcBorders>
              <w:top w:val="single" w:sz="8" w:color="0000FF"/>
            </w:tcBorders>
            <w:gridSpan w:val="31"/>
            <w:shd w:val="clear" w:color="auto" w:fill="CCEEFF"/>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Foods USA, Inc., Atkins Nutritionals Holdings, Inc., Atkins Nutritionals Holdings II, Inc., NCP-ATK Holdings, Inc., the financial institutions</w:t>
              </w:r>
            </w:hyperlink>
          </w:p>
        </w:tc>
        <w:tc>
          <w:tcPr>
            <w:tcW w:w="180" w:type="dxa"/>
            <w:vAlign w:val="bottom"/>
            <w:tcBorders>
              <w:top w:val="single" w:sz="8" w:color="CCEEFF"/>
            </w:tcBorders>
            <w:gridSpan w:val="9"/>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9620" w:type="dxa"/>
            <w:vAlign w:val="bottom"/>
            <w:tcBorders>
              <w:top w:val="single" w:sz="8" w:color="0000FF"/>
            </w:tcBorders>
            <w:gridSpan w:val="33"/>
            <w:shd w:val="clear" w:color="auto" w:fill="CCEEFF"/>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party thereto, and Barclays Bank PLC, as administrative agent (incorporated by reference to Exhibit 10.1 to our Current Report on Form 8-K</w:t>
              </w:r>
            </w:hyperlink>
          </w:p>
        </w:tc>
        <w:tc>
          <w:tcPr>
            <w:tcW w:w="140" w:type="dxa"/>
            <w:vAlign w:val="bottom"/>
            <w:tcBorders>
              <w:top w:val="single" w:sz="8" w:color="CCEEFF"/>
            </w:tcBorders>
            <w:gridSpan w:val="7"/>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9300" w:type="dxa"/>
            <w:vAlign w:val="bottom"/>
            <w:tcBorders>
              <w:top w:val="single" w:sz="8" w:color="0000FF"/>
            </w:tcBorders>
            <w:gridSpan w:val="17"/>
            <w:shd w:val="clear" w:color="auto" w:fill="CCEEFF"/>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filed on December 22, 2021).</w:t>
              </w:r>
            </w:hyperlink>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240" w:type="dxa"/>
            <w:vAlign w:val="bottom"/>
            <w:tcBorders>
              <w:top w:val="single" w:sz="8" w:color="CCEEFF"/>
            </w:tcBorders>
            <w:gridSpan w:val="1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60" w:type="dxa"/>
            <w:vAlign w:val="bottom"/>
            <w:gridSpan w:val="5"/>
          </w:tcPr>
          <w:p>
            <w:pPr>
              <w:ind w:left="20"/>
              <w:spacing w:after="0" w:line="175"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13</w:t>
              </w:r>
            </w:hyperlink>
          </w:p>
        </w:tc>
        <w:tc>
          <w:tcPr>
            <w:tcW w:w="9820" w:type="dxa"/>
            <w:vAlign w:val="bottom"/>
            <w:gridSpan w:val="43"/>
          </w:tcPr>
          <w:p>
            <w:pPr>
              <w:spacing w:after="0" w:line="175"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Repricing Amendment, dated January 21, 2022, among Atkins Intermediate Holdings, LLC, Conyers Park Acquisition Corp., Simply Good</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80" w:type="dxa"/>
            <w:vAlign w:val="bottom"/>
          </w:tcPr>
          <w:p>
            <w:pPr>
              <w:spacing w:after="0"/>
              <w:rPr>
                <w:sz w:val="12"/>
                <w:szCs w:val="12"/>
                <w:color w:val="auto"/>
              </w:rPr>
            </w:pPr>
          </w:p>
        </w:tc>
        <w:tc>
          <w:tcPr>
            <w:tcW w:w="9760" w:type="dxa"/>
            <w:vAlign w:val="bottom"/>
            <w:tcBorders>
              <w:top w:val="single" w:sz="8" w:color="0000FF"/>
            </w:tcBorders>
            <w:gridSpan w:val="40"/>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Foods USA, Inc., Atkins Nutritionals Holdings, Inc., Atkins Nutritionals Holdings II, Inc., NCP-ATK Holdings, Inc., the other guarantors party</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20" w:type="dxa"/>
            <w:vAlign w:val="bottom"/>
            <w:tcBorders>
              <w:top w:val="single" w:sz="8" w:color="0000FF"/>
              <w:bottom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thereto, the financial institutions party thereto and Barclays Bank PLC, as administrative agent (incorporated by reference to Exhibit 10.1 to</w:t>
              </w:r>
            </w:hyperlink>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60" w:type="dxa"/>
            <w:vAlign w:val="bottom"/>
            <w:gridSpan w:val="1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520" w:type="dxa"/>
            <w:vAlign w:val="bottom"/>
            <w:gridSpan w:val="28"/>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our Current Report on Form 8-K filed on January 25, 2022).</w:t>
              </w:r>
            </w:hyperlink>
          </w:p>
        </w:tc>
        <w:tc>
          <w:tcPr>
            <w:tcW w:w="260" w:type="dxa"/>
            <w:vAlign w:val="bottom"/>
            <w:gridSpan w:val="1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60" w:type="dxa"/>
            <w:vAlign w:val="bottom"/>
            <w:gridSpan w:val="5"/>
            <w:shd w:val="clear" w:color="auto" w:fill="CCEEFF"/>
          </w:tcPr>
          <w:p>
            <w:pPr>
              <w:ind w:left="20"/>
              <w:spacing w:after="0" w:line="175"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14</w:t>
              </w:r>
            </w:hyperlink>
          </w:p>
        </w:tc>
        <w:tc>
          <w:tcPr>
            <w:tcW w:w="9820" w:type="dxa"/>
            <w:vAlign w:val="bottom"/>
            <w:gridSpan w:val="43"/>
            <w:shd w:val="clear" w:color="auto" w:fill="CCEEFF"/>
          </w:tcPr>
          <w:p>
            <w:pPr>
              <w:spacing w:after="0" w:line="175"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Repricing Amendment, dated April 25, 2023, among Atkins Intermediate Holdings, LLC, Conyers Park Acquisition Corp., Simply Good</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9780" w:type="dxa"/>
            <w:vAlign w:val="bottom"/>
            <w:tcBorders>
              <w:top w:val="single" w:sz="8" w:color="0000FF"/>
            </w:tcBorders>
            <w:gridSpan w:val="41"/>
            <w:shd w:val="clear" w:color="auto" w:fill="CCEEFF"/>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Foods USA, Inc., Atkins Nutritionals Holdings, Inc., Atkins Nutritionals Holdings II, Inc., NCP-ATK Holdings, Inc., and Barclays Bank PLC,</w:t>
              </w:r>
            </w:hyperlink>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9440" w:type="dxa"/>
            <w:vAlign w:val="bottom"/>
            <w:tcBorders>
              <w:top w:val="single" w:sz="8" w:color="0000FF"/>
            </w:tcBorders>
            <w:gridSpan w:val="24"/>
            <w:shd w:val="clear" w:color="auto" w:fill="CCEEFF"/>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as Administrative Agent and Replacement Lender (incorporated by reference to Exhibit 10.1 to our Current Report on Form 8-K filed on April</w:t>
              </w:r>
            </w:hyperlink>
          </w:p>
        </w:tc>
        <w:tc>
          <w:tcPr>
            <w:tcW w:w="380" w:type="dxa"/>
            <w:vAlign w:val="bottom"/>
            <w:tcBorders>
              <w:top w:val="single" w:sz="8" w:color="CCEEFF"/>
            </w:tcBorders>
            <w:gridSpan w:val="19"/>
            <w:shd w:val="clear" w:color="auto" w:fill="CCEEFF"/>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27, 2023).</w:t>
              </w:r>
            </w:hyperlink>
          </w:p>
        </w:tc>
        <w:tc>
          <w:tcPr>
            <w:tcW w:w="200" w:type="dxa"/>
            <w:vAlign w:val="bottom"/>
            <w:tcBorders>
              <w:top w:val="single" w:sz="8" w:color="0000FF"/>
            </w:tcBorders>
            <w:shd w:val="clear" w:color="auto" w:fill="CCEEFF"/>
          </w:tcPr>
          <w:p>
            <w:pPr>
              <w:spacing w:after="0"/>
              <w:rPr>
                <w:sz w:val="12"/>
                <w:szCs w:val="12"/>
                <w:color w:val="auto"/>
              </w:rPr>
            </w:pPr>
          </w:p>
        </w:tc>
        <w:tc>
          <w:tcPr>
            <w:tcW w:w="340" w:type="dxa"/>
            <w:vAlign w:val="bottom"/>
            <w:tcBorders>
              <w:top w:val="single" w:sz="8" w:color="0000FF"/>
            </w:tcBorders>
            <w:shd w:val="clear" w:color="auto" w:fill="CCEEFF"/>
          </w:tcPr>
          <w:p>
            <w:pPr>
              <w:spacing w:after="0"/>
              <w:rPr>
                <w:sz w:val="12"/>
                <w:szCs w:val="12"/>
                <w:color w:val="auto"/>
              </w:rPr>
            </w:pPr>
          </w:p>
        </w:tc>
        <w:tc>
          <w:tcPr>
            <w:tcW w:w="360" w:type="dxa"/>
            <w:vAlign w:val="bottom"/>
            <w:tcBorders>
              <w:top w:val="single" w:sz="8" w:color="0000FF"/>
            </w:tcBorders>
            <w:shd w:val="clear" w:color="auto" w:fill="CCEEFF"/>
          </w:tcPr>
          <w:p>
            <w:pPr>
              <w:spacing w:after="0"/>
              <w:rPr>
                <w:sz w:val="12"/>
                <w:szCs w:val="12"/>
                <w:color w:val="auto"/>
              </w:rPr>
            </w:pPr>
          </w:p>
        </w:tc>
        <w:tc>
          <w:tcPr>
            <w:tcW w:w="300" w:type="dxa"/>
            <w:vAlign w:val="bottom"/>
            <w:tcBorders>
              <w:top w:val="single" w:sz="8" w:color="0000FF"/>
            </w:tcBorders>
            <w:shd w:val="clear" w:color="auto" w:fill="CCEEFF"/>
          </w:tcPr>
          <w:p>
            <w:pPr>
              <w:spacing w:after="0"/>
              <w:rPr>
                <w:sz w:val="12"/>
                <w:szCs w:val="12"/>
                <w:color w:val="auto"/>
              </w:rPr>
            </w:pPr>
          </w:p>
        </w:tc>
        <w:tc>
          <w:tcPr>
            <w:tcW w:w="166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1000" w:type="dxa"/>
            <w:vAlign w:val="bottom"/>
            <w:tcBorders>
              <w:top w:val="single" w:sz="8" w:color="0000FF"/>
            </w:tcBorders>
            <w:shd w:val="clear" w:color="auto" w:fill="CCEEFF"/>
          </w:tcPr>
          <w:p>
            <w:pPr>
              <w:spacing w:after="0"/>
              <w:rPr>
                <w:sz w:val="12"/>
                <w:szCs w:val="12"/>
                <w:color w:val="auto"/>
              </w:rPr>
            </w:pPr>
          </w:p>
        </w:tc>
        <w:tc>
          <w:tcPr>
            <w:tcW w:w="1040" w:type="dxa"/>
            <w:vAlign w:val="bottom"/>
            <w:tcBorders>
              <w:top w:val="single" w:sz="8" w:color="0000FF"/>
            </w:tcBorders>
            <w:shd w:val="clear" w:color="auto" w:fill="CCEEFF"/>
          </w:tcPr>
          <w:p>
            <w:pPr>
              <w:spacing w:after="0"/>
              <w:rPr>
                <w:sz w:val="12"/>
                <w:szCs w:val="12"/>
                <w:color w:val="auto"/>
              </w:rPr>
            </w:pPr>
          </w:p>
        </w:tc>
        <w:tc>
          <w:tcPr>
            <w:tcW w:w="54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154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95"/>
        </w:trPr>
        <w:tc>
          <w:tcPr>
            <w:tcW w:w="1160" w:type="dxa"/>
            <w:vAlign w:val="bottom"/>
            <w:gridSpan w:val="5"/>
          </w:tcPr>
          <w:p>
            <w:pPr>
              <w:ind w:left="20"/>
              <w:spacing w:after="0" w:line="175"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15</w:t>
              </w:r>
            </w:hyperlink>
          </w:p>
        </w:tc>
        <w:tc>
          <w:tcPr>
            <w:tcW w:w="9820" w:type="dxa"/>
            <w:vAlign w:val="bottom"/>
            <w:gridSpan w:val="43"/>
          </w:tcPr>
          <w:p>
            <w:pPr>
              <w:spacing w:after="0" w:line="175"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Amendment No. 6 (Incremental Facility Amendment), dated as of June 13, 2024, among Atkins Intermediate Holdings, LLC, a Delaware</w:t>
              </w:r>
            </w:hyperlink>
          </w:p>
        </w:tc>
      </w:tr>
      <w:tr>
        <w:trPr>
          <w:trHeight w:val="126"/>
        </w:trPr>
        <w:tc>
          <w:tcPr>
            <w:tcW w:w="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780" w:type="dxa"/>
            <w:vAlign w:val="bottom"/>
          </w:tcPr>
          <w:p>
            <w:pPr>
              <w:spacing w:after="0"/>
              <w:rPr>
                <w:sz w:val="10"/>
                <w:szCs w:val="10"/>
                <w:color w:val="auto"/>
              </w:rPr>
            </w:pPr>
          </w:p>
        </w:tc>
        <w:tc>
          <w:tcPr>
            <w:tcW w:w="9320" w:type="dxa"/>
            <w:vAlign w:val="bottom"/>
            <w:tcBorders>
              <w:top w:val="single" w:sz="8" w:color="0000FF"/>
            </w:tcBorders>
            <w:gridSpan w:val="18"/>
          </w:tcPr>
          <w:p>
            <w:pPr>
              <w:spacing w:after="0" w:line="127" w:lineRule="exact"/>
              <w:rPr>
                <w:rFonts w:ascii="Times New Roman" w:cs="Times New Roman" w:eastAsia="Times New Roman" w:hAnsi="Times New Roman"/>
                <w:sz w:val="14"/>
                <w:szCs w:val="14"/>
                <w:u w:val="single" w:color="auto"/>
                <w:color w:val="0000FF"/>
              </w:rPr>
            </w:pPr>
            <w:hyperlink r:id="rId120">
              <w:r>
                <w:rPr>
                  <w:rFonts w:ascii="Times New Roman" w:cs="Times New Roman" w:eastAsia="Times New Roman" w:hAnsi="Times New Roman"/>
                  <w:sz w:val="14"/>
                  <w:szCs w:val="14"/>
                  <w:u w:val="single" w:color="auto"/>
                  <w:color w:val="0000FF"/>
                </w:rPr>
                <w:t>limited liability company, Conyers Park Acquisition Corp., a Delaware corporation, Simply Good Foods USA, Inc., a Delaware corporation,</w:t>
              </w:r>
            </w:hyperlink>
          </w:p>
        </w:tc>
        <w:tc>
          <w:tcPr>
            <w:tcW w:w="500" w:type="dxa"/>
            <w:vAlign w:val="bottom"/>
            <w:gridSpan w:val="25"/>
          </w:tcPr>
          <w:p>
            <w:pPr>
              <w:spacing w:after="0"/>
              <w:rPr>
                <w:sz w:val="10"/>
                <w:szCs w:val="10"/>
                <w:color w:val="auto"/>
              </w:rPr>
            </w:pPr>
          </w:p>
        </w:tc>
      </w:tr>
    </w:tbl>
    <w:p>
      <w:pPr>
        <w:jc w:val="both"/>
        <w:ind w:left="1860" w:right="20"/>
        <w:spacing w:after="0" w:line="224" w:lineRule="auto"/>
        <w:rPr>
          <w:rFonts w:ascii="Times New Roman" w:cs="Times New Roman" w:eastAsia="Times New Roman" w:hAnsi="Times New Roman"/>
          <w:sz w:val="16"/>
          <w:szCs w:val="16"/>
          <w:u w:val="single" w:color="auto"/>
          <w:color w:val="0000FF"/>
        </w:rPr>
      </w:pPr>
      <w:hyperlink r:id="rId120">
        <w:r>
          <w:rPr>
            <w:rFonts w:ascii="Times New Roman" w:cs="Times New Roman" w:eastAsia="Times New Roman" w:hAnsi="Times New Roman"/>
            <w:sz w:val="16"/>
            <w:szCs w:val="16"/>
            <w:u w:val="single" w:color="auto"/>
            <w:color w:val="0000FF"/>
          </w:rPr>
          <w:t>Atkins Nutritionals Holdings, Inc., a Delaware corporation, Atkins Nutritionals Holdings II, Inc., a Delaware corporation, NCP-ATK Holdings,</w:t>
        </w:r>
      </w:hyperlink>
      <w:r>
        <w:rPr>
          <w:rFonts w:ascii="Times New Roman" w:cs="Times New Roman" w:eastAsia="Times New Roman" w:hAnsi="Times New Roman"/>
          <w:sz w:val="16"/>
          <w:szCs w:val="16"/>
          <w:u w:val="single" w:color="auto"/>
          <w:color w:val="0000FF"/>
        </w:rPr>
        <w:t xml:space="preserve"> </w:t>
      </w:r>
      <w:hyperlink r:id="rId120">
        <w:r>
          <w:rPr>
            <w:rFonts w:ascii="Times New Roman" w:cs="Times New Roman" w:eastAsia="Times New Roman" w:hAnsi="Times New Roman"/>
            <w:sz w:val="16"/>
            <w:szCs w:val="16"/>
            <w:u w:val="single" w:color="auto"/>
            <w:color w:val="0000FF"/>
          </w:rPr>
          <w:t>Inc., a Delaware corporation, the lenders party thereto and Barclays Bank PLC, as administrative agent (incorporated by reference to Exhibit</w:t>
        </w:r>
      </w:hyperlink>
      <w:r>
        <w:rPr>
          <w:rFonts w:ascii="Times New Roman" w:cs="Times New Roman" w:eastAsia="Times New Roman" w:hAnsi="Times New Roman"/>
          <w:sz w:val="16"/>
          <w:szCs w:val="16"/>
          <w:u w:val="single" w:color="auto"/>
          <w:color w:val="0000FF"/>
        </w:rPr>
        <w:t xml:space="preserve"> </w:t>
      </w:r>
      <w:hyperlink r:id="rId120">
        <w:r>
          <w:rPr>
            <w:rFonts w:ascii="Times New Roman" w:cs="Times New Roman" w:eastAsia="Times New Roman" w:hAnsi="Times New Roman"/>
            <w:sz w:val="16"/>
            <w:szCs w:val="16"/>
            <w:u w:val="single" w:color="auto"/>
            <w:color w:val="0000FF"/>
          </w:rPr>
          <w:t>2.1 to our Current Report on Form 8-K filed on June 17, 2024).</w:t>
        </w:r>
      </w:hyperlink>
    </w:p>
    <w:p>
      <w:pPr>
        <w:sectPr>
          <w:pgSz w:w="11900" w:h="16838" w:orient="portrait"/>
          <w:cols w:equalWidth="0" w:num="1">
            <w:col w:w="11200"/>
          </w:cols>
          <w:pgMar w:left="320" w:top="121" w:right="379" w:bottom="1440" w:gutter="0" w:footer="0" w:header="0"/>
          <w:type w:val="continuous"/>
        </w:sectPr>
      </w:pPr>
    </w:p>
    <w:p>
      <w:pPr>
        <w:spacing w:after="0" w:line="200" w:lineRule="exact"/>
        <w:rPr>
          <w:rFonts w:ascii="Times New Roman" w:cs="Times New Roman" w:eastAsia="Times New Roman" w:hAnsi="Times New Roman"/>
          <w:sz w:val="16"/>
          <w:szCs w:val="16"/>
          <w:u w:val="single" w:color="auto"/>
          <w:color w:val="0000FF"/>
        </w:rPr>
      </w:pPr>
    </w:p>
    <w:p>
      <w:pPr>
        <w:spacing w:after="0" w:line="234" w:lineRule="exact"/>
        <w:rPr>
          <w:rFonts w:ascii="Times New Roman" w:cs="Times New Roman" w:eastAsia="Times New Roman" w:hAnsi="Times New Roman"/>
          <w:sz w:val="16"/>
          <w:szCs w:val="16"/>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11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Borders>
              <w:bottom w:val="single" w:sz="8" w:color="auto"/>
            </w:tcBorders>
          </w:tcPr>
          <w:p>
            <w:pPr>
              <w:spacing w:after="0"/>
              <w:rPr>
                <w:sz w:val="19"/>
                <w:szCs w:val="19"/>
                <w:color w:val="auto"/>
              </w:rPr>
            </w:pPr>
          </w:p>
        </w:tc>
        <w:tc>
          <w:tcPr>
            <w:tcW w:w="950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169"/>
        </w:trPr>
        <w:tc>
          <w:tcPr>
            <w:tcW w:w="1140" w:type="dxa"/>
            <w:vAlign w:val="bottom"/>
            <w:gridSpan w:val="4"/>
            <w:shd w:val="clear" w:color="auto" w:fill="CCEEFF"/>
          </w:tcPr>
          <w:p>
            <w:pPr>
              <w:ind w:left="20"/>
              <w:spacing w:after="0" w:line="14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16</w:t>
              </w:r>
            </w:hyperlink>
          </w:p>
        </w:tc>
        <w:tc>
          <w:tcPr>
            <w:tcW w:w="20" w:type="dxa"/>
            <w:vAlign w:val="bottom"/>
            <w:shd w:val="clear" w:color="auto" w:fill="CCEEFF"/>
          </w:tcPr>
          <w:p>
            <w:pPr>
              <w:spacing w:after="0"/>
              <w:rPr>
                <w:sz w:val="14"/>
                <w:szCs w:val="14"/>
                <w:color w:val="auto"/>
              </w:rPr>
            </w:pPr>
          </w:p>
        </w:tc>
        <w:tc>
          <w:tcPr>
            <w:tcW w:w="9500" w:type="dxa"/>
            <w:vAlign w:val="bottom"/>
            <w:gridSpan w:val="21"/>
            <w:shd w:val="clear" w:color="auto" w:fill="CCEEFF"/>
          </w:tcPr>
          <w:p>
            <w:pPr>
              <w:spacing w:after="0" w:line="14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Repricing Amendment, dated as of January 31, 2025, by and among Atkins Intermediate Holdings, LLC, a Delaware limited liability company,</w:t>
              </w:r>
            </w:hyperlink>
          </w:p>
        </w:tc>
      </w:tr>
      <w:tr>
        <w:trPr>
          <w:trHeight w:val="148"/>
        </w:trPr>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420" w:type="dxa"/>
            <w:vAlign w:val="bottom"/>
            <w:tcBorders>
              <w:top w:val="single" w:sz="8" w:color="0000FF"/>
            </w:tcBorders>
            <w:gridSpan w:val="17"/>
            <w:shd w:val="clear" w:color="auto" w:fill="CCEEFF"/>
          </w:tcPr>
          <w:p>
            <w:pPr>
              <w:spacing w:after="0" w:line="148"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Conyers Park Acquisition Corp., a Delaware corporation, Simply Good Foods USA, Inc., a New York Corporation, Atkins Nutritionals</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9300" w:type="dxa"/>
            <w:vAlign w:val="bottom"/>
            <w:tcBorders>
              <w:top w:val="single" w:sz="8" w:color="0000FF"/>
              <w:bottom w:val="single" w:sz="8" w:color="0000FF"/>
            </w:tcBorders>
            <w:gridSpan w:val="11"/>
            <w:shd w:val="clear" w:color="auto" w:fill="CCEEFF"/>
          </w:tcPr>
          <w:p>
            <w:pPr>
              <w:spacing w:after="0" w:line="14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Holdings, Inc., a Delaware corporation, Atkins Nutritionals Holdings II, Inc., a Delaware Corporation, NCP-ATK Holdings, Inc., a Delaware</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2"/>
        </w:trPr>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40" w:type="dxa"/>
            <w:vAlign w:val="bottom"/>
            <w:gridSpan w:val="18"/>
            <w:shd w:val="clear" w:color="auto" w:fill="CCEEFF"/>
          </w:tcPr>
          <w:p>
            <w:pPr>
              <w:spacing w:after="0" w:line="14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corporation, the financial institutions party thereto as Consenting Term Lenders and the Replacement Lender and Barclays Bank PLC, as</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200" w:type="dxa"/>
            <w:vAlign w:val="bottom"/>
            <w:tcBorders>
              <w:top w:val="single" w:sz="8" w:color="0000FF"/>
              <w:bottom w:val="single" w:sz="8" w:color="0000FF"/>
            </w:tcBorders>
            <w:gridSpan w:val="9"/>
            <w:shd w:val="clear" w:color="auto" w:fill="CCEEFF"/>
          </w:tcPr>
          <w:p>
            <w:pPr>
              <w:spacing w:after="0" w:line="14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administrative agent (incorporated by reference to Exhibit 10.1 to our Current Report on Form 8-K filed on February 3, 2025).</w:t>
              </w:r>
            </w:hyperlink>
          </w:p>
        </w:tc>
        <w:tc>
          <w:tcPr>
            <w:tcW w:w="1200" w:type="dxa"/>
            <w:vAlign w:val="bottom"/>
            <w:tcBorders>
              <w:top w:val="single" w:sz="8" w:color="0000FF"/>
              <w:bottom w:val="single" w:sz="8" w:color="CCEEFF"/>
            </w:tcBorders>
            <w:gridSpan w:val="7"/>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140" w:type="dxa"/>
            <w:vAlign w:val="bottom"/>
            <w:gridSpan w:val="4"/>
          </w:tcPr>
          <w:p>
            <w:pPr>
              <w:ind w:left="20"/>
              <w:spacing w:after="0" w:line="175"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17</w:t>
              </w:r>
            </w:hyperlink>
          </w:p>
        </w:tc>
        <w:tc>
          <w:tcPr>
            <w:tcW w:w="20" w:type="dxa"/>
            <w:vAlign w:val="bottom"/>
          </w:tcPr>
          <w:p>
            <w:pPr>
              <w:spacing w:after="0"/>
              <w:rPr>
                <w:sz w:val="15"/>
                <w:szCs w:val="15"/>
                <w:color w:val="auto"/>
              </w:rPr>
            </w:pPr>
          </w:p>
        </w:tc>
        <w:tc>
          <w:tcPr>
            <w:tcW w:w="9500" w:type="dxa"/>
            <w:vAlign w:val="bottom"/>
            <w:gridSpan w:val="21"/>
          </w:tcPr>
          <w:p>
            <w:pPr>
              <w:spacing w:after="0" w:line="175"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Amendment No. 8, dated as of November 19, 2025, among Atkins Intermediate Holdings, LLC, a Delaware limited liability company, Conyers</w:t>
              </w:r>
            </w:hyperlink>
          </w:p>
        </w:tc>
      </w:tr>
      <w:tr>
        <w:trPr>
          <w:trHeight w:val="142"/>
        </w:trPr>
        <w:tc>
          <w:tcPr>
            <w:tcW w:w="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Park Acquisition Corp., a Delaware corporation, Simply Good Foods USA, Inc., a New York corporation, Atkins Nutritionals Holdings, Inc., a</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gridSpan w:val="20"/>
          </w:tcPr>
          <w:p>
            <w:pPr>
              <w:spacing w:after="0" w:line="14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Delaware corporation, Atkins Nutritionals Holdings II, Inc., a Delaware corporation, NCP-ATK Holdings, Inc., a Delaware corporation, certain</w:t>
              </w:r>
            </w:hyperlink>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other subsidiaries of Simply Good Foods USA, Inc., the lenders party thereto and Barclays Bank PLC, as administrative agent (incorporated by</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4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reference to Exhibit 10.1 to our Form 8-K filed on November 20, 2025).</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ind w:left="20"/>
              <w:spacing w:after="0" w:line="175"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18</w:t>
              </w:r>
            </w:hyperlink>
          </w:p>
        </w:tc>
        <w:tc>
          <w:tcPr>
            <w:tcW w:w="20" w:type="dxa"/>
            <w:vAlign w:val="bottom"/>
            <w:shd w:val="clear" w:color="auto" w:fill="CCEEFF"/>
          </w:tcPr>
          <w:p>
            <w:pPr>
              <w:spacing w:after="0"/>
              <w:rPr>
                <w:sz w:val="15"/>
                <w:szCs w:val="15"/>
                <w:color w:val="auto"/>
              </w:rPr>
            </w:pPr>
          </w:p>
        </w:tc>
        <w:tc>
          <w:tcPr>
            <w:tcW w:w="9500" w:type="dxa"/>
            <w:vAlign w:val="bottom"/>
            <w:gridSpan w:val="21"/>
            <w:shd w:val="clear" w:color="auto" w:fill="CCEEFF"/>
          </w:tcPr>
          <w:p>
            <w:pPr>
              <w:spacing w:after="0" w:line="175"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Investors Rights Agreement, dated July 7, 2017, between The Simply Good Foods Company and Conyers Park Sponsor LLC (incorporated by</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500" w:type="dxa"/>
            <w:vAlign w:val="bottom"/>
            <w:tcBorders>
              <w:top w:val="single" w:sz="8" w:color="0000FF"/>
              <w:bottom w:val="single" w:sz="8" w:color="0000FF"/>
            </w:tcBorders>
            <w:gridSpan w:val="6"/>
            <w:shd w:val="clear" w:color="auto" w:fill="CCEEFF"/>
          </w:tcPr>
          <w:p>
            <w:pPr>
              <w:spacing w:after="0" w:line="142"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reference to Exhibit 10.3 to our Current Report on Form 8-K filed on July 13, 2017).</w:t>
              </w:r>
            </w:hyperlink>
          </w:p>
        </w:tc>
        <w:tc>
          <w:tcPr>
            <w:tcW w:w="3860" w:type="dxa"/>
            <w:vAlign w:val="bottom"/>
            <w:tcBorders>
              <w:top w:val="single" w:sz="8" w:color="0000FF"/>
              <w:bottom w:val="single" w:sz="8" w:color="CCEEFF"/>
            </w:tcBorders>
            <w:gridSpan w:val="8"/>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6"/>
        </w:trPr>
        <w:tc>
          <w:tcPr>
            <w:tcW w:w="38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color w:val="auto"/>
              </w:rPr>
              <w:t>19.1</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21"/>
          </w:tcPr>
          <w:p>
            <w:pPr>
              <w:spacing w:after="0" w:line="175" w:lineRule="exact"/>
              <w:rPr>
                <w:sz w:val="20"/>
                <w:szCs w:val="20"/>
                <w:color w:val="auto"/>
              </w:rPr>
            </w:pPr>
            <w:r>
              <w:rPr>
                <w:rFonts w:ascii="Times New Roman" w:cs="Times New Roman" w:eastAsia="Times New Roman" w:hAnsi="Times New Roman"/>
                <w:sz w:val="16"/>
                <w:szCs w:val="16"/>
                <w:color w:val="0000FF"/>
              </w:rPr>
              <w:t>The Simply Good Foods Company Insider Trading Policy</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80" w:type="dxa"/>
            <w:vAlign w:val="bottom"/>
            <w:gridSpan w:val="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21.1</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500" w:type="dxa"/>
            <w:vAlign w:val="bottom"/>
            <w:gridSpan w:val="21"/>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Subsidiaries of The Simply Good Foods Company.</w:t>
            </w:r>
          </w:p>
        </w:tc>
      </w:tr>
      <w:tr>
        <w:trPr>
          <w:trHeight w:val="175"/>
        </w:trPr>
        <w:tc>
          <w:tcPr>
            <w:tcW w:w="380" w:type="dxa"/>
            <w:vAlign w:val="bottom"/>
            <w:tcBorders>
              <w:top w:val="single" w:sz="8" w:color="CCEEFF"/>
            </w:tcBorders>
            <w:gridSpan w:val="3"/>
          </w:tcPr>
          <w:p>
            <w:pPr>
              <w:ind w:left="20"/>
              <w:spacing w:after="0" w:line="175" w:lineRule="exact"/>
              <w:rPr>
                <w:sz w:val="20"/>
                <w:szCs w:val="20"/>
                <w:color w:val="auto"/>
              </w:rPr>
            </w:pPr>
            <w:r>
              <w:rPr>
                <w:rFonts w:ascii="Times New Roman" w:cs="Times New Roman" w:eastAsia="Times New Roman" w:hAnsi="Times New Roman"/>
                <w:sz w:val="16"/>
                <w:szCs w:val="16"/>
                <w:color w:val="auto"/>
              </w:rPr>
              <w:t>23.1</w:t>
            </w:r>
          </w:p>
        </w:tc>
        <w:tc>
          <w:tcPr>
            <w:tcW w:w="7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300" w:type="dxa"/>
            <w:vAlign w:val="bottom"/>
            <w:tcBorders>
              <w:top w:val="single" w:sz="8" w:color="0000FF"/>
            </w:tcBorders>
            <w:gridSpan w:val="2"/>
          </w:tcPr>
          <w:p>
            <w:pPr>
              <w:spacing w:after="0" w:line="175" w:lineRule="exact"/>
              <w:rPr>
                <w:sz w:val="20"/>
                <w:szCs w:val="20"/>
                <w:color w:val="auto"/>
              </w:rPr>
            </w:pPr>
            <w:r>
              <w:rPr>
                <w:rFonts w:ascii="Times New Roman" w:cs="Times New Roman" w:eastAsia="Times New Roman" w:hAnsi="Times New Roman"/>
                <w:sz w:val="16"/>
                <w:szCs w:val="16"/>
                <w:color w:val="0000FF"/>
              </w:rPr>
              <w:t>Consent of Deloitte &amp; Touche LLP.</w:t>
            </w:r>
          </w:p>
        </w:tc>
        <w:tc>
          <w:tcPr>
            <w:tcW w:w="6200" w:type="dxa"/>
            <w:vAlign w:val="bottom"/>
            <w:tcBorders>
              <w:top w:val="single" w:sz="8" w:color="CCEEFF"/>
            </w:tcBorders>
            <w:gridSpan w:val="19"/>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80" w:type="dxa"/>
            <w:vAlign w:val="bottom"/>
            <w:gridSpan w:val="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31.1</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500" w:type="dxa"/>
            <w:vAlign w:val="bottom"/>
            <w:gridSpan w:val="21"/>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Section 302 of the Sarbanes Oxley Act of 2002.</w:t>
            </w:r>
          </w:p>
        </w:tc>
      </w:tr>
      <w:tr>
        <w:trPr>
          <w:trHeight w:val="175"/>
        </w:trPr>
        <w:tc>
          <w:tcPr>
            <w:tcW w:w="380" w:type="dxa"/>
            <w:vAlign w:val="bottom"/>
            <w:tcBorders>
              <w:top w:val="single" w:sz="8" w:color="CCEEFF"/>
            </w:tcBorders>
            <w:gridSpan w:val="3"/>
          </w:tcPr>
          <w:p>
            <w:pPr>
              <w:ind w:left="20"/>
              <w:spacing w:after="0" w:line="175" w:lineRule="exact"/>
              <w:rPr>
                <w:sz w:val="20"/>
                <w:szCs w:val="20"/>
                <w:color w:val="auto"/>
              </w:rPr>
            </w:pPr>
            <w:r>
              <w:rPr>
                <w:rFonts w:ascii="Times New Roman" w:cs="Times New Roman" w:eastAsia="Times New Roman" w:hAnsi="Times New Roman"/>
                <w:sz w:val="16"/>
                <w:szCs w:val="16"/>
                <w:color w:val="auto"/>
              </w:rPr>
              <w:t>31.2</w:t>
            </w:r>
          </w:p>
        </w:tc>
        <w:tc>
          <w:tcPr>
            <w:tcW w:w="7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720" w:type="dxa"/>
            <w:vAlign w:val="bottom"/>
            <w:tcBorders>
              <w:top w:val="single" w:sz="8" w:color="0000FF"/>
            </w:tcBorders>
            <w:gridSpan w:val="8"/>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Section 302 of the Sarbanes Oxley Act of 2002.</w:t>
            </w:r>
          </w:p>
        </w:tc>
        <w:tc>
          <w:tcPr>
            <w:tcW w:w="2780" w:type="dxa"/>
            <w:vAlign w:val="bottom"/>
            <w:tcBorders>
              <w:top w:val="single" w:sz="8" w:color="CCEEFF"/>
            </w:tcBorders>
            <w:gridSpan w:val="13"/>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380" w:type="dxa"/>
            <w:vAlign w:val="bottom"/>
            <w:gridSpan w:val="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32.1</w:t>
            </w: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500" w:type="dxa"/>
            <w:vAlign w:val="bottom"/>
            <w:gridSpan w:val="21"/>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 Section 906 of the Sarbanes Oxley Act.</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80" w:type="dxa"/>
            <w:vAlign w:val="bottom"/>
            <w:gridSpan w:val="3"/>
          </w:tcPr>
          <w:p>
            <w:pPr>
              <w:ind w:left="20"/>
              <w:spacing w:after="0" w:line="175"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97.</w:t>
              </w:r>
              <w:r>
                <w:rPr>
                  <w:rFonts w:ascii="Times New Roman" w:cs="Times New Roman" w:eastAsia="Times New Roman" w:hAnsi="Times New Roman"/>
                  <w:sz w:val="16"/>
                  <w:szCs w:val="16"/>
                  <w:u w:val="single" w:color="auto"/>
                  <w:color w:val="0000FF"/>
                </w:rPr>
                <w:t>1</w:t>
              </w:r>
            </w:hyperlink>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21"/>
          </w:tcPr>
          <w:p>
            <w:pPr>
              <w:spacing w:after="0" w:line="175"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The Simply Good Foods Company Rule 10D-1 Incentive Compensation Recovery Policy (incorporated by reference to Exhibit 97.1 to our</w:t>
              </w:r>
            </w:hyperlink>
          </w:p>
        </w:tc>
      </w:tr>
      <w:tr>
        <w:trPr>
          <w:trHeight w:val="142"/>
        </w:trPr>
        <w:tc>
          <w:tcPr>
            <w:tcW w:w="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Annual Report on Form 10-K filed on October 29, 2024).</w:t>
              </w:r>
            </w:hyperlink>
          </w:p>
        </w:tc>
        <w:tc>
          <w:tcPr>
            <w:tcW w:w="40" w:type="dxa"/>
            <w:vAlign w:val="bottom"/>
            <w:gridSpan w:val="2"/>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140" w:type="dxa"/>
            <w:vAlign w:val="bottom"/>
            <w:gridSpan w:val="4"/>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4"/>
                <w:szCs w:val="14"/>
                <w:color w:val="auto"/>
              </w:rPr>
            </w:pPr>
          </w:p>
        </w:tc>
        <w:tc>
          <w:tcPr>
            <w:tcW w:w="9500" w:type="dxa"/>
            <w:vAlign w:val="bottom"/>
            <w:gridSpan w:val="21"/>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w:t>
            </w:r>
          </w:p>
        </w:tc>
      </w:tr>
      <w:tr>
        <w:trPr>
          <w:trHeight w:val="216"/>
        </w:trPr>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5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13"/>
        </w:trPr>
        <w:tc>
          <w:tcPr>
            <w:tcW w:w="11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18"/>
                <w:szCs w:val="18"/>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9"/>
        </w:trPr>
        <w:tc>
          <w:tcPr>
            <w:tcW w:w="1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shd w:val="clear" w:color="auto" w:fill="CCEEFF"/>
          </w:tcPr>
          <w:p>
            <w:pPr>
              <w:spacing w:after="0"/>
              <w:rPr>
                <w:sz w:val="19"/>
                <w:szCs w:val="19"/>
                <w:color w:val="auto"/>
              </w:rPr>
            </w:pPr>
          </w:p>
        </w:tc>
        <w:tc>
          <w:tcPr>
            <w:tcW w:w="95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3"/>
        </w:trPr>
        <w:tc>
          <w:tcPr>
            <w:tcW w:w="11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18"/>
                <w:szCs w:val="18"/>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9"/>
        </w:trPr>
        <w:tc>
          <w:tcPr>
            <w:tcW w:w="1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shd w:val="clear" w:color="auto" w:fill="CCEEFF"/>
          </w:tcPr>
          <w:p>
            <w:pPr>
              <w:spacing w:after="0"/>
              <w:rPr>
                <w:sz w:val="19"/>
                <w:szCs w:val="19"/>
                <w:color w:val="auto"/>
              </w:rPr>
            </w:pPr>
          </w:p>
        </w:tc>
        <w:tc>
          <w:tcPr>
            <w:tcW w:w="95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0"/>
        </w:trPr>
        <w:tc>
          <w:tcPr>
            <w:tcW w:w="11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18"/>
                <w:szCs w:val="18"/>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5" w:lineRule="exact"/>
        <w:rPr>
          <w:sz w:val="20"/>
          <w:szCs w:val="20"/>
          <w:color w:val="auto"/>
        </w:rPr>
      </w:pPr>
    </w:p>
    <w:p>
      <w:pPr>
        <w:ind w:left="1860" w:hanging="1146"/>
        <w:spacing w:after="0"/>
        <w:tabs>
          <w:tab w:leader="none" w:pos="186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and contained in Exhibit 101).</w:t>
      </w:r>
    </w:p>
    <w:p>
      <w:pPr>
        <w:spacing w:after="0" w:line="10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____________________</w:t>
      </w:r>
    </w:p>
    <w:p>
      <w:pPr>
        <w:spacing w:after="0" w:line="139" w:lineRule="exact"/>
        <w:rPr>
          <w:rFonts w:ascii="Times New Roman" w:cs="Times New Roman" w:eastAsia="Times New Roman" w:hAnsi="Times New Roman"/>
          <w:sz w:val="16"/>
          <w:szCs w:val="16"/>
          <w:color w:val="auto"/>
        </w:rPr>
      </w:pPr>
    </w:p>
    <w:p>
      <w:pPr>
        <w:ind w:left="360" w:hanging="334"/>
        <w:spacing w:after="0"/>
        <w:tabs>
          <w:tab w:leader="none" w:pos="3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-518795</wp:posOffset>
            </wp:positionV>
            <wp:extent cx="666940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6669405" cy="13716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0" w:name="page91"/>
    <w:bookmarkEnd w:id="9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THE SIMPLY GOOD FOODS COMPANY</w:t>
      </w:r>
    </w:p>
    <w:p>
      <w:pPr>
        <w:spacing w:after="0" w:line="200" w:lineRule="exact"/>
        <w:rPr>
          <w:sz w:val="20"/>
          <w:szCs w:val="20"/>
          <w:color w:val="auto"/>
        </w:rPr>
      </w:pPr>
    </w:p>
    <w:p>
      <w:pPr>
        <w:spacing w:after="0" w:line="239" w:lineRule="exact"/>
        <w:rPr>
          <w:sz w:val="20"/>
          <w:szCs w:val="20"/>
          <w:color w:val="auto"/>
        </w:rPr>
      </w:pPr>
    </w:p>
    <w:tbl>
      <w:tblPr>
        <w:tblLayout w:type="fixed"/>
        <w:tblInd w:w="166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5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By: /s/ Joseph E. Scalzo</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w:t>
            </w:r>
          </w:p>
        </w:tc>
        <w:tc>
          <w:tcPr>
            <w:tcW w:w="19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October 27, 2026</w:t>
            </w:r>
          </w:p>
        </w:tc>
        <w:tc>
          <w:tcPr>
            <w:tcW w:w="114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55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Name: Joseph E. Scalzo</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55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5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Title: Chief Executive Officer, President and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91" w:name="page92"/>
    <w:bookmarkEnd w:id="91"/>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688" w:right="359" w:bottom="1440" w:gutter="0" w:footer="0" w:header="0"/>
        </w:sectPr>
      </w:pPr>
    </w:p>
    <w:p>
      <w:pPr>
        <w:spacing w:after="0" w:line="367" w:lineRule="exact"/>
        <w:rPr>
          <w:sz w:val="20"/>
          <w:szCs w:val="20"/>
          <w:color w:val="auto"/>
        </w:rPr>
      </w:pPr>
    </w:p>
    <w:tbl>
      <w:tblPr>
        <w:tblLayout w:type="fixed"/>
        <w:tblInd w:w="1620" w:type="dxa"/>
        <w:tblCellMar>
          <w:top w:w="0" w:type="dxa"/>
          <w:left w:w="0" w:type="dxa"/>
          <w:bottom w:w="0" w:type="dxa"/>
          <w:right w:w="0" w:type="dxa"/>
        </w:tblCellMar>
      </w:tblPr>
      <w:tr>
        <w:trPr>
          <w:trHeight w:val="212"/>
        </w:trPr>
        <w:tc>
          <w:tcPr>
            <w:tcW w:w="232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3240" w:type="dxa"/>
            <w:vAlign w:val="bottom"/>
          </w:tcPr>
          <w:p>
            <w:pPr>
              <w:ind w:left="204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Christopher J. Bealer</w:t>
            </w:r>
          </w:p>
        </w:tc>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Christopher J. Bealer</w:t>
            </w:r>
          </w:p>
        </w:tc>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James M. Kilts</w:t>
            </w:r>
          </w:p>
        </w:tc>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Chairman of the Board of Directors</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M. Kilts</w:t>
            </w:r>
          </w:p>
        </w:tc>
        <w:tc>
          <w:tcPr>
            <w:tcW w:w="324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Clayton C. Daley, Jr.</w:t>
            </w:r>
          </w:p>
        </w:tc>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Clayton C. Daley, Jr.</w:t>
            </w:r>
          </w:p>
        </w:tc>
        <w:tc>
          <w:tcPr>
            <w:tcW w:w="324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Romitha Mally</w:t>
            </w:r>
          </w:p>
        </w:tc>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Romitha Mally</w:t>
            </w:r>
          </w:p>
        </w:tc>
        <w:tc>
          <w:tcPr>
            <w:tcW w:w="324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Michelle P. Goolsby</w:t>
            </w:r>
          </w:p>
        </w:tc>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Michelle P. Goolsby</w:t>
            </w:r>
          </w:p>
        </w:tc>
        <w:tc>
          <w:tcPr>
            <w:tcW w:w="324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Robert G. Montgomery</w:t>
            </w:r>
          </w:p>
        </w:tc>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Robert G. Montgomery</w:t>
            </w:r>
          </w:p>
        </w:tc>
        <w:tc>
          <w:tcPr>
            <w:tcW w:w="324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Brian K. Ratzan</w:t>
            </w:r>
          </w:p>
        </w:tc>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Brian K. Ratzan</w:t>
            </w:r>
          </w:p>
        </w:tc>
        <w:tc>
          <w:tcPr>
            <w:tcW w:w="324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David W. Ritterbush</w:t>
            </w:r>
          </w:p>
        </w:tc>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W. Ritterbush</w:t>
            </w:r>
          </w:p>
        </w:tc>
        <w:tc>
          <w:tcPr>
            <w:tcW w:w="324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Joseph J. Schena</w:t>
            </w:r>
          </w:p>
        </w:tc>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J. Schena</w:t>
            </w:r>
          </w:p>
        </w:tc>
        <w:tc>
          <w:tcPr>
            <w:tcW w:w="324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David J. West</w:t>
            </w:r>
          </w:p>
        </w:tc>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J. West</w:t>
            </w:r>
          </w:p>
        </w:tc>
        <w:tc>
          <w:tcPr>
            <w:tcW w:w="324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James D. White</w:t>
            </w:r>
          </w:p>
        </w:tc>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D. White</w:t>
            </w:r>
          </w:p>
        </w:tc>
        <w:tc>
          <w:tcPr>
            <w:tcW w:w="3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27, 2026</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27, 2026</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27, 2026</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27, 2026</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27, 2026</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27, 2026</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27, 2026</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27, 2026</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27, 2026</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27, 2026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27, 2026</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27, 2026</w:t>
      </w:r>
    </w:p>
    <w:p>
      <w:pPr>
        <w:spacing w:after="0" w:line="482" w:lineRule="exact"/>
        <w:rPr>
          <w:sz w:val="20"/>
          <w:szCs w:val="20"/>
          <w:color w:val="auto"/>
        </w:rPr>
      </w:pPr>
    </w:p>
    <w:p>
      <w:pPr>
        <w:sectPr>
          <w:pgSz w:w="11900" w:h="16838" w:orient="portrait"/>
          <w:cols w:equalWidth="0" w:num="2">
            <w:col w:w="7640" w:space="720"/>
            <w:col w:w="2860"/>
          </w:cols>
          <w:pgMar w:left="320" w:top="688" w:right="35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20"/>
          </w:cols>
          <w:pgMar w:left="320" w:top="688" w:right="359" w:bottom="1440" w:gutter="0" w:footer="0" w:header="0"/>
          <w:type w:val="continuous"/>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3242945</wp:posOffset>
            </wp:positionH>
            <wp:positionV relativeFrom="page">
              <wp:posOffset>980440</wp:posOffset>
            </wp:positionV>
            <wp:extent cx="1062990" cy="8229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06299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THE SIMPLY GOOD FOODS COMPANY INSIDER TRADING POLICY</w:t>
      </w:r>
    </w:p>
    <w:p>
      <w:pPr>
        <w:spacing w:after="0" w:line="10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Effective August 12, 2026</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Purpose</w:t>
      </w:r>
    </w:p>
    <w:p>
      <w:pPr>
        <w:spacing w:after="0" w:line="256"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8"/>
          <w:szCs w:val="18"/>
          <w:color w:val="auto"/>
        </w:rPr>
        <w:t>This Insider Trading Policy (the “Policy”) provides guidelines with respect to transactions in the securities of The Simply Good Foods Company and participation in prediction or event contracts markets in either case while aware of material nonpublic or confidential business information about the Company or the companies with which we do business. Our Board of Directors has adopted this Policy for The Simply Good Foods Company and all of its subsidiaries in the United States and outside the United States to promote compliance with U.S. federal and state securities laws and other laws that prohibit certain people who are aware of material nonpublic information about a company from: (i) trading in that company’s securities (other than pursuant to an authorized Rule 10b5-1 Plan established without material nonpublic information about the subject company); or (ii) purchasing, selling, or otherwise engaging in transactions involving prediction markets or event contracts relating to the Company; or (iii) providing material nonpublic information to other people who may trade on the basis of that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Policy, we use “we,” “us,” “our” and the “Company” to refer to The Simply Good Foods Company and its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Responsibilities and Requirements of this Policy</w:t>
      </w:r>
    </w:p>
    <w:p>
      <w:pPr>
        <w:spacing w:after="0" w:line="347"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8"/>
          <w:szCs w:val="18"/>
          <w:color w:val="auto"/>
        </w:rPr>
        <w:t xml:space="preserve">If you are aware of material nonpublic information relating to the Company you may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directly, or indirectly through family members or other people or entities (or any other person designated by this Policy or by the Compliance Officer as subject to this Policy):</w:t>
      </w:r>
    </w:p>
    <w:p>
      <w:pPr>
        <w:spacing w:after="0" w:line="158" w:lineRule="exact"/>
        <w:rPr>
          <w:sz w:val="20"/>
          <w:szCs w:val="20"/>
          <w:color w:val="auto"/>
        </w:rPr>
      </w:pPr>
    </w:p>
    <w:p>
      <w:pPr>
        <w:jc w:val="both"/>
        <w:ind w:left="960" w:hanging="321"/>
        <w:spacing w:after="0" w:line="281"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in Company Securities (as defined below), except as otherwise specified in this Policy under the headings “How does this Policy apply to transactions under our compensation plans including our 2017 Omnibus Incentive Plan?,” “Does this Policy apply to transactions in mutual funds that own Company Securities?” and “What is a Rule 10b5-1 Plan?”;</w:t>
      </w:r>
    </w:p>
    <w:p>
      <w:pPr>
        <w:spacing w:after="0" w:line="163"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purchase or sale of any Company Securities;</w:t>
      </w:r>
    </w:p>
    <w:p>
      <w:pPr>
        <w:spacing w:after="0" w:line="265" w:lineRule="exact"/>
        <w:rPr>
          <w:rFonts w:ascii="Times New Roman" w:cs="Times New Roman" w:eastAsia="Times New Roman" w:hAnsi="Times New Roman"/>
          <w:sz w:val="18"/>
          <w:szCs w:val="18"/>
          <w:color w:val="auto"/>
        </w:rPr>
      </w:pPr>
    </w:p>
    <w:p>
      <w:pPr>
        <w:jc w:val="both"/>
        <w:ind w:left="960" w:right="280" w:hanging="321"/>
        <w:spacing w:after="0" w:line="281"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material nonpublic information to anyone within the Company whose jobs do not require them to have that information, or outside of the Company to other people, including, but not limited to, family, friends, business associates, investors and expert consulting firms, unless any such disclosure is made in accordance with our policies regarding the protection or authorized external disclosure of information regarding the Company; or</w:t>
      </w:r>
    </w:p>
    <w:p>
      <w:pPr>
        <w:spacing w:after="0" w:line="151"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anyone engaged in the above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660" w:top="1440" w:right="339" w:bottom="1440" w:gutter="0" w:footer="0" w:header="0"/>
        </w:sectPr>
      </w:pPr>
    </w:p>
    <w:bookmarkStart w:id="93" w:name="page94"/>
    <w:bookmarkEnd w:id="93"/>
    <w:p>
      <w:pPr>
        <w:spacing w:after="0" w:line="72"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8"/>
          <w:szCs w:val="18"/>
          <w:color w:val="auto"/>
        </w:rPr>
        <w:t>In addition, it is our policy that no one (including anyone designated as subject to this Policy) who, in the course of working for the Company, learns of material nonpublic information about a company with which we do business, including any of our customers or suppliers, may trade in that company’s securities or purchase, sell, or otherwise engage in transactions involving prediction markets or event contracts relating to that company while aware of material nonpublic or confidential business information, until the information becomes public or is no longer material.</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There are no exceptions to this Policy, except as expressly stated in this Policy. There are no exceptions for transactions that may be necessary or justifiable for independent reasons (such as the need to raise money for an emergency expenditure), or small transactions. The securities laws do not recognize any mitigating circumstances, and, in any event, even the appearance of an improper transaction must be avoided to preserve our reputation for adhering to the highest standards of conduct and compliance with applicable laws and regulations.</w:t>
      </w:r>
    </w:p>
    <w:p>
      <w:pPr>
        <w:spacing w:after="0" w:line="200" w:lineRule="exact"/>
        <w:rPr>
          <w:sz w:val="20"/>
          <w:szCs w:val="20"/>
          <w:color w:val="auto"/>
        </w:rPr>
      </w:pPr>
    </w:p>
    <w:p>
      <w:pPr>
        <w:spacing w:after="0" w:line="25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Q&amp;A Table of Contents</w:t>
      </w:r>
    </w:p>
    <w:p>
      <w:pPr>
        <w:spacing w:after="0" w:line="283" w:lineRule="exact"/>
        <w:rPr>
          <w:sz w:val="20"/>
          <w:szCs w:val="20"/>
          <w:color w:val="auto"/>
        </w:rPr>
      </w:pPr>
    </w:p>
    <w:tbl>
      <w:tblPr>
        <w:tblLayout w:type="fixed"/>
        <w:tblInd w:w="218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Who is subject to the requirements of this Policy? Who is an Insider?</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What transactions are subject to this Policy?</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What is your individual responsibility under this Policy?</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Who is responsible to administer this Policy?</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What is “Material Nonpublic Information” and how is it defined?</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When is Information Considered Public?</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w:t>
            </w:r>
          </w:p>
        </w:tc>
      </w:tr>
      <w:tr>
        <w:trPr>
          <w:trHeight w:val="180"/>
        </w:trPr>
        <w:tc>
          <w:tcPr>
            <w:tcW w:w="58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Does this Policy also apply to transactions by family members and certain other</w:t>
            </w:r>
          </w:p>
        </w:tc>
        <w:tc>
          <w:tcPr>
            <w:tcW w:w="280" w:type="dxa"/>
            <w:vAlign w:val="bottom"/>
          </w:tcPr>
          <w:p>
            <w:pPr>
              <w:spacing w:after="0"/>
              <w:rPr>
                <w:sz w:val="15"/>
                <w:szCs w:val="15"/>
                <w:color w:val="auto"/>
              </w:rPr>
            </w:pPr>
          </w:p>
        </w:tc>
      </w:t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people related to me?</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Does this Policy also apply to transactions by entities I influence or control?</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r>
      <w:tr>
        <w:trPr>
          <w:trHeight w:val="180"/>
        </w:trPr>
        <w:tc>
          <w:tcPr>
            <w:tcW w:w="58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How does this Policy apply to transactions under our compensation plans</w:t>
            </w:r>
          </w:p>
        </w:tc>
        <w:tc>
          <w:tcPr>
            <w:tcW w:w="280" w:type="dxa"/>
            <w:vAlign w:val="bottom"/>
          </w:tcPr>
          <w:p>
            <w:pPr>
              <w:spacing w:after="0"/>
              <w:rPr>
                <w:sz w:val="15"/>
                <w:szCs w:val="15"/>
                <w:color w:val="auto"/>
              </w:rPr>
            </w:pPr>
          </w:p>
        </w:tc>
      </w:t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including The Simply Good Foods Incentive Plan?</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Does this Policy apply to gifts?</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w:t>
            </w:r>
          </w:p>
        </w:tc>
      </w:tr>
      <w:tr>
        <w:trPr>
          <w:trHeight w:val="180"/>
        </w:trPr>
        <w:tc>
          <w:tcPr>
            <w:tcW w:w="58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Does this Policy apply to transactions in mutual funds that own Company</w:t>
            </w:r>
          </w:p>
        </w:tc>
        <w:tc>
          <w:tcPr>
            <w:tcW w:w="280" w:type="dxa"/>
            <w:vAlign w:val="bottom"/>
          </w:tcPr>
          <w:p>
            <w:pPr>
              <w:spacing w:after="0"/>
              <w:rPr>
                <w:sz w:val="15"/>
                <w:szCs w:val="15"/>
                <w:color w:val="auto"/>
              </w:rPr>
            </w:pPr>
          </w:p>
        </w:tc>
      </w:t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Are there any transactions that are prohibited by this Policy?</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w:t>
            </w:r>
          </w:p>
        </w:tc>
      </w:tr>
      <w:tr>
        <w:trPr>
          <w:trHeight w:val="180"/>
        </w:trPr>
        <w:tc>
          <w:tcPr>
            <w:tcW w:w="58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What are the requirements to be followed if an Insider wants to buy or sell</w:t>
            </w:r>
          </w:p>
        </w:tc>
        <w:tc>
          <w:tcPr>
            <w:tcW w:w="280" w:type="dxa"/>
            <w:vAlign w:val="bottom"/>
          </w:tcPr>
          <w:p>
            <w:pPr>
              <w:spacing w:after="0"/>
              <w:rPr>
                <w:sz w:val="15"/>
                <w:szCs w:val="15"/>
                <w:color w:val="auto"/>
              </w:rPr>
            </w:pPr>
          </w:p>
        </w:tc>
      </w:t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Company Securities or exercise stock options? What is the Trading Window?</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What is a Rule 10b5-1 Plan?</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Does this Policy apply even after employment with the Company ends?</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10</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What happens if there is a violation of this Policy?</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10</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Where can I find additional information?</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10</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What additional Company assistance is provided?</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10</w:t>
            </w:r>
          </w:p>
        </w:tc>
      </w:tr>
    </w:tbl>
    <w:p>
      <w:pPr>
        <w:spacing w:after="0" w:line="200" w:lineRule="exact"/>
        <w:rPr>
          <w:sz w:val="20"/>
          <w:szCs w:val="20"/>
          <w:color w:val="auto"/>
        </w:rPr>
      </w:pPr>
    </w:p>
    <w:p>
      <w:pPr>
        <w:sectPr>
          <w:pgSz w:w="11900" w:h="16838" w:orient="portrait"/>
          <w:cols w:equalWidth="0" w:num="1">
            <w:col w:w="10900"/>
          </w:cols>
          <w:pgMar w:left="66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900"/>
          </w:cols>
          <w:pgMar w:left="660" w:top="1440" w:right="339" w:bottom="1440" w:gutter="0" w:footer="0" w:header="0"/>
          <w:type w:val="continuous"/>
        </w:sectPr>
      </w:pPr>
    </w:p>
    <w:bookmarkStart w:id="94" w:name="page95"/>
    <w:bookmarkEnd w:id="94"/>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 is subject to the requirements of this Policy? Who is an Insider?</w:t>
      </w:r>
    </w:p>
    <w:p>
      <w:pPr>
        <w:spacing w:after="0" w:line="2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This Policy applies to members of the Board of Directors of The Simply Good Foods Company and all of the Company’s officers and employees. This includes all officers and employees of any of the Company’s subsidiaries. From time to time, we may also determine other people should be subject to this Policy, such as contractors or consultants who have access to material nonpublic information (which we discuss in more detail below). This Policy also applies to (1) family members, (2) other members of a person’s household, and (3) entities controlled by a person covered by this Policy, all as described in more detail below. We refer to each person or entity that is covered by this Policy as an “Insider.”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transactions are subject to this Policy?</w:t>
      </w:r>
    </w:p>
    <w:p>
      <w:pPr>
        <w:spacing w:after="0" w:line="283"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8"/>
          <w:szCs w:val="18"/>
          <w:color w:val="auto"/>
        </w:rPr>
        <w:t>This Policy applies to transactions in our securities including our common stock, options to purchase common stock, or any other type of securities that we may issue, including (but not limited to) preferred stock, convertible notes and warrants, derivative securities that are not issued by us such as exchange-traded put or call options or swaps relating to Company Securities, or similar financial instruments (collectively referred to in this Policy as “Company Securities”).</w:t>
      </w:r>
    </w:p>
    <w:p>
      <w:pPr>
        <w:spacing w:after="0" w:line="192"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8"/>
          <w:szCs w:val="18"/>
          <w:color w:val="auto"/>
        </w:rPr>
        <w:t>This Policy also applies to prediction market, event contract, or similar instrument (collectively referred to in this Policy as “Prediction Market Contracts”), that references or relates to the Company, Company Securities, the Company’s business activities, executives, strategic transactions, or other matters concerning the Company.</w:t>
      </w:r>
    </w:p>
    <w:p>
      <w:pPr>
        <w:spacing w:after="0" w:line="170"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8"/>
          <w:szCs w:val="18"/>
          <w:color w:val="auto"/>
        </w:rPr>
        <w:t>A “event contract market” or “prediction market” refers to a trading platform on which participants buy or sell financial contracts based on the expected outcome of future events, including corporate, regulatory, or economic developments. The value of these contracts fluctuates based on the perceived probability of the event occurring, allowing participants to profit or incur losses depending on the accuracy of their expectations.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is your individual responsibility under this Policy?</w:t>
      </w:r>
    </w:p>
    <w:p>
      <w:pPr>
        <w:spacing w:after="0" w:line="2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Insiders have ethical and legal obligations to maintain the confidentiality of information about the Company and to not engage in transactions in Company Securities while in possession of material nonpublic information. Insiders must not engage in illegal trading or wagering and must avoid the appearance of improper trading or wagering.</w:t>
      </w:r>
    </w:p>
    <w:p>
      <w:pPr>
        <w:spacing w:after="0" w:line="2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You are responsible for making sure that you comply with this Policy, and that any family member, person who is living in your household or entity whose transactions are subject to this Policy, as discussed below, also complies with this Policy. In all cases, the responsibility for determining whether an individual is in possession of material nonpublic information rests with that individual, and any action on our part, by the Compliance Officer, or by any other employee or director pursuant to this Policy (or otherwise) does not in any way constitute legal advice or insulate an individual from liability under applicable securities laws. You could be subject to severe legal penalties and corrective action by the Company up to and including termination of your employment for any conduct prohibited by this Policy or applicable securities laws, as described below in more detail under the heading “What happens if there’s a violation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660" w:top="1440" w:right="339" w:bottom="1440" w:gutter="0" w:footer="0" w:header="0"/>
        </w:sectPr>
      </w:pPr>
    </w:p>
    <w:bookmarkStart w:id="95" w:name="page96"/>
    <w:bookmarkEnd w:id="95"/>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 is responsible to administer this Policy?</w:t>
      </w:r>
    </w:p>
    <w:p>
      <w:pPr>
        <w:spacing w:after="0" w:line="27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All determinations and interpretations by the Compliance Officer or their designee shall be final and not subject to further review. Please refer to the Company directory for the name and contact information of the current Compliance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is “Material Nonpublic Information” and how is it defined?</w:t>
      </w:r>
    </w:p>
    <w:p>
      <w:pPr>
        <w:spacing w:after="0" w:line="270"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8"/>
          <w:szCs w:val="18"/>
          <w:color w:val="auto"/>
        </w:rPr>
        <w:t>The definition of material nonpublic information can be complicated. There is no specific written definition in federal laws. Instead, it has developed, evolved, and changed over time based on various court decisions.</w:t>
      </w:r>
    </w:p>
    <w:p>
      <w:pPr>
        <w:spacing w:after="0" w:line="1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Information is considered “material” if a reasonable investor would consider that information important in deciding to buy, hold, or sell securities. Any information that could be expected to affect a company’s stock price, whether it is positive or negative, should be considered material. </w:t>
      </w:r>
      <w:r>
        <w:rPr>
          <w:rFonts w:ascii="Times New Roman" w:cs="Times New Roman" w:eastAsia="Times New Roman" w:hAnsi="Times New Roman"/>
          <w:sz w:val="18"/>
          <w:szCs w:val="18"/>
          <w:u w:val="single" w:color="auto"/>
          <w:color w:val="auto"/>
        </w:rPr>
        <w:t>There is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bright-line standard for determining whether particular information is material</w:t>
      </w:r>
      <w:r>
        <w:rPr>
          <w:rFonts w:ascii="Times New Roman" w:cs="Times New Roman" w:eastAsia="Times New Roman" w:hAnsi="Times New Roman"/>
          <w:sz w:val="18"/>
          <w:szCs w:val="18"/>
          <w:color w:val="auto"/>
        </w:rPr>
        <w:t>; rather, materiality is based on an assessment of all of the facts and circumstances and is often evaluated by enforcement authorities with the benefit of hindsight. While it is not possible to define all categories of material information, we believe sharing some examples of information that ordinarily would be regarded as material can be helpful. These examples include:</w:t>
      </w:r>
    </w:p>
    <w:p>
      <w:pPr>
        <w:spacing w:after="0" w:line="166" w:lineRule="exact"/>
        <w:rPr>
          <w:sz w:val="20"/>
          <w:szCs w:val="20"/>
          <w:color w:val="auto"/>
        </w:rPr>
      </w:pPr>
    </w:p>
    <w:p>
      <w:pPr>
        <w:ind w:left="960" w:hanging="320"/>
        <w:spacing w:after="0"/>
        <w:tabs>
          <w:tab w:leader="none" w:pos="9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Projections of future earnings or losses, or other earnings guidance;</w:t>
      </w:r>
    </w:p>
    <w:p>
      <w:pPr>
        <w:spacing w:after="0" w:line="264" w:lineRule="exact"/>
        <w:rPr>
          <w:rFonts w:ascii="Arial" w:cs="Arial" w:eastAsia="Arial" w:hAnsi="Arial"/>
          <w:sz w:val="18"/>
          <w:szCs w:val="18"/>
          <w:color w:val="auto"/>
        </w:rPr>
      </w:pPr>
    </w:p>
    <w:p>
      <w:pPr>
        <w:ind w:left="960" w:hanging="321"/>
        <w:spacing w:after="0"/>
        <w:tabs>
          <w:tab w:leader="none" w:pos="9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Changes to previously announced earnings guidance, or the decision to suspend earnings guidance;</w:t>
      </w:r>
    </w:p>
    <w:p>
      <w:pPr>
        <w:spacing w:after="0" w:line="251" w:lineRule="exact"/>
        <w:rPr>
          <w:rFonts w:ascii="Arial" w:cs="Arial" w:eastAsia="Arial" w:hAnsi="Arial"/>
          <w:sz w:val="18"/>
          <w:szCs w:val="18"/>
          <w:color w:val="auto"/>
        </w:rPr>
      </w:pPr>
    </w:p>
    <w:p>
      <w:pPr>
        <w:ind w:left="960" w:hanging="320"/>
        <w:spacing w:after="0"/>
        <w:tabs>
          <w:tab w:leader="none" w:pos="9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A pending or proposed merger, acquisition or tender offer;</w:t>
      </w:r>
    </w:p>
    <w:p>
      <w:pPr>
        <w:spacing w:after="0" w:line="264" w:lineRule="exact"/>
        <w:rPr>
          <w:rFonts w:ascii="Arial" w:cs="Arial" w:eastAsia="Arial" w:hAnsi="Arial"/>
          <w:sz w:val="18"/>
          <w:szCs w:val="18"/>
          <w:color w:val="auto"/>
        </w:rPr>
      </w:pPr>
    </w:p>
    <w:p>
      <w:pPr>
        <w:ind w:left="960" w:hanging="320"/>
        <w:spacing w:after="0"/>
        <w:tabs>
          <w:tab w:leader="none" w:pos="9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A pending or proposed acquisition or disposition of a significant asset;</w:t>
      </w:r>
    </w:p>
    <w:p>
      <w:pPr>
        <w:spacing w:after="0" w:line="264" w:lineRule="exact"/>
        <w:rPr>
          <w:rFonts w:ascii="Arial" w:cs="Arial" w:eastAsia="Arial" w:hAnsi="Arial"/>
          <w:sz w:val="18"/>
          <w:szCs w:val="18"/>
          <w:color w:val="auto"/>
        </w:rPr>
      </w:pPr>
    </w:p>
    <w:p>
      <w:pPr>
        <w:ind w:left="960" w:hanging="320"/>
        <w:spacing w:after="0"/>
        <w:tabs>
          <w:tab w:leader="none" w:pos="9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A pending or proposed joint venture;</w:t>
      </w:r>
    </w:p>
    <w:p>
      <w:pPr>
        <w:spacing w:after="0" w:line="278" w:lineRule="exact"/>
        <w:rPr>
          <w:rFonts w:ascii="Arial" w:cs="Arial" w:eastAsia="Arial" w:hAnsi="Arial"/>
          <w:sz w:val="18"/>
          <w:szCs w:val="18"/>
          <w:color w:val="auto"/>
        </w:rPr>
      </w:pPr>
    </w:p>
    <w:p>
      <w:pPr>
        <w:ind w:left="960" w:hanging="320"/>
        <w:spacing w:after="0"/>
        <w:tabs>
          <w:tab w:leader="none" w:pos="9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A Company restructuring;</w:t>
      </w:r>
    </w:p>
    <w:p>
      <w:pPr>
        <w:spacing w:after="0" w:line="264" w:lineRule="exact"/>
        <w:rPr>
          <w:rFonts w:ascii="Arial" w:cs="Arial" w:eastAsia="Arial" w:hAnsi="Arial"/>
          <w:sz w:val="18"/>
          <w:szCs w:val="18"/>
          <w:color w:val="auto"/>
        </w:rPr>
      </w:pPr>
    </w:p>
    <w:p>
      <w:pPr>
        <w:ind w:left="960" w:hanging="320"/>
        <w:spacing w:after="0"/>
        <w:tabs>
          <w:tab w:leader="none" w:pos="9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Significant related party transactions;</w:t>
      </w:r>
    </w:p>
    <w:p>
      <w:pPr>
        <w:spacing w:after="0" w:line="264" w:lineRule="exact"/>
        <w:rPr>
          <w:rFonts w:ascii="Arial" w:cs="Arial" w:eastAsia="Arial" w:hAnsi="Arial"/>
          <w:sz w:val="18"/>
          <w:szCs w:val="18"/>
          <w:color w:val="auto"/>
        </w:rPr>
      </w:pPr>
    </w:p>
    <w:p>
      <w:pPr>
        <w:ind w:left="960" w:hanging="320"/>
        <w:spacing w:after="0"/>
        <w:tabs>
          <w:tab w:leader="none" w:pos="9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Bank borrowings or other financing transactions out of the ordinary course;</w:t>
      </w:r>
    </w:p>
    <w:p>
      <w:pPr>
        <w:spacing w:after="0" w:line="264" w:lineRule="exact"/>
        <w:rPr>
          <w:rFonts w:ascii="Arial" w:cs="Arial" w:eastAsia="Arial" w:hAnsi="Arial"/>
          <w:sz w:val="18"/>
          <w:szCs w:val="18"/>
          <w:color w:val="auto"/>
        </w:rPr>
      </w:pPr>
    </w:p>
    <w:p>
      <w:pPr>
        <w:ind w:left="960" w:hanging="321"/>
        <w:spacing w:after="0"/>
        <w:tabs>
          <w:tab w:leader="none" w:pos="9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The establishment of a repurchase program for Company Securities;</w:t>
      </w:r>
    </w:p>
    <w:p>
      <w:pPr>
        <w:spacing w:after="0" w:line="264" w:lineRule="exact"/>
        <w:rPr>
          <w:rFonts w:ascii="Arial" w:cs="Arial" w:eastAsia="Arial" w:hAnsi="Arial"/>
          <w:sz w:val="18"/>
          <w:szCs w:val="18"/>
          <w:color w:val="auto"/>
        </w:rPr>
      </w:pPr>
    </w:p>
    <w:p>
      <w:pPr>
        <w:ind w:left="960" w:hanging="321"/>
        <w:spacing w:after="0"/>
        <w:tabs>
          <w:tab w:leader="none" w:pos="9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A change in the Company’s pricing or cost structure;</w:t>
      </w:r>
    </w:p>
    <w:p>
      <w:pPr>
        <w:spacing w:after="0" w:line="264" w:lineRule="exact"/>
        <w:rPr>
          <w:rFonts w:ascii="Arial" w:cs="Arial" w:eastAsia="Arial" w:hAnsi="Arial"/>
          <w:sz w:val="18"/>
          <w:szCs w:val="18"/>
          <w:color w:val="auto"/>
        </w:rPr>
      </w:pPr>
    </w:p>
    <w:p>
      <w:pPr>
        <w:ind w:left="960" w:hanging="321"/>
        <w:spacing w:after="0"/>
        <w:tabs>
          <w:tab w:leader="none" w:pos="9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Major marketing changes;</w:t>
      </w:r>
    </w:p>
    <w:p>
      <w:pPr>
        <w:spacing w:after="0" w:line="264" w:lineRule="exact"/>
        <w:rPr>
          <w:rFonts w:ascii="Arial" w:cs="Arial" w:eastAsia="Arial" w:hAnsi="Arial"/>
          <w:sz w:val="18"/>
          <w:szCs w:val="18"/>
          <w:color w:val="auto"/>
        </w:rPr>
      </w:pPr>
    </w:p>
    <w:p>
      <w:pPr>
        <w:ind w:left="960" w:hanging="321"/>
        <w:spacing w:after="0"/>
        <w:tabs>
          <w:tab w:leader="none" w:pos="9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A change in senior management or in the Board of Directors;</w:t>
      </w:r>
    </w:p>
    <w:p>
      <w:pPr>
        <w:spacing w:after="0" w:line="278" w:lineRule="exact"/>
        <w:rPr>
          <w:rFonts w:ascii="Arial" w:cs="Arial" w:eastAsia="Arial" w:hAnsi="Arial"/>
          <w:sz w:val="18"/>
          <w:szCs w:val="18"/>
          <w:color w:val="auto"/>
        </w:rPr>
      </w:pPr>
    </w:p>
    <w:p>
      <w:pPr>
        <w:ind w:left="960" w:hanging="321"/>
        <w:spacing w:after="0"/>
        <w:tabs>
          <w:tab w:leader="none" w:pos="9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A change in auditors or notification that the auditor’s reports may no longer be relied upon;</w:t>
      </w:r>
    </w:p>
    <w:p>
      <w:pPr>
        <w:spacing w:after="0" w:line="264" w:lineRule="exact"/>
        <w:rPr>
          <w:rFonts w:ascii="Arial" w:cs="Arial" w:eastAsia="Arial" w:hAnsi="Arial"/>
          <w:sz w:val="18"/>
          <w:szCs w:val="18"/>
          <w:color w:val="auto"/>
        </w:rPr>
      </w:pPr>
    </w:p>
    <w:p>
      <w:pPr>
        <w:ind w:left="960" w:hanging="321"/>
        <w:spacing w:after="0"/>
        <w:tabs>
          <w:tab w:leader="none" w:pos="9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Development of a significant new product category;</w:t>
      </w:r>
    </w:p>
    <w:p>
      <w:pPr>
        <w:spacing w:after="0" w:line="237" w:lineRule="exact"/>
        <w:rPr>
          <w:rFonts w:ascii="Arial" w:cs="Arial" w:eastAsia="Arial" w:hAnsi="Arial"/>
          <w:sz w:val="18"/>
          <w:szCs w:val="18"/>
          <w:color w:val="auto"/>
        </w:rPr>
      </w:pPr>
    </w:p>
    <w:p>
      <w:pPr>
        <w:ind w:left="960" w:hanging="321"/>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threatened significant litigation, or the resolution of that type of litigation;</w:t>
      </w:r>
    </w:p>
    <w:p>
      <w:pPr>
        <w:sectPr>
          <w:pgSz w:w="11900" w:h="16838" w:orient="portrait"/>
          <w:cols w:equalWidth="0" w:num="1">
            <w:col w:w="10900"/>
          </w:cols>
          <w:pgMar w:left="66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900"/>
          </w:cols>
          <w:pgMar w:left="660" w:top="1440" w:right="339" w:bottom="1440" w:gutter="0" w:footer="0" w:header="0"/>
          <w:type w:val="continuous"/>
        </w:sectPr>
      </w:pPr>
    </w:p>
    <w:bookmarkStart w:id="96" w:name="page97"/>
    <w:bookmarkEnd w:id="96"/>
    <w:p>
      <w:pPr>
        <w:spacing w:after="0" w:line="59" w:lineRule="exact"/>
        <w:rPr>
          <w:sz w:val="20"/>
          <w:szCs w:val="20"/>
          <w:color w:val="auto"/>
        </w:rPr>
      </w:pPr>
    </w:p>
    <w:p>
      <w:pPr>
        <w:ind w:left="960" w:hanging="320"/>
        <w:spacing w:after="0"/>
        <w:tabs>
          <w:tab w:leader="none" w:pos="96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The gain or loss of a significant customer or supplier;</w:t>
      </w:r>
    </w:p>
    <w:p>
      <w:pPr>
        <w:spacing w:after="0" w:line="264" w:lineRule="exact"/>
        <w:rPr>
          <w:rFonts w:ascii="Arial" w:cs="Arial" w:eastAsia="Arial" w:hAnsi="Arial"/>
          <w:sz w:val="18"/>
          <w:szCs w:val="18"/>
          <w:color w:val="auto"/>
        </w:rPr>
      </w:pPr>
    </w:p>
    <w:p>
      <w:pPr>
        <w:ind w:left="960" w:hanging="321"/>
        <w:spacing w:after="0"/>
        <w:tabs>
          <w:tab w:leader="none" w:pos="96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Impending bankruptcy or the existence of severe liquidity problems;</w:t>
      </w:r>
    </w:p>
    <w:p>
      <w:pPr>
        <w:spacing w:after="0" w:line="278" w:lineRule="exact"/>
        <w:rPr>
          <w:rFonts w:ascii="Arial" w:cs="Arial" w:eastAsia="Arial" w:hAnsi="Arial"/>
          <w:sz w:val="18"/>
          <w:szCs w:val="18"/>
          <w:color w:val="auto"/>
        </w:rPr>
      </w:pPr>
    </w:p>
    <w:p>
      <w:pPr>
        <w:jc w:val="both"/>
        <w:ind w:left="960" w:right="100" w:hanging="321"/>
        <w:spacing w:after="0" w:line="281" w:lineRule="auto"/>
        <w:tabs>
          <w:tab w:leader="none" w:pos="955"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A significant cybersecurity incident, such as a data breach, or any other significant disruption in the Company’s operations or loss, potential loss, breach or unauthorized access of its property or assets, whether at its facilities or through its information technology infrastructure;</w:t>
      </w:r>
    </w:p>
    <w:p>
      <w:pPr>
        <w:spacing w:after="0" w:line="176" w:lineRule="exact"/>
        <w:rPr>
          <w:rFonts w:ascii="Arial" w:cs="Arial" w:eastAsia="Arial" w:hAnsi="Arial"/>
          <w:sz w:val="18"/>
          <w:szCs w:val="18"/>
          <w:color w:val="auto"/>
        </w:rPr>
      </w:pPr>
    </w:p>
    <w:p>
      <w:pPr>
        <w:ind w:left="960" w:hanging="321"/>
        <w:spacing w:after="0"/>
        <w:tabs>
          <w:tab w:leader="none" w:pos="96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A change in dividend policy, the declaration of a stock split, or an offering of additional Company Securities; or</w:t>
      </w:r>
    </w:p>
    <w:p>
      <w:pPr>
        <w:spacing w:after="0" w:line="237" w:lineRule="exact"/>
        <w:rPr>
          <w:rFonts w:ascii="Arial" w:cs="Arial" w:eastAsia="Arial" w:hAnsi="Arial"/>
          <w:sz w:val="18"/>
          <w:szCs w:val="18"/>
          <w:color w:val="auto"/>
        </w:rPr>
      </w:pPr>
    </w:p>
    <w:p>
      <w:pPr>
        <w:ind w:left="960" w:right="100" w:hanging="321"/>
        <w:spacing w:after="0" w:line="296" w:lineRule="auto"/>
        <w:tabs>
          <w:tab w:leader="none" w:pos="955"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The imposition of a ban or an event-specific restriction on trading in Company Securities or the securities of another company or the extension or termination of such restriction as described in more detail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unsure whether information is material, you should consult the Compliance Officer.</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When is Information Considered Public?</w:t>
      </w:r>
    </w:p>
    <w:p>
      <w:pPr>
        <w:spacing w:after="0" w:line="2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Information that has not been disclosed to the public is generally considered to be nonpublic information. To establish that the information has been disclosed to the public, it may be necessary to show the information has been widely disseminated. Information generally would be considered widely disseminated if it has been disclosed through newswire services using a press release, a broadcast on widely available radio or television programs, publication in a widely available newspaper, magazine or news website, or public disclosure documents filed with the Securities and Exchange Commission (the “SEC”) that are available on the SEC’s website.</w:t>
      </w:r>
    </w:p>
    <w:p>
      <w:pPr>
        <w:spacing w:after="0" w:line="196" w:lineRule="exact"/>
        <w:rPr>
          <w:sz w:val="20"/>
          <w:szCs w:val="20"/>
          <w:color w:val="auto"/>
        </w:rPr>
      </w:pPr>
    </w:p>
    <w:p>
      <w:pPr>
        <w:jc w:val="both"/>
        <w:ind w:right="40"/>
        <w:spacing w:after="0" w:line="297" w:lineRule="auto"/>
        <w:rPr>
          <w:sz w:val="20"/>
          <w:szCs w:val="20"/>
          <w:color w:val="auto"/>
        </w:rPr>
      </w:pPr>
      <w:r>
        <w:rPr>
          <w:rFonts w:ascii="Times New Roman" w:cs="Times New Roman" w:eastAsia="Times New Roman" w:hAnsi="Times New Roman"/>
          <w:sz w:val="18"/>
          <w:szCs w:val="18"/>
          <w:color w:val="auto"/>
        </w:rPr>
        <w:t>By contrast, information would likely not be considered widely disseminated if it is available only to our employees, or if it is only available to a select group of analysts, brokers, and institutional investors.</w:t>
      </w:r>
    </w:p>
    <w:p>
      <w:pPr>
        <w:spacing w:after="0" w:line="176" w:lineRule="exact"/>
        <w:rPr>
          <w:sz w:val="20"/>
          <w:szCs w:val="20"/>
          <w:color w:val="auto"/>
        </w:rPr>
      </w:pPr>
    </w:p>
    <w:p>
      <w:pPr>
        <w:jc w:val="both"/>
        <w:ind w:right="40"/>
        <w:spacing w:after="0" w:line="278" w:lineRule="auto"/>
        <w:rPr>
          <w:sz w:val="20"/>
          <w:szCs w:val="20"/>
          <w:color w:val="auto"/>
        </w:rPr>
      </w:pPr>
      <w:r>
        <w:rPr>
          <w:rFonts w:ascii="Times New Roman" w:cs="Times New Roman" w:eastAsia="Times New Roman" w:hAnsi="Times New Roman"/>
          <w:sz w:val="18"/>
          <w:szCs w:val="18"/>
          <w:color w:val="auto"/>
        </w:rPr>
        <w:t>Once information is widely disseminated, it is still necessary to provide the investing public with sufficient time to absorb the information. As a general rule, information should not be considered fully absorbed by the marketplace until after two full business days have passed since the day on which the information is released. If, for example, the Company were to make an announcement on a Monday before the stock market has opened for trading, you should not trade in Company Securities until Wednesday. If the announcement is made during or after the trading day on Monday, you should wait until Thursday to trade. Depending on the particular circumstances, the Company may determine that a longer or shorter period should apply to the release of specific material nonpublic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Does this Policy also apply to transactions by family members and certain other people related to me?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This Policy applies to you and your Family Members. We define “Family Members” in this policy as:</w:t>
      </w:r>
    </w:p>
    <w:p>
      <w:pPr>
        <w:spacing w:after="0" w:line="266" w:lineRule="exact"/>
        <w:rPr>
          <w:sz w:val="20"/>
          <w:szCs w:val="20"/>
          <w:color w:val="auto"/>
        </w:rPr>
      </w:pPr>
    </w:p>
    <w:p>
      <w:pPr>
        <w:ind w:left="700" w:right="540" w:hanging="333"/>
        <w:spacing w:after="0" w:line="296" w:lineRule="auto"/>
        <w:tabs>
          <w:tab w:leader="none" w:pos="695"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your family members who reside with you (including a spouse, a child, a child away at college, stepchildren, grandchildren, parents, stepparents, grandparents, siblings and in-laws);</w:t>
      </w:r>
    </w:p>
    <w:p>
      <w:pPr>
        <w:spacing w:after="0" w:line="176" w:lineRule="exact"/>
        <w:rPr>
          <w:rFonts w:ascii="Arial" w:cs="Arial" w:eastAsia="Arial" w:hAnsi="Arial"/>
          <w:sz w:val="18"/>
          <w:szCs w:val="18"/>
          <w:color w:val="auto"/>
        </w:rPr>
      </w:pPr>
    </w:p>
    <w:p>
      <w:pPr>
        <w:ind w:left="680" w:hanging="313"/>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else who lives in your household;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660" w:top="1440" w:right="339" w:bottom="1440" w:gutter="0" w:footer="0" w:header="0"/>
        </w:sectPr>
      </w:pPr>
    </w:p>
    <w:bookmarkStart w:id="97" w:name="page98"/>
    <w:bookmarkEnd w:id="97"/>
    <w:p>
      <w:pPr>
        <w:spacing w:after="0" w:line="59" w:lineRule="exact"/>
        <w:rPr>
          <w:sz w:val="20"/>
          <w:szCs w:val="20"/>
          <w:color w:val="auto"/>
        </w:rPr>
      </w:pPr>
    </w:p>
    <w:p>
      <w:pPr>
        <w:ind w:left="700" w:right="60" w:hanging="328"/>
        <w:spacing w:after="0" w:line="296" w:lineRule="auto"/>
        <w:tabs>
          <w:tab w:leader="none" w:pos="695" w:val="left"/>
        </w:tabs>
        <w:numPr>
          <w:ilvl w:val="0"/>
          <w:numId w:val="40"/>
        </w:numPr>
        <w:rPr>
          <w:rFonts w:ascii="Arial" w:cs="Arial" w:eastAsia="Arial" w:hAnsi="Arial"/>
          <w:sz w:val="18"/>
          <w:szCs w:val="18"/>
          <w:color w:val="auto"/>
        </w:rPr>
      </w:pPr>
      <w:r>
        <w:rPr>
          <w:rFonts w:ascii="Times New Roman" w:cs="Times New Roman" w:eastAsia="Times New Roman" w:hAnsi="Times New Roman"/>
          <w:sz w:val="18"/>
          <w:szCs w:val="18"/>
          <w:color w:val="auto"/>
        </w:rPr>
        <w:t>any family members who do not live in your household but whose transactions in Company Securities are initiated or directed by you or are subject to your influence or control, such as parents, in-laws or children who consult with you before they trade in Company Securities.</w:t>
      </w:r>
    </w:p>
    <w:p>
      <w:pPr>
        <w:spacing w:after="0" w:line="204" w:lineRule="exact"/>
        <w:rPr>
          <w:sz w:val="20"/>
          <w:szCs w:val="20"/>
          <w:color w:val="auto"/>
        </w:rPr>
      </w:pPr>
    </w:p>
    <w:p>
      <w:pPr>
        <w:jc w:val="both"/>
        <w:ind w:left="40"/>
        <w:spacing w:after="0" w:line="281" w:lineRule="auto"/>
        <w:rPr>
          <w:sz w:val="20"/>
          <w:szCs w:val="20"/>
          <w:color w:val="auto"/>
        </w:rPr>
      </w:pPr>
      <w:r>
        <w:rPr>
          <w:rFonts w:ascii="Times New Roman" w:cs="Times New Roman" w:eastAsia="Times New Roman" w:hAnsi="Times New Roman"/>
          <w:sz w:val="18"/>
          <w:szCs w:val="18"/>
          <w:color w:val="auto"/>
        </w:rPr>
        <w:t>You are responsible for the transactions of your Family Members and, therefore, should make them aware of the need to confer with you before they trade in Company Securities, and you should treat all such transactions for the purposes of this Policy and applicable securities laws as if the transactions were for your own account.</w:t>
      </w:r>
    </w:p>
    <w:p>
      <w:pPr>
        <w:spacing w:after="0" w:line="191" w:lineRule="exact"/>
        <w:rPr>
          <w:sz w:val="20"/>
          <w:szCs w:val="20"/>
          <w:color w:val="auto"/>
        </w:rPr>
      </w:pPr>
    </w:p>
    <w:p>
      <w:pPr>
        <w:jc w:val="both"/>
        <w:ind w:left="40"/>
        <w:spacing w:after="0" w:line="297" w:lineRule="auto"/>
        <w:rPr>
          <w:sz w:val="20"/>
          <w:szCs w:val="20"/>
          <w:color w:val="auto"/>
        </w:rPr>
      </w:pPr>
      <w:r>
        <w:rPr>
          <w:rFonts w:ascii="Times New Roman" w:cs="Times New Roman" w:eastAsia="Times New Roman" w:hAnsi="Times New Roman"/>
          <w:sz w:val="18"/>
          <w:szCs w:val="18"/>
          <w:color w:val="auto"/>
        </w:rPr>
        <w:t>This Policy does not, however, apply to personal securities transactions of Family Members where the purchase or sale decision is made by a third party not controlled by, influenced by or related to you or your Family Members.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Does this Policy also apply to transactions by entities I influence or control?</w:t>
      </w:r>
    </w:p>
    <w:p>
      <w:pPr>
        <w:spacing w:after="0" w:line="283"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8"/>
          <w:szCs w:val="18"/>
          <w:color w:val="auto"/>
        </w:rPr>
        <w:t>Yes. This Policy applies to any entities you influence or control, including any corporations, partnerships or trusts (collectively referred to as “Controlled Entities”), and transactions by these Controlled Entities should be treated for the purposes of this Policy and applicable securities laws as if they were for your own account.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How does this Policy apply to transactions under our compensation plans including The Simply Good Foods Company Incentive Plan?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specifically stated otherwise, this Policy does not apply in the case of the following transactions:</w:t>
      </w:r>
    </w:p>
    <w:p>
      <w:pPr>
        <w:spacing w:after="0" w:line="279" w:lineRule="exact"/>
        <w:rPr>
          <w:sz w:val="20"/>
          <w:szCs w:val="20"/>
          <w:color w:val="auto"/>
        </w:rPr>
      </w:pPr>
    </w:p>
    <w:p>
      <w:pPr>
        <w:jc w:val="both"/>
        <w:ind w:left="420"/>
        <w:spacing w:after="0" w:line="276" w:lineRule="auto"/>
        <w:rPr>
          <w:sz w:val="20"/>
          <w:szCs w:val="20"/>
          <w:color w:val="auto"/>
        </w:rPr>
      </w:pPr>
      <w:r>
        <w:rPr>
          <w:rFonts w:ascii="Times New Roman" w:cs="Times New Roman" w:eastAsia="Times New Roman" w:hAnsi="Times New Roman"/>
          <w:sz w:val="18"/>
          <w:szCs w:val="18"/>
          <w:u w:val="single" w:color="auto"/>
          <w:color w:val="auto"/>
        </w:rPr>
        <w:t>Stock Option Exercises.</w:t>
      </w:r>
      <w:r>
        <w:rPr>
          <w:rFonts w:ascii="Times New Roman" w:cs="Times New Roman" w:eastAsia="Times New Roman" w:hAnsi="Times New Roman"/>
          <w:sz w:val="18"/>
          <w:szCs w:val="18"/>
          <w:color w:val="auto"/>
        </w:rPr>
        <w:t xml:space="preserve"> This Policy does not apply to the exercise of an employee stock option acquired pursuant to the Company’s plans, or to the exercise of a tax withholding right pursuant to which you have elected to have the Company withhold shares subject to an option to satisfy tax withholding requirements. The answer is different with respect to selling stock you receive on the option exercise.</w:t>
      </w:r>
    </w:p>
    <w:p>
      <w:pPr>
        <w:spacing w:after="0" w:line="1" w:lineRule="exact"/>
        <w:rPr>
          <w:sz w:val="20"/>
          <w:szCs w:val="20"/>
          <w:color w:val="auto"/>
        </w:rPr>
      </w:pPr>
    </w:p>
    <w:p>
      <w:pPr>
        <w:jc w:val="both"/>
        <w:ind w:left="420"/>
        <w:spacing w:after="0" w:line="297" w:lineRule="auto"/>
        <w:rPr>
          <w:sz w:val="20"/>
          <w:szCs w:val="20"/>
          <w:color w:val="auto"/>
        </w:rPr>
      </w:pPr>
      <w:r>
        <w:rPr>
          <w:rFonts w:ascii="Times New Roman" w:cs="Times New Roman" w:eastAsia="Times New Roman" w:hAnsi="Times New Roman"/>
          <w:sz w:val="18"/>
          <w:szCs w:val="18"/>
          <w:color w:val="auto"/>
        </w:rPr>
        <w:t>This Policy does apply to any sale of stock as part of a broker-assisted cashless exercise of an option, or any other market sale for the purpose of generating the cash needed to pay the exercise price of an option.</w:t>
      </w:r>
    </w:p>
    <w:p>
      <w:pPr>
        <w:spacing w:after="0" w:line="163" w:lineRule="exact"/>
        <w:rPr>
          <w:sz w:val="20"/>
          <w:szCs w:val="20"/>
          <w:color w:val="auto"/>
        </w:rPr>
      </w:pPr>
    </w:p>
    <w:p>
      <w:pPr>
        <w:jc w:val="both"/>
        <w:ind w:left="420" w:right="80"/>
        <w:spacing w:after="0" w:line="276" w:lineRule="auto"/>
        <w:rPr>
          <w:sz w:val="20"/>
          <w:szCs w:val="20"/>
          <w:color w:val="auto"/>
        </w:rPr>
      </w:pPr>
      <w:r>
        <w:rPr>
          <w:rFonts w:ascii="Times New Roman" w:cs="Times New Roman" w:eastAsia="Times New Roman" w:hAnsi="Times New Roman"/>
          <w:sz w:val="18"/>
          <w:szCs w:val="18"/>
          <w:u w:val="single" w:color="auto"/>
          <w:color w:val="auto"/>
        </w:rPr>
        <w:t>Restricted Stock Unit Awards.</w:t>
      </w:r>
      <w:r>
        <w:rPr>
          <w:rFonts w:ascii="Times New Roman" w:cs="Times New Roman" w:eastAsia="Times New Roman" w:hAnsi="Times New Roman"/>
          <w:sz w:val="18"/>
          <w:szCs w:val="18"/>
          <w:color w:val="auto"/>
        </w:rPr>
        <w:t xml:space="preserve"> This Policy does not apply to the vesting of restricted stock units, or the exercise of a tax withholding right pursuant to which you elect to have the Company withhold shares of stock to satisfy tax withholding requirements upon the vesting of any restricted stock unit award.</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However, this Policy does apply to any market sale of shares of stock you receive once the restricted stock unit has vested.</w:t>
      </w:r>
    </w:p>
    <w:p>
      <w:pPr>
        <w:spacing w:after="0" w:line="266" w:lineRule="exact"/>
        <w:rPr>
          <w:sz w:val="20"/>
          <w:szCs w:val="20"/>
          <w:color w:val="auto"/>
        </w:rPr>
      </w:pPr>
    </w:p>
    <w:p>
      <w:pPr>
        <w:ind w:left="400"/>
        <w:spacing w:after="0" w:line="313" w:lineRule="auto"/>
        <w:rPr>
          <w:sz w:val="20"/>
          <w:szCs w:val="20"/>
          <w:color w:val="auto"/>
        </w:rPr>
      </w:pPr>
      <w:r>
        <w:rPr>
          <w:rFonts w:ascii="Times New Roman" w:cs="Times New Roman" w:eastAsia="Times New Roman" w:hAnsi="Times New Roman"/>
          <w:sz w:val="18"/>
          <w:szCs w:val="18"/>
          <w:u w:val="single" w:color="auto"/>
          <w:color w:val="auto"/>
        </w:rPr>
        <w:t>Other Similar Transactions.</w:t>
      </w:r>
      <w:r>
        <w:rPr>
          <w:rFonts w:ascii="Times New Roman" w:cs="Times New Roman" w:eastAsia="Times New Roman" w:hAnsi="Times New Roman"/>
          <w:sz w:val="18"/>
          <w:szCs w:val="18"/>
          <w:color w:val="auto"/>
        </w:rPr>
        <w:t xml:space="preserve"> Any other purchase of Company Securities from the Company or sales of Company Securities to the Company are not subject to this Policy.</w:t>
      </w:r>
    </w:p>
    <w:p>
      <w:pPr>
        <w:sectPr>
          <w:pgSz w:w="11900" w:h="16838" w:orient="portrait"/>
          <w:cols w:equalWidth="0" w:num="1">
            <w:col w:w="10900"/>
          </w:cols>
          <w:pgMar w:left="66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900"/>
          </w:cols>
          <w:pgMar w:left="660" w:top="1440" w:right="339" w:bottom="1440" w:gutter="0" w:footer="0" w:header="0"/>
          <w:type w:val="continuous"/>
        </w:sectPr>
      </w:pPr>
    </w:p>
    <w:bookmarkStart w:id="98" w:name="page99"/>
    <w:bookmarkEnd w:id="98"/>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Does this Policy apply to gifts?</w:t>
      </w:r>
    </w:p>
    <w:p>
      <w:pPr>
        <w:spacing w:after="0" w:line="268" w:lineRule="exact"/>
        <w:rPr>
          <w:sz w:val="20"/>
          <w:szCs w:val="20"/>
          <w:color w:val="auto"/>
        </w:rPr>
      </w:pPr>
    </w:p>
    <w:p>
      <w:pPr>
        <w:ind w:right="160"/>
        <w:spacing w:after="0" w:line="315" w:lineRule="auto"/>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 are restricted by the terms of this Policy. Under this Policy,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is considered a transaction that must be completed during an open Trading Window. This is the case even though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is not technically a purchase or sale transaction.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Does this Policy apply transactions in mutual funds that own Company Securities?</w:t>
      </w: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 Transactions in mutual funds that are invested in Company Securities are not transactions subject to this Policy.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Are there any transactions that are prohibited by this Policy?</w:t>
      </w:r>
    </w:p>
    <w:p>
      <w:pPr>
        <w:spacing w:after="0" w:line="27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Yes. We have determined there is a heightened legal risk and/or the appearance of improper or inappropriate conduct if Insiders engage in certain types of transactions. It is our policy that Insiders may not engage in any of the following transactions, or should otherwise consider the Company’s preferences as described below:</w:t>
      </w:r>
    </w:p>
    <w:p>
      <w:pPr>
        <w:spacing w:after="0" w:line="170" w:lineRule="exact"/>
        <w:rPr>
          <w:sz w:val="20"/>
          <w:szCs w:val="20"/>
          <w:color w:val="auto"/>
        </w:rPr>
      </w:pPr>
    </w:p>
    <w:p>
      <w:pPr>
        <w:jc w:val="both"/>
        <w:ind w:left="420"/>
        <w:spacing w:after="0" w:line="281" w:lineRule="auto"/>
        <w:rPr>
          <w:sz w:val="20"/>
          <w:szCs w:val="20"/>
          <w:color w:val="auto"/>
        </w:rPr>
      </w:pPr>
      <w:r>
        <w:rPr>
          <w:rFonts w:ascii="Times New Roman" w:cs="Times New Roman" w:eastAsia="Times New Roman" w:hAnsi="Times New Roman"/>
          <w:sz w:val="18"/>
          <w:szCs w:val="18"/>
          <w:u w:val="single" w:color="auto"/>
          <w:color w:val="auto"/>
        </w:rPr>
        <w:t>Hedging Transactions.</w:t>
      </w:r>
      <w:r>
        <w:rPr>
          <w:rFonts w:ascii="Times New Roman" w:cs="Times New Roman" w:eastAsia="Times New Roman" w:hAnsi="Times New Roman"/>
          <w:sz w:val="18"/>
          <w:szCs w:val="18"/>
          <w:color w:val="auto"/>
        </w:rPr>
        <w:t xml:space="preserve"> Hedging or monetization transactions can be accomplished through a number of possible mechanisms, including through the use of financial instruments such as prepaid variable forwards, equity swaps, collars, and exchange funds. Such transactions may permit a person to continue to own Company Securities obtained through employee benefit plans or otherwise, but without the full risks and rewards of ownership. When that occurs, the person may no longer have the same objectives as the Company’s other stockholders. Therefore, Insiders are prohibited from engaging in any such transactions.</w:t>
      </w:r>
    </w:p>
    <w:p>
      <w:pPr>
        <w:spacing w:after="0" w:line="192" w:lineRule="exact"/>
        <w:rPr>
          <w:sz w:val="20"/>
          <w:szCs w:val="20"/>
          <w:color w:val="auto"/>
        </w:rPr>
      </w:pPr>
    </w:p>
    <w:p>
      <w:pPr>
        <w:jc w:val="both"/>
        <w:ind w:left="420" w:right="80"/>
        <w:spacing w:after="0" w:line="281" w:lineRule="auto"/>
        <w:rPr>
          <w:sz w:val="20"/>
          <w:szCs w:val="20"/>
          <w:color w:val="auto"/>
        </w:rPr>
      </w:pPr>
      <w:r>
        <w:rPr>
          <w:rFonts w:ascii="Times New Roman" w:cs="Times New Roman" w:eastAsia="Times New Roman" w:hAnsi="Times New Roman"/>
          <w:sz w:val="18"/>
          <w:szCs w:val="18"/>
          <w:u w:val="single" w:color="auto"/>
          <w:color w:val="auto"/>
        </w:rPr>
        <w:t>Margin Accounts and Pledged Securities.</w:t>
      </w:r>
      <w:r>
        <w:rPr>
          <w:rFonts w:ascii="Times New Roman" w:cs="Times New Roman" w:eastAsia="Times New Roman" w:hAnsi="Times New Roman"/>
          <w:sz w:val="18"/>
          <w:szCs w:val="18"/>
          <w:color w:val="auto"/>
        </w:rPr>
        <w:t xml:space="preserve">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Insiders are prohibited from holding Company Securities in a margin account or otherwise pledging Company Securities as collateral for a loan.</w:t>
      </w:r>
    </w:p>
    <w:p>
      <w:pPr>
        <w:spacing w:after="0" w:line="179" w:lineRule="exact"/>
        <w:rPr>
          <w:sz w:val="20"/>
          <w:szCs w:val="20"/>
          <w:color w:val="auto"/>
        </w:rPr>
      </w:pPr>
    </w:p>
    <w:p>
      <w:pPr>
        <w:jc w:val="both"/>
        <w:ind w:left="420"/>
        <w:spacing w:after="0" w:line="281" w:lineRule="auto"/>
        <w:rPr>
          <w:sz w:val="20"/>
          <w:szCs w:val="20"/>
          <w:color w:val="auto"/>
        </w:rPr>
      </w:pPr>
      <w:r>
        <w:rPr>
          <w:rFonts w:ascii="Times New Roman" w:cs="Times New Roman" w:eastAsia="Times New Roman" w:hAnsi="Times New Roman"/>
          <w:sz w:val="18"/>
          <w:szCs w:val="18"/>
          <w:u w:val="single" w:color="auto"/>
          <w:color w:val="auto"/>
        </w:rPr>
        <w:t>Short-Term Trading.</w:t>
      </w:r>
      <w:r>
        <w:rPr>
          <w:rFonts w:ascii="Times New Roman" w:cs="Times New Roman" w:eastAsia="Times New Roman" w:hAnsi="Times New Roman"/>
          <w:sz w:val="18"/>
          <w:szCs w:val="18"/>
          <w:color w:val="auto"/>
        </w:rPr>
        <w:t xml:space="preserve"> Short-term trading of Company Securities may be distracting to you and may unduly focus you on our short-term stock market performance instead of our long-term business objectives. For these reasons, the Company discourages Insiders who buy Company Securities in the open market from selling any Company Securities of the same class during the six months following the purchase (or vice versa). Additional short-term trading rules apply to certain members of our senior management and our Board of Directors. Please see the heading “Where can I find additional information?”</w:t>
      </w:r>
    </w:p>
    <w:p>
      <w:pPr>
        <w:spacing w:after="0" w:line="204"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xml:space="preserve"> Short sales of Company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the U.S. federal securities laws prohibit officers and directors from engaging in short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660" w:top="1440" w:right="339" w:bottom="1440" w:gutter="0" w:footer="0" w:header="0"/>
        </w:sectPr>
      </w:pPr>
    </w:p>
    <w:bookmarkStart w:id="99" w:name="page100"/>
    <w:bookmarkEnd w:id="99"/>
    <w:p>
      <w:pPr>
        <w:spacing w:after="0" w:line="72" w:lineRule="exact"/>
        <w:rPr>
          <w:sz w:val="20"/>
          <w:szCs w:val="20"/>
          <w:color w:val="auto"/>
        </w:rPr>
      </w:pPr>
    </w:p>
    <w:p>
      <w:pPr>
        <w:jc w:val="both"/>
        <w:ind w:left="420" w:right="80"/>
        <w:spacing w:after="0" w:line="281" w:lineRule="auto"/>
        <w:rPr>
          <w:sz w:val="20"/>
          <w:szCs w:val="20"/>
          <w:color w:val="auto"/>
        </w:rPr>
      </w:pPr>
      <w:r>
        <w:rPr>
          <w:rFonts w:ascii="Times New Roman" w:cs="Times New Roman" w:eastAsia="Times New Roman" w:hAnsi="Times New Roman"/>
          <w:sz w:val="18"/>
          <w:szCs w:val="18"/>
          <w:u w:val="single" w:color="auto"/>
          <w:color w:val="auto"/>
        </w:rPr>
        <w:t>Publicly Traded Options.</w:t>
      </w:r>
      <w:r>
        <w:rPr>
          <w:rFonts w:ascii="Times New Roman" w:cs="Times New Roman" w:eastAsia="Times New Roman" w:hAnsi="Times New Roman"/>
          <w:sz w:val="18"/>
          <w:szCs w:val="18"/>
          <w:color w:val="auto"/>
        </w:rPr>
        <w:t xml:space="preserve"> Given the relatively short term of publicly traded options, transactions in options may create the appearance that a person or entity subject to this Policy is trading based on material nonpublic information and focus that person’s or entity’s attention on short-term performance at the expense of the Company’s long-term objectives. Accordingly, transactions in put options, call options, or other derivative securities, on an exchange or in any other organized market, are prohibited by this Policy.</w:t>
      </w:r>
    </w:p>
    <w:p>
      <w:pPr>
        <w:spacing w:after="0" w:line="192" w:lineRule="exact"/>
        <w:rPr>
          <w:sz w:val="20"/>
          <w:szCs w:val="20"/>
          <w:color w:val="auto"/>
        </w:rPr>
      </w:pPr>
    </w:p>
    <w:p>
      <w:pPr>
        <w:jc w:val="both"/>
        <w:ind w:left="420"/>
        <w:spacing w:after="0" w:line="278" w:lineRule="auto"/>
        <w:rPr>
          <w:sz w:val="20"/>
          <w:szCs w:val="20"/>
          <w:color w:val="auto"/>
        </w:rPr>
      </w:pPr>
      <w:r>
        <w:rPr>
          <w:rFonts w:ascii="Times New Roman" w:cs="Times New Roman" w:eastAsia="Times New Roman" w:hAnsi="Times New Roman"/>
          <w:sz w:val="18"/>
          <w:szCs w:val="18"/>
          <w:u w:val="single" w:color="auto"/>
          <w:color w:val="auto"/>
        </w:rPr>
        <w:t>Standing and Limit Orders.</w:t>
      </w:r>
      <w:r>
        <w:rPr>
          <w:rFonts w:ascii="Times New Roman" w:cs="Times New Roman" w:eastAsia="Times New Roman" w:hAnsi="Times New Roman"/>
          <w:sz w:val="18"/>
          <w:szCs w:val="18"/>
          <w:color w:val="auto"/>
        </w:rPr>
        <w:t xml:space="preserve"> Standing and limit orders (except standing and limit orders under approved Rule 10b5-1 Plans, discussed below) create heightened risks for insider trading violations similar to the use of margin accounts. There is no control over the timing of purchases or sales that result from standing instructions to a broker, and as a result the broker could execute a transaction when the person or entity subject to this Policy is in possession of material nonpublic information. We therefore discourage placing standing or limit orders on Company Securities. If an Insider determines they must use a standing order or limit order, the order should be limited to short duration and should otherwise comply with the restrictions and procedures outlined below under the subheading “</w:t>
      </w:r>
      <w:r>
        <w:rPr>
          <w:rFonts w:ascii="Times New Roman" w:cs="Times New Roman" w:eastAsia="Times New Roman" w:hAnsi="Times New Roman"/>
          <w:sz w:val="18"/>
          <w:szCs w:val="18"/>
          <w:i w:val="1"/>
          <w:iCs w:val="1"/>
          <w:color w:val="auto"/>
        </w:rPr>
        <w:t>What are the pre-clearance procedures?</w:t>
      </w:r>
      <w:r>
        <w:rPr>
          <w:rFonts w:ascii="Times New Roman" w:cs="Times New Roman" w:eastAsia="Times New Roman" w:hAnsi="Times New Roman"/>
          <w:sz w:val="18"/>
          <w:szCs w:val="18"/>
          <w:color w:val="auto"/>
        </w:rPr>
        <w:t>” below.</w:t>
      </w:r>
    </w:p>
    <w:p>
      <w:pPr>
        <w:spacing w:after="0" w:line="195" w:lineRule="exact"/>
        <w:rPr>
          <w:sz w:val="20"/>
          <w:szCs w:val="20"/>
          <w:color w:val="auto"/>
        </w:rPr>
      </w:pPr>
    </w:p>
    <w:p>
      <w:pPr>
        <w:jc w:val="both"/>
        <w:ind w:left="420"/>
        <w:spacing w:after="0" w:line="281" w:lineRule="auto"/>
        <w:rPr>
          <w:sz w:val="20"/>
          <w:szCs w:val="20"/>
          <w:color w:val="auto"/>
        </w:rPr>
      </w:pPr>
      <w:r>
        <w:rPr>
          <w:rFonts w:ascii="Times New Roman" w:cs="Times New Roman" w:eastAsia="Times New Roman" w:hAnsi="Times New Roman"/>
          <w:sz w:val="18"/>
          <w:szCs w:val="18"/>
          <w:u w:val="single" w:color="auto"/>
          <w:color w:val="auto"/>
        </w:rPr>
        <w:t>Prediction Markets Contracts.</w:t>
      </w:r>
      <w:r>
        <w:rPr>
          <w:rFonts w:ascii="Times New Roman" w:cs="Times New Roman" w:eastAsia="Times New Roman" w:hAnsi="Times New Roman"/>
          <w:sz w:val="18"/>
          <w:szCs w:val="18"/>
          <w:color w:val="auto"/>
        </w:rPr>
        <w:t xml:space="preserve"> Insiders are prohibited from purchasing, selling, trading, holding, or otherwise participating in Prediction Market Contracts that reference or relate to the Company, Company Securities, or the Company’s business activities, executives, strategic transactions, or other matters concerning the Company. In addition, no Insider may use Material Nonpublic Information obtained through the Company to participate in any Prediction Market Contracts concerning any third party.</w:t>
      </w:r>
    </w:p>
    <w:p>
      <w:pPr>
        <w:spacing w:after="0" w:line="16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What are the requirements to be followed if an Insider wants to buy or sell Company Securities or exercise stock options? What is the Trading Window?</w:t>
      </w:r>
    </w:p>
    <w:p>
      <w:pPr>
        <w:spacing w:after="0" w:line="186"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8"/>
          <w:szCs w:val="18"/>
          <w:color w:val="auto"/>
        </w:rPr>
        <w:t>We have established additional procedures to assist us in the administration of this Policy, to facilitate compliance with laws prohibiting insider trading while in possession of material nonpublic information, and to avoid the appearance of any impropriety. These procedures include the use of a Trading Window, a period when transactions in Company Securities are permitted (subject to event-specific restrictions) and a pre-clearance process.</w:t>
      </w:r>
    </w:p>
    <w:p>
      <w:pPr>
        <w:spacing w:after="0" w:line="168" w:lineRule="exact"/>
        <w:rPr>
          <w:sz w:val="20"/>
          <w:szCs w:val="20"/>
          <w:color w:val="auto"/>
        </w:rPr>
      </w:pPr>
    </w:p>
    <w:p>
      <w:pPr>
        <w:jc w:val="both"/>
        <w:ind w:left="420" w:right="16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What is the Trading Window? </w:t>
      </w:r>
      <w:r>
        <w:rPr>
          <w:rFonts w:ascii="Times New Roman" w:cs="Times New Roman" w:eastAsia="Times New Roman" w:hAnsi="Times New Roman"/>
          <w:sz w:val="18"/>
          <w:szCs w:val="18"/>
          <w:color w:val="auto"/>
        </w:rPr>
        <w:t>Insiders may conduct any transactions, including the making of a bona fide gift, involving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(other than as specified by this Policy), only during the “Trading Window.” The Trading Window begins two (2) full trading days following the public release of the Company’s quarterly earnings and ends at the close of trading on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trading day prior to the end of the fiscal quarter when the Trading Window opened.</w:t>
      </w:r>
    </w:p>
    <w:p>
      <w:pPr>
        <w:spacing w:after="0" w:line="231" w:lineRule="exact"/>
        <w:rPr>
          <w:sz w:val="20"/>
          <w:szCs w:val="20"/>
          <w:color w:val="auto"/>
        </w:rPr>
      </w:pPr>
    </w:p>
    <w:p>
      <w:pPr>
        <w:jc w:val="both"/>
        <w:ind w:left="400"/>
        <w:spacing w:after="0" w:line="287" w:lineRule="auto"/>
        <w:rPr>
          <w:sz w:val="20"/>
          <w:szCs w:val="20"/>
          <w:color w:val="auto"/>
        </w:rPr>
      </w:pPr>
      <w:r>
        <w:rPr>
          <w:rFonts w:ascii="Times New Roman" w:cs="Times New Roman" w:eastAsia="Times New Roman" w:hAnsi="Times New Roman"/>
          <w:sz w:val="18"/>
          <w:szCs w:val="18"/>
          <w:color w:val="auto"/>
        </w:rPr>
        <w:t>For example, if we issue our earnings release before the trading day begins on a Monday, the Trading Window would open on Wednesday with the opening of trading on that day. If the earnings release is issued at the end of the trading day on a Monday, the Trading Window would open on Thursday with the opening of trading on that day. In both scenarios, the Trading Window would then close at the close of trading on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trading day prior to the end of the fiscal quarter when the Trading Window opens.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660" w:top="1440" w:right="339" w:bottom="1440" w:gutter="0" w:footer="0" w:header="0"/>
        </w:sectPr>
      </w:pPr>
    </w:p>
    <w:bookmarkStart w:id="100" w:name="page101"/>
    <w:bookmarkEnd w:id="100"/>
    <w:p>
      <w:pPr>
        <w:spacing w:after="0" w:line="70" w:lineRule="exact"/>
        <w:rPr>
          <w:sz w:val="20"/>
          <w:szCs w:val="20"/>
          <w:color w:val="auto"/>
        </w:rPr>
      </w:pPr>
    </w:p>
    <w:p>
      <w:pPr>
        <w:jc w:val="both"/>
        <w:ind w:left="4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Are there other times when a Trading Window may not open or close early? </w:t>
      </w:r>
      <w:r>
        <w:rPr>
          <w:rFonts w:ascii="Times New Roman" w:cs="Times New Roman" w:eastAsia="Times New Roman" w:hAnsi="Times New Roman"/>
          <w:sz w:val="18"/>
          <w:szCs w:val="18"/>
          <w:color w:val="auto"/>
        </w:rPr>
        <w:t>From time to time, an event may occur that is material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is known by only a few Insiders. So long as the event remains material and nonpublic, the people designated by the Compliance Officer may not trade Company Securities, even if the Trading Window is otherwise open. In addition, the Company’s financial results may be sufficiently material in a particular fiscal quarter that, in the judgment of the Compliance Officer, designated people should refrain from trading in Company Securities even sooner than the typical Trading Window described above. The existence of an event-specific trading restriction period will not be announced to the Company as a whole and should not be communicated to any other person. Even if the Compliance Officer has not designated you as a person who should not trade due to an event-specific restriction, you should not trade while aware of material nonpublic information.</w:t>
      </w:r>
    </w:p>
    <w:p>
      <w:pPr>
        <w:spacing w:after="0" w:line="195" w:lineRule="exact"/>
        <w:rPr>
          <w:sz w:val="20"/>
          <w:szCs w:val="20"/>
          <w:color w:val="auto"/>
        </w:rPr>
      </w:pPr>
    </w:p>
    <w:p>
      <w:pPr>
        <w:jc w:val="both"/>
        <w:ind w:left="420" w:right="8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Are there exceptions to the Trading Window requirements? </w:t>
      </w:r>
      <w:r>
        <w:rPr>
          <w:rFonts w:ascii="Times New Roman" w:cs="Times New Roman" w:eastAsia="Times New Roman" w:hAnsi="Times New Roman"/>
          <w:sz w:val="18"/>
          <w:szCs w:val="18"/>
          <w:color w:val="auto"/>
        </w:rPr>
        <w:t>The quarterly trading restrictions and event-specific trading restrictions do not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those transactions to which this Policy does not apply, as described above under the headings “How does this Policy apply to transactions under our compensation plans including our 2017 Omnibus Incentive Plan?” and “Does this Policy apply to transactions that do not involve a purchase or sale transaction?” Also, as described in more detail below, the requirements for pre-clearance, the quarterly trading restrictions and event-specific trading restrictions do not apply to transactions conducted pursuant to an approved Rule 10b5-1 plan, described under the heading “What is a Rule 10b5-1 Plan?”</w:t>
      </w:r>
    </w:p>
    <w:p>
      <w:pPr>
        <w:spacing w:after="0" w:line="176" w:lineRule="exact"/>
        <w:rPr>
          <w:sz w:val="20"/>
          <w:szCs w:val="20"/>
          <w:color w:val="auto"/>
        </w:rPr>
      </w:pPr>
    </w:p>
    <w:p>
      <w:pPr>
        <w:jc w:val="both"/>
        <w:ind w:left="420"/>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What are the pre-clearance procedures? </w:t>
      </w:r>
      <w:r>
        <w:rPr>
          <w:rFonts w:ascii="Times New Roman" w:cs="Times New Roman" w:eastAsia="Times New Roman" w:hAnsi="Times New Roman"/>
          <w:sz w:val="18"/>
          <w:szCs w:val="18"/>
          <w:color w:val="auto"/>
        </w:rPr>
        <w:t>For transactions that this Policy applies to, insiders may not engage in any transaction in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without first obtaining pre-clearance of the transaction from the Compliance Officer. A request for pre-clearance should be submitted to the Compliance Officer at least two (2) business days in advance of the proposed transaction. The Compliance Officer is under no obligation to approve a transaction submitted for pre-clearance and may determine not to permit the transaction. If a person seeks pre-clearance and permission to engage in the transaction is denied, then they should refrain from initiating any transaction in Company Securities and should not inform any other person of the restriction.</w:t>
      </w:r>
    </w:p>
    <w:p>
      <w:pPr>
        <w:spacing w:after="0" w:line="176" w:lineRule="exact"/>
        <w:rPr>
          <w:sz w:val="20"/>
          <w:szCs w:val="20"/>
          <w:color w:val="auto"/>
        </w:rPr>
      </w:pPr>
    </w:p>
    <w:p>
      <w:pPr>
        <w:jc w:val="both"/>
        <w:ind w:left="420"/>
        <w:spacing w:after="0" w:line="297" w:lineRule="auto"/>
        <w:rPr>
          <w:sz w:val="20"/>
          <w:szCs w:val="20"/>
          <w:color w:val="auto"/>
        </w:rPr>
      </w:pPr>
      <w:r>
        <w:rPr>
          <w:rFonts w:ascii="Times New Roman" w:cs="Times New Roman" w:eastAsia="Times New Roman" w:hAnsi="Times New Roman"/>
          <w:sz w:val="18"/>
          <w:szCs w:val="18"/>
          <w:color w:val="auto"/>
        </w:rPr>
        <w:t>If the pre-clearance is granted, the pre-clearance is effective for the next two (2) trading days. If the transaction is not completed during that time, a new pre-clearance request is required to be delivered to the Compliance Officer.</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pre-clearance form required to be completed when you are seeking pre-clearance for a transaction is posted on the Company’s intranet site.</w:t>
      </w:r>
    </w:p>
    <w:p>
      <w:pPr>
        <w:spacing w:after="0" w:line="239" w:lineRule="exact"/>
        <w:rPr>
          <w:sz w:val="20"/>
          <w:szCs w:val="20"/>
          <w:color w:val="auto"/>
        </w:rPr>
      </w:pPr>
    </w:p>
    <w:p>
      <w:pPr>
        <w:jc w:val="both"/>
        <w:ind w:left="420"/>
        <w:spacing w:after="0" w:line="313" w:lineRule="auto"/>
        <w:rPr>
          <w:sz w:val="20"/>
          <w:szCs w:val="20"/>
          <w:color w:val="auto"/>
        </w:rPr>
      </w:pPr>
      <w:r>
        <w:rPr>
          <w:rFonts w:ascii="Times New Roman" w:cs="Times New Roman" w:eastAsia="Times New Roman" w:hAnsi="Times New Roman"/>
          <w:sz w:val="18"/>
          <w:szCs w:val="18"/>
          <w:color w:val="auto"/>
        </w:rPr>
        <w:t>When a request for pre-clearance is made, you should carefully consider whether you may be aware of any material nonpublic information about the Company and should fully disclose those circumstances.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is a Rule 10b5-1 Plan?</w:t>
      </w:r>
    </w:p>
    <w:p>
      <w:pPr>
        <w:spacing w:after="0" w:line="2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Rule 10b5-1 under the U.S. Securities Exchange Act of 1934 provides a defense from insider trading liability under the SEC’s Rule 10b-5. To be eligible to rely on this defense, a person subject to this Policy must enter a Rule 10b5-1 plan for transactions in Company Securities that meets certain conditions specified in the Rule (a “Rule 10b5-1 Plan”). If the plan meets the requirements of Rule 10b5-1, Company Securities may be purchased or sold without regard to certain insider trading restrictions. To comply with the Policy, a Rule 10b5-1 Plan must be approved by the Compliance Officer and meet the requirements of Rule 10b5-1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660" w:top="1440" w:right="339" w:bottom="1440" w:gutter="0" w:footer="0" w:header="0"/>
        </w:sectPr>
      </w:pPr>
    </w:p>
    <w:bookmarkStart w:id="101" w:name="page102"/>
    <w:bookmarkEnd w:id="101"/>
    <w:p>
      <w:pPr>
        <w:spacing w:after="0" w:line="72"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8"/>
          <w:szCs w:val="18"/>
          <w:color w:val="auto"/>
        </w:rPr>
        <w:t>Company’s “Guidelines for Rule 10b5-1 Plans,” which may be obtained from the Compliance Officer. A Rule 10b5-1 Plan must be entered into at a time when the person entering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92"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8"/>
          <w:szCs w:val="18"/>
          <w:color w:val="auto"/>
        </w:rPr>
        <w:t>Any Rule 10b5-1 Plan must be submitted for approval five (5) business days prior to the entry into the Rule 10b5-1 Plan, unless the Rule 10b5-1 Plan will be implemented through the Company’s Stock Plan Administrator, E*Trade, in which case, it must be submitted for approval two (2) business days prior to entry into the plan. No further pre-approval of transactions conducted pursuant to the Rule 10b5-1 Plan will be required.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Does this Policy apply even after employment with the Company ends?</w:t>
      </w:r>
    </w:p>
    <w:p>
      <w:pPr>
        <w:spacing w:after="0" w:line="270"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8"/>
          <w:szCs w:val="18"/>
          <w:color w:val="auto"/>
        </w:rPr>
        <w:t>If your employment has ended, you still are prohibited from trading Company Securities if you are in possession of material nonpublic information until that information has become public or is no longer material. The pre-clearance procedures specified in this Policy and Trading Window will not apply.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happens if there is a violation of this Policy?</w:t>
      </w:r>
    </w:p>
    <w:p>
      <w:pPr>
        <w:spacing w:after="0" w:line="2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purchase or sale of Company Securities while aware of material nonpublic information, or the disclosure of material nonpublic information to others who then trade in the Company’s Securities, is prohibited by U.S.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95"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8"/>
          <w:szCs w:val="18"/>
          <w:color w:val="auto"/>
        </w:rPr>
        <w:t>In addition, an individual’s failure to comply with this Policy may subject the individual to corrective action up to and including termination of employment for cause, whether or not the employee’s failure to comply results in a violation of law. Needless to say, a violation of law, or even an SEC investigation that does not result in prosecution, can tarnish your reputation and irreparably damage a career.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Where can I find additional information?</w:t>
      </w:r>
    </w:p>
    <w:p>
      <w:pPr>
        <w:spacing w:after="0" w:line="2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Additional policies apply to (1) certain members of our senior management who are designated as “executive officers” pursuant to the SEC’s rules and regulations and (2) the members of the Board of Directors of The Simply Good Foods Company who are obligated to report transactions in Company Securities to the SEC. The Compliance Officer will share these policies with these individuals, and they are responsible to comply with their requirements. Please reach out to the Compliance Officer if you need any additional information about this Policy, the Company’s pre-clearance procedures or Trading Window details.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additional Company assistance is provided?</w:t>
      </w:r>
    </w:p>
    <w:p>
      <w:pPr>
        <w:spacing w:after="0" w:line="2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Any person who has a question about this Policy or its application to any proposed transaction may obtain additional guidance from the Compliance Officer. The email account of the Compliance Officer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660" w:top="1440" w:right="339" w:bottom="1440" w:gutter="0" w:footer="0" w:header="0"/>
        </w:sectPr>
      </w:pPr>
    </w:p>
    <w:bookmarkStart w:id="102" w:name="page103"/>
    <w:bookmarkEnd w:id="102"/>
    <w:p>
      <w:pPr>
        <w:spacing w:after="0" w:line="297" w:lineRule="auto"/>
        <w:rPr>
          <w:sz w:val="20"/>
          <w:szCs w:val="20"/>
          <w:color w:val="auto"/>
        </w:rPr>
      </w:pPr>
      <w:r>
        <w:rPr>
          <w:rFonts w:ascii="Times New Roman" w:cs="Times New Roman" w:eastAsia="Times New Roman" w:hAnsi="Times New Roman"/>
          <w:sz w:val="18"/>
          <w:szCs w:val="18"/>
          <w:color w:val="auto"/>
        </w:rPr>
        <w:t>ComplianceOfficer@simplygoodfoodsco.com. Please refer to the Company directory for the name and contact information of the Company’s current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660" w:top="1431" w:right="339" w:bottom="1440" w:gutter="0" w:footer="0" w:header="0"/>
        </w:sectPr>
      </w:pPr>
    </w:p>
    <w:bookmarkStart w:id="103" w:name="page104"/>
    <w:bookmarkEnd w:id="103"/>
    <w:p>
      <w:pPr>
        <w:spacing w:after="0" w:line="5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u w:val="single" w:color="auto"/>
          <w:color w:val="auto"/>
        </w:rPr>
        <w:t>Guidelines for Rule 10b5-1 Plans</w:t>
      </w:r>
    </w:p>
    <w:p>
      <w:pPr>
        <w:spacing w:after="0" w:line="270"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8"/>
          <w:szCs w:val="18"/>
          <w:color w:val="auto"/>
        </w:rPr>
        <w:t>The following are the guidelines established by the Compliance Officer for the creation of Rule 10b5-1 Plans pursuant to the Company’s Insider Trading Policy (the “Policy”). These guidelines may be amended from time to time to maintain compliance with applicable law and any regulations promulgated by the SEC respecting the creation, operation and termination of Rule 10b5-1 plans. Capitalized terms used in these Guidelines without definition have the definition given to those terms in the Policy.</w:t>
      </w:r>
    </w:p>
    <w:p>
      <w:pPr>
        <w:spacing w:after="0" w:line="171"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8"/>
          <w:szCs w:val="18"/>
          <w:color w:val="auto"/>
        </w:rPr>
        <w:t>Rule 10b5-1 under the Securities Exchange Act of 1934, as amended, provides a defense from insider trading liability under the SEC’s Rule 10b-5. In order to be eligible to rely on this defense, an Insider must enter into a Rule 10b5-1 plan for transactions in Company Securities (as defined in the Policy) that meets certain conditions specified in the Rule (a “Rule 10b5-1 Plan”). If the plan meets the requirements of Rule 10b5-1, Company Securities may be purchased or sold without regard to certain of the Policy’s restrictions and limitations. A Rule 10b5-1 Plan may only be entered into at a time when the person establishing the plan is acting in good faith and not aware of material nonpublic information regarding the Company.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9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As specified in the Company’s Policy, a Rule 10b5-1 Plan must be approved by the Compliance Officer and meet the requirements of Rule 10b5-1 and these guidelines. In limited circumstances, the Compliance Officer may grant a waiver of one or more of these guidelines in their sole discretion. Any Rule 10b5-1 Plan must be submitted for approval five (5) business days prior to the entry into the Rule 10b5-1 Plan, unless the Rule 10b5-1 Plan will be implemented through the Company’s Stock Plan Administrator, E*Trade, in which case, it must be submitted for approval two (2) business days prior to entry therein. No further pre-approval of transactions conducted pursuant to the Rule 10b5-1 Plan will be required.</w:t>
      </w:r>
    </w:p>
    <w:p>
      <w:pPr>
        <w:spacing w:after="0" w:line="179"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You are responsible for ensuring you comply with all SEC rules and regulations related to the creation of a Rule 10b5-1 Plan. The Company’s approval of any Rule 10b5-1 Plan documentation shall in no way whatsoever create any liability for the Company should your Rule 10b5-1 Plan not comply with these rules and regulations, and as a result, the affirmative defense contemplated by a Rule 10b5-1 Plan is not available to you.</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guidelines apply to all Rule 10b5-1 Plans:</w:t>
      </w:r>
    </w:p>
    <w:p>
      <w:pPr>
        <w:spacing w:after="0" w:line="279" w:lineRule="exact"/>
        <w:rPr>
          <w:sz w:val="20"/>
          <w:szCs w:val="20"/>
          <w:color w:val="auto"/>
        </w:rPr>
      </w:pPr>
    </w:p>
    <w:p>
      <w:pPr>
        <w:ind w:left="960" w:right="320" w:hanging="323"/>
        <w:spacing w:after="0" w:line="296" w:lineRule="auto"/>
        <w:tabs>
          <w:tab w:leader="none" w:pos="955"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You may enter into, modify or terminate a Rule 10b5-1 Plan only during a Trading Window and when you are otherwise not in possession of material nonpublic information.</w:t>
      </w:r>
    </w:p>
    <w:p>
      <w:pPr>
        <w:spacing w:after="0" w:line="163" w:lineRule="exact"/>
        <w:rPr>
          <w:rFonts w:ascii="Arial" w:cs="Arial" w:eastAsia="Arial" w:hAnsi="Arial"/>
          <w:sz w:val="18"/>
          <w:szCs w:val="18"/>
          <w:color w:val="auto"/>
        </w:rPr>
      </w:pPr>
    </w:p>
    <w:p>
      <w:pPr>
        <w:ind w:left="960" w:hanging="323"/>
        <w:spacing w:after="0" w:line="296" w:lineRule="auto"/>
        <w:tabs>
          <w:tab w:leader="none" w:pos="955"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You may enter into, modify or terminate a Rule 10b5-1 Plan only in good faith and you must act in good faith under the Rule 10b5-1 Plan.</w:t>
      </w:r>
    </w:p>
    <w:p>
      <w:pPr>
        <w:spacing w:after="0" w:line="176" w:lineRule="exact"/>
        <w:rPr>
          <w:rFonts w:ascii="Arial" w:cs="Arial" w:eastAsia="Arial" w:hAnsi="Arial"/>
          <w:sz w:val="18"/>
          <w:szCs w:val="18"/>
          <w:color w:val="auto"/>
        </w:rPr>
      </w:pPr>
    </w:p>
    <w:p>
      <w:pPr>
        <w:ind w:left="960" w:hanging="323"/>
        <w:spacing w:after="0"/>
        <w:tabs>
          <w:tab w:leader="none" w:pos="960"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All Rule 10b5-1 Plans must have a duration of at least 6 months and no more than 2 years.</w:t>
      </w:r>
    </w:p>
    <w:p>
      <w:pPr>
        <w:spacing w:after="0" w:line="237" w:lineRule="exact"/>
        <w:rPr>
          <w:rFonts w:ascii="Arial" w:cs="Arial" w:eastAsia="Arial" w:hAnsi="Arial"/>
          <w:sz w:val="18"/>
          <w:szCs w:val="18"/>
          <w:color w:val="auto"/>
        </w:rPr>
      </w:pPr>
    </w:p>
    <w:p>
      <w:pPr>
        <w:jc w:val="both"/>
        <w:ind w:left="960" w:hanging="323"/>
        <w:spacing w:after="0" w:line="226" w:lineRule="auto"/>
        <w:tabs>
          <w:tab w:leader="none" w:pos="9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member of the Board of Directors or Section 16 insider who adopts or modifies a Rule 10b5-1 Plan, you will be required to include a representation in the Rule 10b5-1 Plan certifying that at the time of the adoption of the new or modified Rule 10b5-1 Plan you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660" w:top="1440" w:right="339" w:bottom="1440" w:gutter="0" w:footer="0" w:header="0"/>
        </w:sectPr>
      </w:pPr>
    </w:p>
    <w:bookmarkStart w:id="104" w:name="page105"/>
    <w:bookmarkEnd w:id="104"/>
    <w:p>
      <w:pPr>
        <w:spacing w:after="0" w:line="59" w:lineRule="exact"/>
        <w:rPr>
          <w:sz w:val="20"/>
          <w:szCs w:val="20"/>
          <w:color w:val="auto"/>
        </w:rPr>
      </w:pPr>
    </w:p>
    <w:p>
      <w:pPr>
        <w:ind w:left="1600" w:hanging="312"/>
        <w:spacing w:after="0"/>
        <w:tabs>
          <w:tab w:leader="none" w:pos="1600" w:val="left"/>
        </w:tabs>
        <w:numPr>
          <w:ilvl w:val="1"/>
          <w:numId w:val="4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not aware of material non-public information about the Company or its securities, and</w:t>
      </w:r>
    </w:p>
    <w:p>
      <w:pPr>
        <w:spacing w:after="0" w:line="263" w:lineRule="exact"/>
        <w:rPr>
          <w:rFonts w:ascii="Courier New" w:cs="Courier New" w:eastAsia="Courier New" w:hAnsi="Courier New"/>
          <w:sz w:val="18"/>
          <w:szCs w:val="18"/>
          <w:color w:val="auto"/>
        </w:rPr>
      </w:pPr>
    </w:p>
    <w:p>
      <w:pPr>
        <w:ind w:left="1600" w:hanging="313"/>
        <w:spacing w:after="0"/>
        <w:tabs>
          <w:tab w:leader="none" w:pos="1600" w:val="left"/>
        </w:tabs>
        <w:numPr>
          <w:ilvl w:val="1"/>
          <w:numId w:val="4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adopting the Rule 10b5-1 Plan in good faith and not as part of a plan or scheme to evade the prohibitions of Rule 10b-5.</w:t>
      </w:r>
    </w:p>
    <w:p>
      <w:pPr>
        <w:spacing w:after="0" w:line="250" w:lineRule="exact"/>
        <w:rPr>
          <w:rFonts w:ascii="Courier New" w:cs="Courier New" w:eastAsia="Courier New" w:hAnsi="Courier New"/>
          <w:sz w:val="18"/>
          <w:szCs w:val="18"/>
          <w:color w:val="auto"/>
        </w:rPr>
      </w:pPr>
    </w:p>
    <w:p>
      <w:pPr>
        <w:jc w:val="both"/>
        <w:ind w:left="960" w:right="120" w:hanging="321"/>
        <w:spacing w:after="0" w:line="281" w:lineRule="auto"/>
        <w:tabs>
          <w:tab w:leader="none" w:pos="955"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If you are a member of the Board of Directors or Section 16 insider who adopts or modifies a Rule 10b5-1 Plan, you will not be able to rely on the Rule 10b5-1 affirmative defense unless the Rule 10b5-1 Plan provides that trading under the plan will not begin until the </w:t>
      </w:r>
      <w:r>
        <w:rPr>
          <w:rFonts w:ascii="Times New Roman" w:cs="Times New Roman" w:eastAsia="Times New Roman" w:hAnsi="Times New Roman"/>
          <w:sz w:val="18"/>
          <w:szCs w:val="18"/>
          <w:u w:val="single" w:color="auto"/>
          <w:color w:val="auto"/>
        </w:rPr>
        <w:t>later of</w:t>
      </w:r>
      <w:r>
        <w:rPr>
          <w:rFonts w:ascii="Times New Roman" w:cs="Times New Roman" w:eastAsia="Times New Roman" w:hAnsi="Times New Roman"/>
          <w:sz w:val="18"/>
          <w:szCs w:val="18"/>
          <w:color w:val="auto"/>
        </w:rPr>
        <w:t>:</w:t>
      </w:r>
    </w:p>
    <w:p>
      <w:pPr>
        <w:spacing w:after="0" w:line="190" w:lineRule="exact"/>
        <w:rPr>
          <w:rFonts w:ascii="Arial" w:cs="Arial" w:eastAsia="Arial" w:hAnsi="Arial"/>
          <w:sz w:val="18"/>
          <w:szCs w:val="18"/>
          <w:color w:val="auto"/>
        </w:rPr>
      </w:pPr>
    </w:p>
    <w:p>
      <w:pPr>
        <w:ind w:left="1600" w:hanging="312"/>
        <w:spacing w:after="0"/>
        <w:tabs>
          <w:tab w:leader="none" w:pos="1600" w:val="left"/>
        </w:tabs>
        <w:numPr>
          <w:ilvl w:val="1"/>
          <w:numId w:val="4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90 days after the adoption of the Rule 10b5-1 plan, and</w:t>
      </w:r>
    </w:p>
    <w:p>
      <w:pPr>
        <w:spacing w:after="0" w:line="277" w:lineRule="exact"/>
        <w:rPr>
          <w:rFonts w:ascii="Courier New" w:cs="Courier New" w:eastAsia="Courier New" w:hAnsi="Courier New"/>
          <w:sz w:val="18"/>
          <w:szCs w:val="18"/>
          <w:color w:val="auto"/>
        </w:rPr>
      </w:pPr>
    </w:p>
    <w:p>
      <w:pPr>
        <w:jc w:val="both"/>
        <w:ind w:left="1620" w:right="140" w:hanging="333"/>
        <w:spacing w:after="0" w:line="287" w:lineRule="auto"/>
        <w:tabs>
          <w:tab w:leader="none" w:pos="1617" w:val="left"/>
        </w:tabs>
        <w:numPr>
          <w:ilvl w:val="1"/>
          <w:numId w:val="4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two business days following the disclosure of the Company’s financial results in a Form 10-Q or Form 10-K for the fiscal quarter in which the plan was adopted (but in any event, the required cooling-off period is subject to a maximum of 120 days after adoption of the Rule 10b5-1 plan)</w:t>
      </w:r>
    </w:p>
    <w:p>
      <w:pPr>
        <w:spacing w:after="0" w:line="170" w:lineRule="exact"/>
        <w:rPr>
          <w:rFonts w:ascii="Courier New" w:cs="Courier New" w:eastAsia="Courier New" w:hAnsi="Courier New"/>
          <w:sz w:val="18"/>
          <w:szCs w:val="18"/>
          <w:color w:val="auto"/>
        </w:rPr>
      </w:pPr>
    </w:p>
    <w:p>
      <w:pPr>
        <w:jc w:val="both"/>
        <w:ind w:left="960" w:right="340" w:hanging="321"/>
        <w:spacing w:after="0" w:line="281" w:lineRule="auto"/>
        <w:tabs>
          <w:tab w:leader="none" w:pos="955"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If you are neither a member of the Board of Directors nor a Section 16 insider, you may not commence sales under a Rule 10b5-1 Plan until at least 30 days following the date of establishment of the plan. Any modification of a plan must not take effect for at least 30 days from the date of modification.</w:t>
      </w:r>
    </w:p>
    <w:p>
      <w:pPr>
        <w:spacing w:after="0" w:line="176" w:lineRule="exact"/>
        <w:rPr>
          <w:rFonts w:ascii="Arial" w:cs="Arial" w:eastAsia="Arial" w:hAnsi="Arial"/>
          <w:sz w:val="18"/>
          <w:szCs w:val="18"/>
          <w:color w:val="auto"/>
        </w:rPr>
      </w:pPr>
    </w:p>
    <w:p>
      <w:pPr>
        <w:ind w:left="960" w:hanging="322"/>
        <w:spacing w:after="0"/>
        <w:tabs>
          <w:tab w:leader="none" w:pos="96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If a Rule 10b5-1 Plan is terminated, you must wait at least 30 days before trading outside of the Rule 10b5-1 Plan.</w:t>
      </w:r>
    </w:p>
    <w:p>
      <w:pPr>
        <w:spacing w:after="0" w:line="251" w:lineRule="exact"/>
        <w:rPr>
          <w:rFonts w:ascii="Arial" w:cs="Arial" w:eastAsia="Arial" w:hAnsi="Arial"/>
          <w:sz w:val="18"/>
          <w:szCs w:val="18"/>
          <w:color w:val="auto"/>
        </w:rPr>
      </w:pPr>
    </w:p>
    <w:p>
      <w:pPr>
        <w:ind w:left="960" w:right="40" w:hanging="322"/>
        <w:spacing w:after="0" w:line="296" w:lineRule="auto"/>
        <w:tabs>
          <w:tab w:leader="none" w:pos="955"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If a Rule 10b5-1 Plan is terminated, you must wait until the commencement of the next Trading Window before a new Rule 10b5-1 Plan may be adopted, and the applicable period of time before any trades may take place under the new plan has expired.</w:t>
      </w:r>
    </w:p>
    <w:p>
      <w:pPr>
        <w:spacing w:after="0" w:line="1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Each Board member and other Section 16 insider understands that the approval or adoption of a Rule 10b5-1 Plan in no way reduces or eliminates such person’s obligations under Section 16 of the Securities Exchange Act of 1934, as amended, or Rule 144 of the Securities Act of 1933, as amended, including such person’s disclosure and short-swing trading liabilities thereunder. If any questions arise, such person should consult with their own counsel in implementing a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660" w:top="1440"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4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b w:val="1"/>
          <w:bCs w:val="1"/>
          <w:u w:val="single" w:color="auto"/>
          <w:color w:val="auto"/>
        </w:rPr>
        <w:t>Subsidiaries of The Simply Good Foods Company</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6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Subsidiary</w:t>
            </w:r>
          </w:p>
        </w:tc>
        <w:tc>
          <w:tcPr>
            <w:tcW w:w="4580" w:type="dxa"/>
            <w:vAlign w:val="bottom"/>
          </w:tcPr>
          <w:p>
            <w:pPr>
              <w:jc w:val="center"/>
              <w:ind w:right="772"/>
              <w:spacing w:after="0"/>
              <w:rPr>
                <w:sz w:val="20"/>
                <w:szCs w:val="20"/>
                <w:color w:val="auto"/>
              </w:rPr>
            </w:pPr>
            <w:r>
              <w:rPr>
                <w:rFonts w:ascii="Times New Roman" w:cs="Times New Roman" w:eastAsia="Times New Roman" w:hAnsi="Times New Roman"/>
                <w:sz w:val="22"/>
                <w:szCs w:val="22"/>
                <w:b w:val="1"/>
                <w:bCs w:val="1"/>
                <w:color w:val="auto"/>
                <w:w w:val="97"/>
              </w:rPr>
              <w:t>Jurisdiction</w:t>
            </w:r>
          </w:p>
        </w:tc>
      </w:tr>
      <w:tr>
        <w:trPr>
          <w:trHeight w:val="27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Atkins Intermediate Holdings, LLC</w:t>
            </w:r>
          </w:p>
        </w:tc>
        <w:tc>
          <w:tcPr>
            <w:tcW w:w="4580" w:type="dxa"/>
            <w:vAlign w:val="bottom"/>
            <w:shd w:val="clear" w:color="auto" w:fill="CCEEFF"/>
          </w:tcPr>
          <w:p>
            <w:pPr>
              <w:jc w:val="center"/>
              <w:ind w:right="772"/>
              <w:spacing w:after="0"/>
              <w:rPr>
                <w:sz w:val="20"/>
                <w:szCs w:val="20"/>
                <w:color w:val="auto"/>
              </w:rPr>
            </w:pPr>
            <w:r>
              <w:rPr>
                <w:rFonts w:ascii="Times New Roman" w:cs="Times New Roman" w:eastAsia="Times New Roman" w:hAnsi="Times New Roman"/>
                <w:sz w:val="22"/>
                <w:szCs w:val="22"/>
                <w:color w:val="auto"/>
                <w:w w:val="97"/>
              </w:rPr>
              <w:t>Delaware</w:t>
            </w:r>
          </w:p>
        </w:tc>
      </w:tr>
      <w:tr>
        <w:trPr>
          <w:trHeight w:val="270"/>
        </w:trPr>
        <w:tc>
          <w:tcPr>
            <w:tcW w:w="4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Conyers Park Acquisition Corp., Inc.</w:t>
            </w:r>
          </w:p>
        </w:tc>
        <w:tc>
          <w:tcPr>
            <w:tcW w:w="4580" w:type="dxa"/>
            <w:vAlign w:val="bottom"/>
          </w:tcPr>
          <w:p>
            <w:pPr>
              <w:jc w:val="center"/>
              <w:ind w:right="772"/>
              <w:spacing w:after="0"/>
              <w:rPr>
                <w:sz w:val="20"/>
                <w:szCs w:val="20"/>
                <w:color w:val="auto"/>
              </w:rPr>
            </w:pPr>
            <w:r>
              <w:rPr>
                <w:rFonts w:ascii="Times New Roman" w:cs="Times New Roman" w:eastAsia="Times New Roman" w:hAnsi="Times New Roman"/>
                <w:sz w:val="22"/>
                <w:szCs w:val="22"/>
                <w:color w:val="auto"/>
                <w:w w:val="97"/>
              </w:rPr>
              <w:t>Delaware</w:t>
            </w: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NCP-ATK Holdings, Inc.</w:t>
            </w:r>
          </w:p>
        </w:tc>
        <w:tc>
          <w:tcPr>
            <w:tcW w:w="4580" w:type="dxa"/>
            <w:vAlign w:val="bottom"/>
            <w:shd w:val="clear" w:color="auto" w:fill="CCEEFF"/>
          </w:tcPr>
          <w:p>
            <w:pPr>
              <w:jc w:val="center"/>
              <w:ind w:right="772"/>
              <w:spacing w:after="0"/>
              <w:rPr>
                <w:sz w:val="20"/>
                <w:szCs w:val="20"/>
                <w:color w:val="auto"/>
              </w:rPr>
            </w:pPr>
            <w:r>
              <w:rPr>
                <w:rFonts w:ascii="Times New Roman" w:cs="Times New Roman" w:eastAsia="Times New Roman" w:hAnsi="Times New Roman"/>
                <w:sz w:val="22"/>
                <w:szCs w:val="22"/>
                <w:color w:val="auto"/>
                <w:w w:val="97"/>
              </w:rPr>
              <w:t>Delaware</w:t>
            </w:r>
          </w:p>
        </w:tc>
      </w:tr>
      <w:tr>
        <w:trPr>
          <w:trHeight w:val="270"/>
        </w:trPr>
        <w:tc>
          <w:tcPr>
            <w:tcW w:w="4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Atkins Nutritional Holdings, Inc.</w:t>
            </w:r>
          </w:p>
        </w:tc>
        <w:tc>
          <w:tcPr>
            <w:tcW w:w="4580" w:type="dxa"/>
            <w:vAlign w:val="bottom"/>
          </w:tcPr>
          <w:p>
            <w:pPr>
              <w:jc w:val="center"/>
              <w:ind w:right="772"/>
              <w:spacing w:after="0"/>
              <w:rPr>
                <w:sz w:val="20"/>
                <w:szCs w:val="20"/>
                <w:color w:val="auto"/>
              </w:rPr>
            </w:pPr>
            <w:r>
              <w:rPr>
                <w:rFonts w:ascii="Times New Roman" w:cs="Times New Roman" w:eastAsia="Times New Roman" w:hAnsi="Times New Roman"/>
                <w:sz w:val="22"/>
                <w:szCs w:val="22"/>
                <w:color w:val="auto"/>
                <w:w w:val="97"/>
              </w:rPr>
              <w:t>Delaware</w:t>
            </w: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Atkins Nutritional Holdings II, Inc.</w:t>
            </w:r>
          </w:p>
        </w:tc>
        <w:tc>
          <w:tcPr>
            <w:tcW w:w="4580" w:type="dxa"/>
            <w:vAlign w:val="bottom"/>
            <w:shd w:val="clear" w:color="auto" w:fill="CCEEFF"/>
          </w:tcPr>
          <w:p>
            <w:pPr>
              <w:jc w:val="center"/>
              <w:ind w:right="772"/>
              <w:spacing w:after="0"/>
              <w:rPr>
                <w:sz w:val="20"/>
                <w:szCs w:val="20"/>
                <w:color w:val="auto"/>
              </w:rPr>
            </w:pPr>
            <w:r>
              <w:rPr>
                <w:rFonts w:ascii="Times New Roman" w:cs="Times New Roman" w:eastAsia="Times New Roman" w:hAnsi="Times New Roman"/>
                <w:sz w:val="22"/>
                <w:szCs w:val="22"/>
                <w:color w:val="auto"/>
                <w:w w:val="97"/>
              </w:rPr>
              <w:t>Delaware</w:t>
            </w:r>
          </w:p>
        </w:tc>
      </w:tr>
      <w:tr>
        <w:trPr>
          <w:trHeight w:val="270"/>
        </w:trPr>
        <w:tc>
          <w:tcPr>
            <w:tcW w:w="4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Simply Good Foods USA, Inc.</w:t>
            </w:r>
          </w:p>
        </w:tc>
        <w:tc>
          <w:tcPr>
            <w:tcW w:w="4580" w:type="dxa"/>
            <w:vAlign w:val="bottom"/>
          </w:tcPr>
          <w:p>
            <w:pPr>
              <w:jc w:val="center"/>
              <w:ind w:right="752"/>
              <w:spacing w:after="0"/>
              <w:rPr>
                <w:sz w:val="20"/>
                <w:szCs w:val="20"/>
                <w:color w:val="auto"/>
              </w:rPr>
            </w:pPr>
            <w:r>
              <w:rPr>
                <w:rFonts w:ascii="Times New Roman" w:cs="Times New Roman" w:eastAsia="Times New Roman" w:hAnsi="Times New Roman"/>
                <w:sz w:val="22"/>
                <w:szCs w:val="22"/>
                <w:color w:val="auto"/>
                <w:w w:val="95"/>
              </w:rPr>
              <w:t>New York</w:t>
            </w: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Simply Good Foods Australia PTY LTD</w:t>
            </w:r>
          </w:p>
        </w:tc>
        <w:tc>
          <w:tcPr>
            <w:tcW w:w="4580" w:type="dxa"/>
            <w:vAlign w:val="bottom"/>
            <w:shd w:val="clear" w:color="auto" w:fill="CCEEFF"/>
          </w:tcPr>
          <w:p>
            <w:pPr>
              <w:jc w:val="center"/>
              <w:ind w:right="752"/>
              <w:spacing w:after="0"/>
              <w:rPr>
                <w:sz w:val="20"/>
                <w:szCs w:val="20"/>
                <w:color w:val="auto"/>
              </w:rPr>
            </w:pPr>
            <w:r>
              <w:rPr>
                <w:rFonts w:ascii="Times New Roman" w:cs="Times New Roman" w:eastAsia="Times New Roman" w:hAnsi="Times New Roman"/>
                <w:sz w:val="22"/>
                <w:szCs w:val="22"/>
                <w:color w:val="auto"/>
                <w:w w:val="99"/>
              </w:rPr>
              <w:t>Australia</w:t>
            </w:r>
          </w:p>
        </w:tc>
      </w:tr>
      <w:tr>
        <w:trPr>
          <w:trHeight w:val="270"/>
        </w:trPr>
        <w:tc>
          <w:tcPr>
            <w:tcW w:w="4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Simply Good Foods NZ Limited</w:t>
            </w:r>
          </w:p>
        </w:tc>
        <w:tc>
          <w:tcPr>
            <w:tcW w:w="4580" w:type="dxa"/>
            <w:vAlign w:val="bottom"/>
          </w:tcPr>
          <w:p>
            <w:pPr>
              <w:jc w:val="center"/>
              <w:ind w:right="752"/>
              <w:spacing w:after="0"/>
              <w:rPr>
                <w:sz w:val="20"/>
                <w:szCs w:val="20"/>
                <w:color w:val="auto"/>
              </w:rPr>
            </w:pPr>
            <w:r>
              <w:rPr>
                <w:rFonts w:ascii="Times New Roman" w:cs="Times New Roman" w:eastAsia="Times New Roman" w:hAnsi="Times New Roman"/>
                <w:sz w:val="22"/>
                <w:szCs w:val="22"/>
                <w:color w:val="auto"/>
                <w:w w:val="98"/>
              </w:rPr>
              <w:t>New Zealand</w:t>
            </w: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VMG Quest Blocker, Inc.</w:t>
            </w:r>
          </w:p>
        </w:tc>
        <w:tc>
          <w:tcPr>
            <w:tcW w:w="4580" w:type="dxa"/>
            <w:vAlign w:val="bottom"/>
            <w:shd w:val="clear" w:color="auto" w:fill="CCEEFF"/>
          </w:tcPr>
          <w:p>
            <w:pPr>
              <w:jc w:val="center"/>
              <w:ind w:right="772"/>
              <w:spacing w:after="0"/>
              <w:rPr>
                <w:sz w:val="20"/>
                <w:szCs w:val="20"/>
                <w:color w:val="auto"/>
              </w:rPr>
            </w:pPr>
            <w:r>
              <w:rPr>
                <w:rFonts w:ascii="Times New Roman" w:cs="Times New Roman" w:eastAsia="Times New Roman" w:hAnsi="Times New Roman"/>
                <w:sz w:val="22"/>
                <w:szCs w:val="22"/>
                <w:color w:val="auto"/>
                <w:w w:val="97"/>
              </w:rPr>
              <w:t>Delaware</w:t>
            </w:r>
          </w:p>
        </w:tc>
      </w:tr>
      <w:tr>
        <w:trPr>
          <w:trHeight w:val="270"/>
        </w:trPr>
        <w:tc>
          <w:tcPr>
            <w:tcW w:w="4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Voyage Holdings, LLC</w:t>
            </w:r>
          </w:p>
        </w:tc>
        <w:tc>
          <w:tcPr>
            <w:tcW w:w="4580" w:type="dxa"/>
            <w:vAlign w:val="bottom"/>
          </w:tcPr>
          <w:p>
            <w:pPr>
              <w:jc w:val="center"/>
              <w:ind w:right="772"/>
              <w:spacing w:after="0"/>
              <w:rPr>
                <w:sz w:val="20"/>
                <w:szCs w:val="20"/>
                <w:color w:val="auto"/>
              </w:rPr>
            </w:pPr>
            <w:r>
              <w:rPr>
                <w:rFonts w:ascii="Times New Roman" w:cs="Times New Roman" w:eastAsia="Times New Roman" w:hAnsi="Times New Roman"/>
                <w:sz w:val="22"/>
                <w:szCs w:val="22"/>
                <w:color w:val="auto"/>
                <w:w w:val="97"/>
              </w:rPr>
              <w:t>Delaware</w:t>
            </w: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Quest Nutrition, LLC</w:t>
            </w:r>
          </w:p>
        </w:tc>
        <w:tc>
          <w:tcPr>
            <w:tcW w:w="4580" w:type="dxa"/>
            <w:vAlign w:val="bottom"/>
            <w:shd w:val="clear" w:color="auto" w:fill="CCEEFF"/>
          </w:tcPr>
          <w:p>
            <w:pPr>
              <w:jc w:val="center"/>
              <w:ind w:right="772"/>
              <w:spacing w:after="0"/>
              <w:rPr>
                <w:sz w:val="20"/>
                <w:szCs w:val="20"/>
                <w:color w:val="auto"/>
              </w:rPr>
            </w:pPr>
            <w:r>
              <w:rPr>
                <w:rFonts w:ascii="Times New Roman" w:cs="Times New Roman" w:eastAsia="Times New Roman" w:hAnsi="Times New Roman"/>
                <w:sz w:val="22"/>
                <w:szCs w:val="22"/>
                <w:color w:val="auto"/>
                <w:w w:val="97"/>
              </w:rPr>
              <w:t>Delaware</w:t>
            </w:r>
          </w:p>
        </w:tc>
      </w:tr>
      <w:tr>
        <w:trPr>
          <w:trHeight w:val="270"/>
        </w:trPr>
        <w:tc>
          <w:tcPr>
            <w:tcW w:w="4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Only What You Need, Inc.</w:t>
            </w:r>
          </w:p>
        </w:tc>
        <w:tc>
          <w:tcPr>
            <w:tcW w:w="4580" w:type="dxa"/>
            <w:vAlign w:val="bottom"/>
          </w:tcPr>
          <w:p>
            <w:pPr>
              <w:jc w:val="center"/>
              <w:ind w:right="772"/>
              <w:spacing w:after="0"/>
              <w:rPr>
                <w:sz w:val="20"/>
                <w:szCs w:val="20"/>
                <w:color w:val="auto"/>
              </w:rPr>
            </w:pPr>
            <w:r>
              <w:rPr>
                <w:rFonts w:ascii="Times New Roman" w:cs="Times New Roman" w:eastAsia="Times New Roman" w:hAnsi="Times New Roman"/>
                <w:sz w:val="22"/>
                <w:szCs w:val="22"/>
                <w:color w:val="auto"/>
                <w:w w:val="97"/>
              </w:rPr>
              <w:t>Delaware</w:t>
            </w: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SMPL Canada, Inc.</w:t>
            </w:r>
          </w:p>
        </w:tc>
        <w:tc>
          <w:tcPr>
            <w:tcW w:w="4580" w:type="dxa"/>
            <w:vAlign w:val="bottom"/>
            <w:shd w:val="clear" w:color="auto" w:fill="CCEEFF"/>
          </w:tcPr>
          <w:p>
            <w:pPr>
              <w:jc w:val="center"/>
              <w:ind w:right="772"/>
              <w:spacing w:after="0"/>
              <w:rPr>
                <w:sz w:val="20"/>
                <w:szCs w:val="20"/>
                <w:color w:val="auto"/>
              </w:rPr>
            </w:pPr>
            <w:r>
              <w:rPr>
                <w:rFonts w:ascii="Times New Roman" w:cs="Times New Roman" w:eastAsia="Times New Roman" w:hAnsi="Times New Roman"/>
                <w:sz w:val="22"/>
                <w:szCs w:val="22"/>
                <w:color w:val="auto"/>
                <w:w w:val="98"/>
              </w:rPr>
              <w:t>Ontario, Canada</w:t>
            </w:r>
          </w:p>
        </w:tc>
      </w:tr>
    </w:tbl>
    <w:p>
      <w:pPr>
        <w:sectPr>
          <w:pgSz w:w="11900" w:h="16838" w:orient="portrait"/>
          <w:cols w:equalWidth="0" w:num="1">
            <w:col w:w="10240"/>
          </w:cols>
          <w:pgMar w:left="1320" w:top="891"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13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333-293244 and 333-220776 on Form S-8 and Nos. 333-228696 and 333-234004 on Form S-3 of our reports dated October 27, 2026, relating to the financial statements of The Simply Good Foods Company and subsidiaries and the effectiveness of The Simply Good Foods Company and subsidiaries’ internal control over financial reporting appearing in this Annual Report on Form 10-K of The Simply Good Foods Company for the year ended August 29,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2026</w:t>
      </w:r>
    </w:p>
    <w:p>
      <w:pPr>
        <w:sectPr>
          <w:pgSz w:w="11900" w:h="16838" w:orient="portrait"/>
          <w:cols w:equalWidth="0" w:num="1">
            <w:col w:w="11240"/>
          </w:cols>
          <w:pgMar w:left="320" w:top="891"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E. Scalzo, certify that:</w:t>
      </w:r>
    </w:p>
    <w:p>
      <w:pPr>
        <w:spacing w:after="0" w:line="225" w:lineRule="exact"/>
        <w:rPr>
          <w:sz w:val="20"/>
          <w:szCs w:val="20"/>
          <w:color w:val="auto"/>
        </w:rPr>
      </w:pPr>
    </w:p>
    <w:p>
      <w:pPr>
        <w:ind w:left="420" w:hanging="232"/>
        <w:spacing w:after="0"/>
        <w:tabs>
          <w:tab w:leader="none" w:pos="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27, 2026  By:</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0" w:type="dxa"/>
            <w:vAlign w:val="bottom"/>
          </w:tcPr>
          <w:p>
            <w:pPr>
              <w:spacing w:after="0"/>
              <w:rPr>
                <w:sz w:val="1"/>
                <w:szCs w:val="1"/>
                <w:color w:val="auto"/>
              </w:rPr>
            </w:pPr>
          </w:p>
        </w:tc>
      </w:tr>
      <w:tr>
        <w:trPr>
          <w:trHeight w:val="47"/>
        </w:trPr>
        <w:tc>
          <w:tcPr>
            <w:tcW w:w="2320" w:type="dxa"/>
            <w:vAlign w:val="bottom"/>
            <w:vMerge w:val="restart"/>
          </w:tcPr>
          <w:p>
            <w:pPr>
              <w:ind w:left="166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32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0" w:type="dxa"/>
            <w:vAlign w:val="bottom"/>
          </w:tcPr>
          <w:p>
            <w:pPr>
              <w:spacing w:after="0"/>
              <w:rPr>
                <w:sz w:val="1"/>
                <w:szCs w:val="1"/>
                <w:color w:val="auto"/>
              </w:rPr>
            </w:pPr>
          </w:p>
        </w:tc>
      </w:tr>
      <w:tr>
        <w:trPr>
          <w:trHeight w:val="256"/>
        </w:trPr>
        <w:tc>
          <w:tcPr>
            <w:tcW w:w="232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J. Bealer, certify that:</w:t>
      </w:r>
    </w:p>
    <w:p>
      <w:pPr>
        <w:spacing w:after="0" w:line="225" w:lineRule="exact"/>
        <w:rPr>
          <w:sz w:val="20"/>
          <w:szCs w:val="20"/>
          <w:color w:val="auto"/>
        </w:rPr>
      </w:pPr>
    </w:p>
    <w:p>
      <w:pPr>
        <w:ind w:left="420" w:hanging="232"/>
        <w:spacing w:after="0"/>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27, 2026  By:</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Christopher J. Bealer</w:t>
            </w:r>
          </w:p>
        </w:tc>
        <w:tc>
          <w:tcPr>
            <w:tcW w:w="0" w:type="dxa"/>
            <w:vAlign w:val="bottom"/>
          </w:tcPr>
          <w:p>
            <w:pPr>
              <w:spacing w:after="0"/>
              <w:rPr>
                <w:sz w:val="1"/>
                <w:szCs w:val="1"/>
                <w:color w:val="auto"/>
              </w:rPr>
            </w:pPr>
          </w:p>
        </w:tc>
      </w:tr>
      <w:tr>
        <w:trPr>
          <w:trHeight w:val="59"/>
        </w:trPr>
        <w:tc>
          <w:tcPr>
            <w:tcW w:w="2320" w:type="dxa"/>
            <w:vAlign w:val="bottom"/>
          </w:tcPr>
          <w:p>
            <w:pPr>
              <w:spacing w:after="0"/>
              <w:rPr>
                <w:sz w:val="4"/>
                <w:szCs w:val="4"/>
                <w:color w:val="auto"/>
              </w:rPr>
            </w:pPr>
          </w:p>
        </w:tc>
        <w:tc>
          <w:tcPr>
            <w:tcW w:w="34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32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Christopher J. Bealer</w:t>
            </w:r>
          </w:p>
        </w:tc>
        <w:tc>
          <w:tcPr>
            <w:tcW w:w="0" w:type="dxa"/>
            <w:vAlign w:val="bottom"/>
          </w:tcPr>
          <w:p>
            <w:pPr>
              <w:spacing w:after="0"/>
              <w:rPr>
                <w:sz w:val="1"/>
                <w:szCs w:val="1"/>
                <w:color w:val="auto"/>
              </w:rPr>
            </w:pPr>
          </w:p>
        </w:tc>
      </w:tr>
      <w:tr>
        <w:trPr>
          <w:trHeight w:val="54"/>
        </w:trPr>
        <w:tc>
          <w:tcPr>
            <w:tcW w:w="232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The Simply Good Foods Company (the “Company”) on Form 10-K for the fiscal year ended August 29, 2026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203" w:lineRule="exact"/>
        <w:rPr>
          <w:sz w:val="20"/>
          <w:szCs w:val="20"/>
          <w:color w:val="auto"/>
        </w:rPr>
      </w:pPr>
    </w:p>
    <w:p>
      <w:pPr>
        <w:ind w:left="360" w:hanging="172"/>
        <w:spacing w:after="0"/>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firstLine="259"/>
        <w:spacing w:after="0" w:line="282" w:lineRule="auto"/>
        <w:tabs>
          <w:tab w:leader="none" w:pos="4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covered by the Report.</w:t>
      </w:r>
    </w:p>
    <w:p>
      <w:pPr>
        <w:spacing w:after="0" w:line="189" w:lineRule="exact"/>
        <w:rPr>
          <w:sz w:val="20"/>
          <w:szCs w:val="20"/>
          <w:color w:val="auto"/>
        </w:rPr>
      </w:pPr>
    </w:p>
    <w:p>
      <w:pPr>
        <w:ind w:firstLine="178"/>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27, 2026</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5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0" w:type="dxa"/>
            <w:vAlign w:val="bottom"/>
          </w:tcPr>
          <w:p>
            <w:pPr>
              <w:spacing w:after="0"/>
              <w:rPr>
                <w:sz w:val="1"/>
                <w:szCs w:val="1"/>
                <w:color w:val="auto"/>
              </w:rPr>
            </w:pPr>
          </w:p>
        </w:tc>
      </w:tr>
      <w:tr>
        <w:trPr>
          <w:trHeight w:val="256"/>
        </w:trPr>
        <w:tc>
          <w:tcPr>
            <w:tcW w:w="1580" w:type="dxa"/>
            <w:vAlign w:val="bottom"/>
          </w:tcPr>
          <w:p>
            <w:pPr>
              <w:spacing w:after="0"/>
              <w:rPr>
                <w:sz w:val="22"/>
                <w:szCs w:val="22"/>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27, 2026</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Christopher J. Bealer</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Christopher J. Bealer</w:t>
            </w: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lowerRoman"/>
      <w:start w:val="1"/>
    </w:lvl>
  </w:abstractNum>
  <w:abstractNum w:abstractNumId="27">
    <w:nsid w:val="7724C67E"/>
    <w:multiLevelType w:val="hybridMultilevel"/>
    <w:lvl w:ilvl="0">
      <w:lvlJc w:val="left"/>
      <w:lvlText w:val="•"/>
      <w:numFmt w:val="bullet"/>
      <w:start w:val="1"/>
    </w:lvl>
    <w:lvl w:ilvl="1">
      <w:lvlJc w:val="left"/>
      <w:lvlText w:val="◦"/>
      <w:numFmt w:val="bullet"/>
      <w:start w:val="1"/>
    </w:lvl>
  </w:abstractNum>
  <w:abstractNum w:abstractNumId="28">
    <w:nsid w:val="5C482A97"/>
    <w:multiLevelType w:val="hybridMultilevel"/>
    <w:lvl w:ilvl="0">
      <w:lvlJc w:val="left"/>
      <w:lvlText w:val="•"/>
      <w:numFmt w:val="bullet"/>
      <w:start w:val="1"/>
    </w:lvl>
    <w:lvl w:ilvl="1">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lowerRoman"/>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
      <w:numFmt w:val="bullet"/>
      <w:start w:val="1"/>
    </w:lvl>
    <w:lvl w:ilvl="1">
      <w:lvlJc w:val="left"/>
      <w:lvlText w:val="%2"/>
      <w:numFmt w:val="decimal"/>
      <w:start w:val="104"/>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lvl w:ilvl="1">
      <w:lvlJc w:val="left"/>
      <w:lvlText w:val="o"/>
      <w:numFmt w:val="bullet"/>
      <w:start w:val="1"/>
    </w:lvl>
  </w:abstractNum>
  <w:abstractNum w:abstractNumId="42">
    <w:nsid w:val="57E4CCAF"/>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43">
    <w:nsid w:val="7A6D8D3C"/>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44">
    <w:nsid w:val="4B588F54"/>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45">
    <w:nsid w:val="542289EC"/>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46">
    <w:nsid w:val="6DE91B18"/>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1" Type="http://schemas.openxmlformats.org/officeDocument/2006/relationships/image" Target="media/image93.png"/><Relationship Id="rId121"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jpeg"/><Relationship Id="rId100" Type="http://schemas.openxmlformats.org/officeDocument/2006/relationships/hyperlink" Target="https://www.sec.gov/Archives/edgar/data/1702744/000110465924054943/tm2413019d1_ex2-1.htm" TargetMode="External"/><Relationship Id="rId102" Type="http://schemas.openxmlformats.org/officeDocument/2006/relationships/hyperlink" Target="https://www.sec.gov/Archives/edgar/data/1702744/000110465924006301/tm243731d2_ex3-1.htm" TargetMode="External"/><Relationship Id="rId103" Type="http://schemas.openxmlformats.org/officeDocument/2006/relationships/hyperlink" Target="https://www.sec.gov/Archives/edgar/data/1702744/000170274423000063/exhibit31-8xkq4_2023bylaws.htm" TargetMode="External"/><Relationship Id="rId104" Type="http://schemas.openxmlformats.org/officeDocument/2006/relationships/hyperlink" Target="https://www.sec.gov/Archives/edgar/data/1672985/000121390017006350/fs42017ex4i_simplygood.htm" TargetMode="External"/><Relationship Id="rId105" Type="http://schemas.openxmlformats.org/officeDocument/2006/relationships/hyperlink" Target="https://www.sec.gov/Archives/edgar/data/1702744/000170274424000089/exhibit42-10k2024.htm" TargetMode="External"/><Relationship Id="rId106" Type="http://schemas.openxmlformats.org/officeDocument/2006/relationships/hyperlink" Target="https://www.sec.gov/Archives/edgar/data/1672985/000121390017006350/fs42017ex10iii_simplygood.htm" TargetMode="External"/><Relationship Id="rId107" Type="http://schemas.openxmlformats.org/officeDocument/2006/relationships/hyperlink" Target="https://www.sec.gov/Archives/edgar/data/1702744/000110465924050021/tm2412311d1_ex10-2.htm" TargetMode="External"/><Relationship Id="rId108" Type="http://schemas.openxmlformats.org/officeDocument/2006/relationships/hyperlink" Target="https://www.sec.gov/Archives/edgar/data/1702744/000110465926011163/tm265046d1_ex99-1.htm" TargetMode="External"/><Relationship Id="rId109" Type="http://schemas.openxmlformats.org/officeDocument/2006/relationships/hyperlink" Target="https://www.sec.gov/Archives/edgar/data/1672985/000121390017006350/fs42017ex10viii_simplygood.htm" TargetMode="External"/><Relationship Id="rId110" Type="http://schemas.openxmlformats.org/officeDocument/2006/relationships/hyperlink" Target="https://www.sec.gov/Archives/edgar/data/1702744/000110465925053287/tm2516088d1_ex10-1.htm" TargetMode="External"/><Relationship Id="rId111" Type="http://schemas.openxmlformats.org/officeDocument/2006/relationships/hyperlink" Target="https://www.sec.gov/Archives/edgar/data/1702744/000110465926005379/tm263640d1_ex10-1.htm" TargetMode="External"/><Relationship Id="rId112" Type="http://schemas.openxmlformats.org/officeDocument/2006/relationships/hyperlink" Target="https://www.sec.gov/Archives/edgar/data/1702744/000110465926005379/tm263640d1_ex10-2.htm" TargetMode="External"/><Relationship Id="rId113" Type="http://schemas.openxmlformats.org/officeDocument/2006/relationships/hyperlink" Target="https://www.sec.gov/Archives/edgar/data/1702744/000110465926005379/tm263640d1_ex10-3.htm" TargetMode="External"/><Relationship Id="rId114" Type="http://schemas.openxmlformats.org/officeDocument/2006/relationships/hyperlink" Target="https://www.sec.gov/Archives/edgar/data/1702744/000121390017007546/f8k070717ex10i_simplygood.htm" TargetMode="External"/><Relationship Id="rId115" Type="http://schemas.openxmlformats.org/officeDocument/2006/relationships/hyperlink" Target="https://www.sec.gov/Archives/edgar/data/1702744/000121390018003172/f8k032018ex10-1_simplygood.htm" TargetMode="External"/><Relationship Id="rId116" Type="http://schemas.openxmlformats.org/officeDocument/2006/relationships/hyperlink" Target="https://www.sec.gov/Archives/edgar/data/1702744/000110465919060856/a19-22146_1ex10d1.htm" TargetMode="External"/><Relationship Id="rId117" Type="http://schemas.openxmlformats.org/officeDocument/2006/relationships/hyperlink" Target="https://www.sec.gov/Archives/edgar/data/1702744/000110465921152628/tm2136016d1_ex10-1.htm" TargetMode="External"/><Relationship Id="rId118" Type="http://schemas.openxmlformats.org/officeDocument/2006/relationships/hyperlink" Target="https://www.sec.gov/Archives/edgar/data/1702744/000110465922007427/tm224221d1_ex10-1.htm" TargetMode="External"/><Relationship Id="rId119" Type="http://schemas.openxmlformats.org/officeDocument/2006/relationships/hyperlink" Target="https://www.sec.gov/Archives/edgar/data/1702744/000110465923051350/tm2313759d1_ex10-1.htm" TargetMode="External"/><Relationship Id="rId120" Type="http://schemas.openxmlformats.org/officeDocument/2006/relationships/hyperlink" Target="https://www.sec.gov/Archives/edgar/data/1702744/000110465924072273/tm2417264d1_ex2-1.htm" TargetMode="External"/><Relationship Id="rId122" Type="http://schemas.openxmlformats.org/officeDocument/2006/relationships/hyperlink" Target="https://www.sec.gov/Archives/edgar/data/1702744/000110465925008352/tm254954d1_ex10-1.htm" TargetMode="External"/><Relationship Id="rId123" Type="http://schemas.openxmlformats.org/officeDocument/2006/relationships/hyperlink" Target="https://www.sec.gov/Archives/edgar/data/1702744/000110465925114309/tm2531697d1_ex10-1.htm" TargetMode="External"/><Relationship Id="rId124" Type="http://schemas.openxmlformats.org/officeDocument/2006/relationships/hyperlink" Target="https://www.sec.gov/Archives/edgar/data/1702744/000121390017007546/f8k070717ex10iii_simplygood.htm" TargetMode="External"/><Relationship Id="rId125" Type="http://schemas.openxmlformats.org/officeDocument/2006/relationships/hyperlink" Target="https://www.sec.gov/Archives/edgar/data/1702744/000170274424000089/exhibit971-10k2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2026-10-27T07:39:22Z</dcterms:created>
  <dcterms:modified xsi:type="dcterms:W3CDTF">2026-10-27T07:39:22Z</dcterms:modified>
</cp:coreProperties>
</file>