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ind w:left="0" w:right="0" w:firstLine="720"/>
        <w:jc w:val="both"/>
        <w:rPr>
          <w:color w:val="000000"/>
        </w:rPr>
      </w:pPr>
      <w:r>
        <w:rPr>
          <w:color w:val="000000"/>
        </w:rPr>
        <w:t xml:space="preserve">                 </w:t>
      </w:r>
      <w:r>
        <w:rPr>
          <w:rFonts w:ascii="Garamond;serif" w:hAnsi="Garamond;serif"/>
          <w:b/>
          <w:color w:val="000000"/>
          <w:sz w:val="32"/>
        </w:rPr>
        <w:t>UNITED STATES</w:t>
      </w:r>
    </w:p>
    <w:p>
      <w:pPr>
        <w:pStyle w:val="TextBody"/>
        <w:bidi w:val="0"/>
        <w:spacing w:lineRule="auto" w:line="288" w:before="0" w:after="0"/>
        <w:jc w:val="center"/>
        <w:rPr>
          <w:rFonts w:ascii="Garamond;serif" w:hAnsi="Garamond;serif"/>
          <w:b/>
          <w:color w:val="000000"/>
          <w:sz w:val="32"/>
        </w:rPr>
      </w:pPr>
      <w:r>
        <w:rPr>
          <w:rFonts w:ascii="Garamond;serif" w:hAnsi="Garamond;serif"/>
          <w:b/>
          <w:color w:val="000000"/>
          <w:sz w:val="32"/>
        </w:rPr>
        <w:t>SECURITIES AND EXCHANGE COMMISSION</w:t>
      </w:r>
    </w:p>
    <w:p>
      <w:pPr>
        <w:pStyle w:val="TextBody"/>
        <w:bidi w:val="0"/>
        <w:spacing w:lineRule="auto" w:line="288" w:before="120" w:after="283"/>
        <w:jc w:val="center"/>
        <w:rPr>
          <w:rFonts w:ascii="Garamond;serif" w:hAnsi="Garamond;serif"/>
          <w:b/>
          <w:color w:val="000000"/>
          <w:sz w:val="24"/>
        </w:rPr>
      </w:pPr>
      <w:r>
        <w:rPr>
          <w:rFonts w:ascii="Garamond;serif" w:hAnsi="Garamond;serif"/>
          <w:b/>
          <w:color w:val="000000"/>
          <w:sz w:val="24"/>
        </w:rPr>
        <w:t>Washington, D.C. 20549</w:t>
      </w:r>
    </w:p>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_______________________________________________________</w:t>
      </w:r>
    </w:p>
    <w:p>
      <w:pPr>
        <w:pStyle w:val="TextBody"/>
        <w:bidi w:val="0"/>
        <w:spacing w:lineRule="auto" w:line="288" w:before="120" w:after="283"/>
        <w:jc w:val="center"/>
        <w:rPr>
          <w:rFonts w:ascii="Garamond;serif" w:hAnsi="Garamond;serif"/>
          <w:b/>
          <w:color w:val="000000"/>
          <w:sz w:val="32"/>
        </w:rPr>
      </w:pPr>
      <w:r>
        <w:rPr>
          <w:rFonts w:ascii="Garamond;serif" w:hAnsi="Garamond;serif"/>
          <w:b/>
          <w:color w:val="000000"/>
          <w:sz w:val="32"/>
        </w:rPr>
        <w:t xml:space="preserve">FORM 10-Q </w:t>
      </w:r>
    </w:p>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362"/>
        <w:gridCol w:w="319"/>
        <w:gridCol w:w="320"/>
        <w:gridCol w:w="2695"/>
        <w:gridCol w:w="2695"/>
        <w:gridCol w:w="3814"/>
      </w:tblGrid>
      <w:tr>
        <w:trPr/>
        <w:tc>
          <w:tcPr>
            <w:tcW w:w="3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color w:val="000000"/>
                <w:sz w:val="16"/>
              </w:rPr>
            </w:pPr>
            <w:r>
              <w:rPr>
                <w:rFonts w:ascii="Garamond;serif" w:hAnsi="Garamond;serif"/>
                <w:b/>
                <w:color w:val="000000"/>
                <w:sz w:val="16"/>
              </w:rPr>
              <w:t>(Mark One)</w:t>
            </w:r>
          </w:p>
        </w:tc>
        <w:tc>
          <w:tcPr>
            <w:tcW w:w="9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color w:val="000000"/>
                <w:sz w:val="22"/>
              </w:rPr>
            </w:pPr>
            <w:r>
              <w:rPr>
                <w:rFonts w:ascii="Garamond;serif" w:hAnsi="Garamond;serif"/>
                <w:b/>
                <w:color w:val="000000"/>
                <w:sz w:val="22"/>
              </w:rPr>
              <w:t>QUARTERLY REPORT PURSUANT TO SECTION 13 OR 15(d) OF THE SECURITIES EXCHANGE ACT OF 1934</w:t>
            </w:r>
          </w:p>
        </w:tc>
      </w:tr>
    </w:tbl>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 xml:space="preserve">For the quarterly period ended May 30, 2026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color w:val="000000"/>
                <w:sz w:val="16"/>
              </w:rPr>
            </w:pPr>
            <w:r>
              <w:rPr>
                <w:rFonts w:ascii="Garamond;serif" w:hAnsi="Garamond;serif"/>
                <w:b/>
                <w:color w:val="000000"/>
                <w:sz w:val="16"/>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color w:val="000000"/>
                <w:sz w:val="22"/>
              </w:rPr>
            </w:pPr>
            <w:r>
              <w:rPr>
                <w:rFonts w:ascii="Garamond;serif" w:hAnsi="Garamond;serif"/>
                <w:b/>
                <w:color w:val="000000"/>
                <w:sz w:val="22"/>
              </w:rPr>
              <w:t>TRANSITION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color w:val="000000"/>
                <w:sz w:val="16"/>
              </w:rPr>
            </w:pPr>
            <w:r>
              <w:rPr>
                <w:rFonts w:ascii="Garamond;serif" w:hAnsi="Garamond;serif"/>
                <w:b/>
                <w:color w:val="000000"/>
                <w:sz w:val="16"/>
              </w:rPr>
              <w:t>For the transition period from ________ to ________</w:t>
            </w:r>
          </w:p>
        </w:tc>
      </w:tr>
    </w:tbl>
    <w:p>
      <w:pPr>
        <w:pStyle w:val="TextBody"/>
        <w:bidi w:val="0"/>
        <w:spacing w:before="0" w:after="0"/>
        <w:jc w:val="center"/>
        <w:rPr/>
      </w:pPr>
      <w:r>
        <w:rPr/>
      </w:r>
    </w:p>
    <w:p>
      <w:pPr>
        <w:pStyle w:val="TextBody"/>
        <w:bidi w:val="0"/>
        <w:spacing w:lineRule="auto" w:line="288" w:before="120" w:after="283"/>
        <w:jc w:val="center"/>
        <w:rPr>
          <w:rFonts w:ascii="Garamond;serif" w:hAnsi="Garamond;serif"/>
          <w:b/>
          <w:color w:val="000000"/>
          <w:sz w:val="20"/>
        </w:rPr>
      </w:pPr>
      <w:r>
        <w:rPr>
          <w:rFonts w:ascii="Garamond;serif" w:hAnsi="Garamond;serif"/>
          <w:b/>
          <w:color w:val="000000"/>
          <w:sz w:val="20"/>
        </w:rPr>
        <w:t>Commission File Number: 001-38115</w:t>
      </w:r>
    </w:p>
    <w:p>
      <w:pPr>
        <w:pStyle w:val="TextBody"/>
        <w:bidi w:val="0"/>
        <w:spacing w:lineRule="auto" w:line="288" w:before="0" w:after="0"/>
        <w:jc w:val="center"/>
        <w:rPr/>
      </w:pPr>
      <w:r>
        <w:rPr>
          <w:rFonts w:ascii="Garamond;serif" w:hAnsi="Garamond;serif"/>
          <w:b w:val="false"/>
          <w:color w:val="000000"/>
          <w:sz w:val="12"/>
        </w:rPr>
        <w:t>___________________________________________________________________________________________________________</w:t>
      </w:r>
      <w:r>
        <w:rPr>
          <w:color w:val="000000"/>
        </w:rPr>
        <w:t xml:space="preserve"> </w:t>
      </w:r>
    </w:p>
    <w:p>
      <w:pPr>
        <w:pStyle w:val="TextBody"/>
        <w:bidi w:val="0"/>
        <w:spacing w:lineRule="auto" w:line="288" w:before="120" w:after="283"/>
        <w:jc w:val="center"/>
        <w:rPr>
          <w:rFonts w:ascii="Garamond;serif" w:hAnsi="Garamond;serif"/>
          <w:b/>
          <w:color w:val="000000"/>
          <w:sz w:val="36"/>
        </w:rPr>
      </w:pPr>
      <w:r>
        <w:rPr>
          <w:rFonts w:ascii="Garamond;serif" w:hAnsi="Garamond;serif"/>
          <w:b/>
          <w:color w:val="000000"/>
          <w:sz w:val="36"/>
        </w:rPr>
        <w:t xml:space="preserve">The Simply Good Foods Company </w:t>
      </w:r>
    </w:p>
    <w:p>
      <w:pPr>
        <w:pStyle w:val="TextBody"/>
        <w:bidi w:val="0"/>
        <w:spacing w:lineRule="auto" w:line="288" w:before="120" w:after="283"/>
        <w:jc w:val="center"/>
        <w:rPr>
          <w:rFonts w:ascii="Garamond;serif" w:hAnsi="Garamond;serif"/>
          <w:b w:val="false"/>
          <w:color w:val="000000"/>
          <w:sz w:val="20"/>
        </w:rPr>
      </w:pPr>
      <w:r>
        <w:rPr>
          <w:rFonts w:ascii="Garamond;serif" w:hAnsi="Garamond;serif"/>
          <w:b w:val="false"/>
          <w:color w:val="000000"/>
          <w:sz w:val="20"/>
        </w:rPr>
        <w:t>(Exact name of registrant as specified in its charter)</w:t>
      </w:r>
    </w:p>
    <w:p>
      <w:pPr>
        <w:pStyle w:val="TextBody"/>
        <w:bidi w:val="0"/>
        <w:spacing w:before="120" w:after="283"/>
        <w:jc w:val="center"/>
        <w:rPr/>
      </w:pPr>
      <w:r>
        <w:rPr/>
        <w:drawing>
          <wp:inline distT="0" distB="0" distL="0" distR="0">
            <wp:extent cx="182880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1409700"/>
                    </a:xfrm>
                    <a:prstGeom prst="rect">
                      <a:avLst/>
                    </a:prstGeom>
                  </pic:spPr>
                </pic:pic>
              </a:graphicData>
            </a:graphic>
          </wp:inline>
        </w:drawing>
      </w:r>
      <w:bookmarkStart w:id="0" w:name="i-1"/>
      <w:bookmarkEnd w:id="0"/>
    </w:p>
    <w:p>
      <w:pPr>
        <w:pStyle w:val="TextBody"/>
        <w:bidi w:val="0"/>
        <w:spacing w:lineRule="auto" w:line="288" w:before="0" w:after="0"/>
        <w:jc w:val="center"/>
        <w:rPr>
          <w:rFonts w:ascii="Garamond;serif" w:hAnsi="Garamond;serif"/>
          <w:b w:val="false"/>
          <w:color w:val="000000"/>
          <w:sz w:val="12"/>
        </w:rPr>
      </w:pPr>
      <w:r>
        <w:rPr>
          <w:rFonts w:ascii="Garamond;serif" w:hAnsi="Garamond;serif"/>
          <w:b w:val="false"/>
          <w:color w:val="000000"/>
          <w:sz w:val="12"/>
        </w:rPr>
        <w:t>___________________________________________________________________________________________________________</w:t>
      </w:r>
    </w:p>
    <w:tbl>
      <w:tblPr>
        <w:tblW w:w="9476" w:type="dxa"/>
        <w:jc w:val="center"/>
        <w:tblInd w:w="0" w:type="dxa"/>
        <w:tblLayout w:type="fixed"/>
        <w:tblCellMar>
          <w:top w:w="28" w:type="dxa"/>
          <w:left w:w="28" w:type="dxa"/>
          <w:bottom w:w="28" w:type="dxa"/>
          <w:right w:w="28" w:type="dxa"/>
        </w:tblCellMar>
      </w:tblPr>
      <w:tblGrid>
        <w:gridCol w:w="2059"/>
        <w:gridCol w:w="1816"/>
        <w:gridCol w:w="1824"/>
        <w:gridCol w:w="109"/>
        <w:gridCol w:w="109"/>
        <w:gridCol w:w="109"/>
        <w:gridCol w:w="1011"/>
        <w:gridCol w:w="1011"/>
        <w:gridCol w:w="1428"/>
      </w:tblGrid>
      <w:tr>
        <w:trPr/>
        <w:tc>
          <w:tcPr>
            <w:tcW w:w="205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color w:val="000000"/>
                <w:sz w:val="20"/>
              </w:rPr>
            </w:pPr>
            <w:r>
              <w:rPr>
                <w:rFonts w:ascii="Garamond;serif" w:hAnsi="Garamond;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color w:val="000000"/>
                <w:sz w:val="20"/>
              </w:rPr>
            </w:pPr>
            <w:r>
              <w:rPr>
                <w:rFonts w:ascii="Garamond;serif" w:hAnsi="Garamond;serif"/>
                <w:b/>
                <w:color w:val="000000"/>
                <w:sz w:val="20"/>
              </w:rPr>
              <w:t>82-1038121</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(I.R.S. Employer Identification No.)</w:t>
            </w:r>
          </w:p>
        </w:tc>
      </w:tr>
    </w:tbl>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1225 17th Street, Suite 1000</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 xml:space="preserve">Denver, CO 80202 </w:t>
      </w:r>
    </w:p>
    <w:p>
      <w:pPr>
        <w:pStyle w:val="TextBody"/>
        <w:bidi w:val="0"/>
        <w:spacing w:lineRule="auto" w:line="288" w:before="0" w:after="0"/>
        <w:jc w:val="center"/>
        <w:rPr>
          <w:rFonts w:ascii="Garamond;serif" w:hAnsi="Garamond;serif"/>
          <w:b w:val="false"/>
          <w:color w:val="000000"/>
          <w:sz w:val="18"/>
        </w:rPr>
      </w:pPr>
      <w:r>
        <w:rPr>
          <w:rFonts w:ascii="Garamond;serif" w:hAnsi="Garamond;serif"/>
          <w:b w:val="false"/>
          <w:color w:val="000000"/>
          <w:sz w:val="18"/>
        </w:rPr>
        <w:t>(Address of principal executive offices and zip code)</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(303) 633-2840</w:t>
      </w:r>
    </w:p>
    <w:p>
      <w:pPr>
        <w:pStyle w:val="TextBody"/>
        <w:bidi w:val="0"/>
        <w:spacing w:lineRule="auto" w:line="288" w:before="0" w:after="0"/>
        <w:jc w:val="center"/>
        <w:rPr>
          <w:rFonts w:ascii="Garamond;serif" w:hAnsi="Garamond;serif"/>
          <w:b w:val="false"/>
          <w:color w:val="000000"/>
          <w:sz w:val="18"/>
        </w:rPr>
      </w:pPr>
      <w:r>
        <w:rPr>
          <w:rFonts w:ascii="Garamond;serif" w:hAnsi="Garamond;serif"/>
          <w:b w:val="false"/>
          <w:color w:val="000000"/>
          <w:sz w:val="18"/>
        </w:rPr>
        <w:t>(Registrant’s telephone number, including area code)</w:t>
      </w:r>
    </w:p>
    <w:p>
      <w:pPr>
        <w:pStyle w:val="TextBody"/>
        <w:bidi w:val="0"/>
        <w:spacing w:lineRule="auto" w:line="288" w:before="0" w:after="0"/>
        <w:jc w:val="center"/>
        <w:rPr>
          <w:rFonts w:ascii="Garamond;serif" w:hAnsi="Garamond;serif"/>
          <w:b w:val="false"/>
          <w:color w:val="000000"/>
          <w:sz w:val="12"/>
        </w:rPr>
      </w:pPr>
      <w:r>
        <w:rPr>
          <w:rFonts w:ascii="Garamond;serif" w:hAnsi="Garamond;serif"/>
          <w:b w:val="false"/>
          <w:color w:val="000000"/>
          <w:sz w:val="12"/>
        </w:rPr>
        <w:t>___________________________________________________________________________________________________________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20"/>
        <w:gridCol w:w="1228"/>
        <w:gridCol w:w="1242"/>
        <w:gridCol w:w="109"/>
        <w:gridCol w:w="109"/>
        <w:gridCol w:w="109"/>
        <w:gridCol w:w="504"/>
        <w:gridCol w:w="504"/>
        <w:gridCol w:w="506"/>
        <w:gridCol w:w="109"/>
        <w:gridCol w:w="109"/>
        <w:gridCol w:w="109"/>
        <w:gridCol w:w="1211"/>
        <w:gridCol w:w="1211"/>
        <w:gridCol w:w="1725"/>
      </w:tblGrid>
      <w:tr>
        <w:trPr/>
        <w:tc>
          <w:tcPr>
            <w:tcW w:w="142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Name of each exchange on which registered</w:t>
            </w:r>
          </w:p>
        </w:tc>
      </w:tr>
      <w:tr>
        <w:trPr/>
        <w:tc>
          <w:tcPr>
            <w:tcW w:w="3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SMPL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Nasdaq</w:t>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lineRule="auto" w:line="288" w:before="0" w:after="180"/>
        <w:jc w:val="both"/>
        <w:rPr>
          <w:rFonts w:ascii="Garamond;serif" w:hAnsi="Garamond;serif"/>
          <w:b w:val="false"/>
          <w:color w:val="000000"/>
          <w:sz w:val="20"/>
        </w:rPr>
      </w:pPr>
      <w:r>
        <w:rPr>
          <w:rFonts w:ascii="Garamond;serif" w:hAnsi="Garamond;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01" w:type="dxa"/>
        <w:jc w:val="center"/>
        <w:tblInd w:w="0" w:type="dxa"/>
        <w:tblLayout w:type="fixed"/>
        <w:tblCellMar>
          <w:top w:w="28" w:type="dxa"/>
          <w:left w:w="28" w:type="dxa"/>
          <w:bottom w:w="28" w:type="dxa"/>
          <w:right w:w="28" w:type="dxa"/>
        </w:tblCellMar>
      </w:tblPr>
      <w:tblGrid>
        <w:gridCol w:w="809"/>
        <w:gridCol w:w="711"/>
        <w:gridCol w:w="714"/>
        <w:gridCol w:w="109"/>
        <w:gridCol w:w="109"/>
        <w:gridCol w:w="109"/>
        <w:gridCol w:w="109"/>
        <w:gridCol w:w="109"/>
        <w:gridCol w:w="109"/>
        <w:gridCol w:w="879"/>
        <w:gridCol w:w="879"/>
        <w:gridCol w:w="883"/>
        <w:gridCol w:w="109"/>
        <w:gridCol w:w="109"/>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pPr>
      <w:r>
        <w:rPr/>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As of July 2, 2026, there were 88,460,545 shares of common stock, par value $0.01 per share, issued 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THE SIMPLY GOOD FOODS COMPANY AND SUBSIDIARIES</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FORM 10-Q</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FOR THE QUARTER ENDED MAY 30, 2026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32"/>
        <w:gridCol w:w="276"/>
        <w:gridCol w:w="276"/>
        <w:gridCol w:w="2606"/>
        <w:gridCol w:w="2578"/>
        <w:gridCol w:w="2585"/>
        <w:gridCol w:w="447"/>
        <w:gridCol w:w="447"/>
        <w:gridCol w:w="658"/>
      </w:tblGrid>
      <w:tr>
        <w:trPr/>
        <w:tc>
          <w:tcPr>
            <w:tcW w:w="33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color w:val="000000"/>
                <w:sz w:val="18"/>
                <w:u w:val="single"/>
              </w:rPr>
            </w:pPr>
            <w:r>
              <w:rPr>
                <w:rFonts w:ascii="Garamond;serif" w:hAnsi="Garamond;serif"/>
                <w:b/>
                <w:color w:val="000000"/>
                <w:sz w:val="18"/>
                <w:u w:val="single"/>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10">
              <w:r>
                <w:rPr>
                  <w:rStyle w:val="InternetLink"/>
                  <w:rFonts w:ascii="Garamond;serif" w:hAnsi="Garamond;serif"/>
                  <w:b/>
                  <w:color w:val="0000FF"/>
                  <w:sz w:val="18"/>
                  <w:u w:val="single"/>
                </w:rPr>
                <w:t>PART I. Financial Information</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3">
              <w:r>
                <w:rPr>
                  <w:rStyle w:val="InternetLink"/>
                  <w:rFonts w:ascii="Garamond;serif" w:hAnsi="Garamond;serif"/>
                  <w:b w:val="false"/>
                  <w:color w:val="0000FF"/>
                  <w:sz w:val="18"/>
                  <w:u w:val="single"/>
                </w:rPr>
                <w:t>Item 1</w:t>
              </w:r>
            </w:hyperlink>
            <w:r>
              <w:rPr>
                <w:rFonts w:ascii="Garamond;serif" w:hAnsi="Garamond;serif"/>
                <w:b w:val="false"/>
                <w:color w:val="000000"/>
                <w:sz w:val="18"/>
              </w:rPr>
              <w:t>.</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3">
              <w:r>
                <w:rPr>
                  <w:rStyle w:val="InternetLink"/>
                  <w:rFonts w:ascii="Garamond;serif" w:hAnsi="Garamond;serif"/>
                  <w:b w:val="false"/>
                  <w:color w:val="0000FF"/>
                  <w:sz w:val="18"/>
                  <w:u w:val="single"/>
                </w:rPr>
                <w:t>Financial Statements (Unaudited)</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13">
              <w:r>
                <w:rPr>
                  <w:rStyle w:val="InternetLink"/>
                  <w:rFonts w:ascii="Garamond;serif" w:hAnsi="Garamond;serif"/>
                  <w:b w:val="false"/>
                  <w:color w:val="0000FF"/>
                  <w:sz w:val="18"/>
                  <w:u w:val="singl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6">
              <w:r>
                <w:rPr>
                  <w:rStyle w:val="InternetLink"/>
                  <w:rFonts w:ascii="Garamond;serif" w:hAnsi="Garamond;serif"/>
                  <w:b w:val="false"/>
                  <w:color w:val="0000FF"/>
                  <w:sz w:val="18"/>
                  <w:u w:val="single"/>
                </w:rPr>
                <w:t>Consolidated Balance Sheets</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16">
              <w:r>
                <w:rPr>
                  <w:rStyle w:val="InternetLink"/>
                  <w:rFonts w:ascii="Garamond;serif" w:hAnsi="Garamond;serif"/>
                  <w:b w:val="false"/>
                  <w:color w:val="0000FF"/>
                  <w:sz w:val="18"/>
                  <w:u w:val="singl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22">
              <w:r>
                <w:rPr>
                  <w:rStyle w:val="InternetLink"/>
                  <w:rFonts w:ascii="Garamond;serif" w:hAnsi="Garamond;serif"/>
                  <w:b w:val="false"/>
                  <w:color w:val="0000FF"/>
                  <w:sz w:val="18"/>
                  <w:u w:val="single"/>
                </w:rPr>
                <w:t>Consolidated Statements of Operations and Comprehensive Income</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22">
              <w:r>
                <w:rPr>
                  <w:rStyle w:val="InternetLink"/>
                  <w:rFonts w:ascii="Garamond;serif" w:hAnsi="Garamond;serif"/>
                  <w:b w:val="false"/>
                  <w:color w:val="0000FF"/>
                  <w:sz w:val="18"/>
                  <w:u w:val="single"/>
                </w:rPr>
                <w:t>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25">
              <w:r>
                <w:rPr>
                  <w:rStyle w:val="InternetLink"/>
                  <w:rFonts w:ascii="Garamond;serif" w:hAnsi="Garamond;serif"/>
                  <w:b w:val="false"/>
                  <w:color w:val="0000FF"/>
                  <w:sz w:val="18"/>
                  <w:u w:val="single"/>
                </w:rPr>
                <w:t>Consolidated Statements of Cash Flows</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25">
              <w:r>
                <w:rPr>
                  <w:rStyle w:val="InternetLink"/>
                  <w:rFonts w:ascii="Garamond;serif" w:hAnsi="Garamond;serif"/>
                  <w:b w:val="false"/>
                  <w:color w:val="0000FF"/>
                  <w:sz w:val="18"/>
                  <w:u w:val="singl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28">
              <w:r>
                <w:rPr>
                  <w:rStyle w:val="InternetLink"/>
                  <w:rFonts w:ascii="Garamond;serif" w:hAnsi="Garamond;serif"/>
                  <w:b w:val="false"/>
                  <w:color w:val="0000FF"/>
                  <w:sz w:val="18"/>
                  <w:u w:val="single"/>
                </w:rPr>
                <w:t>Consolidated Statements of Stockholders’ Equity</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28">
              <w:r>
                <w:rPr>
                  <w:rStyle w:val="InternetLink"/>
                  <w:rFonts w:ascii="Garamond;serif" w:hAnsi="Garamond;serif"/>
                  <w:b w:val="false"/>
                  <w:color w:val="0000FF"/>
                  <w:sz w:val="18"/>
                  <w:u w:val="single"/>
                </w:rPr>
                <w:t>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31">
              <w:r>
                <w:rPr>
                  <w:rStyle w:val="InternetLink"/>
                  <w:rFonts w:ascii="Garamond;serif" w:hAnsi="Garamond;serif"/>
                  <w:b w:val="false"/>
                  <w:color w:val="0000FF"/>
                  <w:sz w:val="18"/>
                  <w:u w:val="single"/>
                </w:rPr>
                <w:t>Notes to Unaudited Consolidated Financial Statements</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31">
              <w:r>
                <w:rPr>
                  <w:rStyle w:val="InternetLink"/>
                  <w:rFonts w:ascii="Garamond;serif" w:hAnsi="Garamond;serif"/>
                  <w:b w:val="false"/>
                  <w:color w:val="0000FF"/>
                  <w:sz w:val="18"/>
                  <w:u w:val="single"/>
                </w:rPr>
                <w:t>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88">
              <w:r>
                <w:rPr>
                  <w:rStyle w:val="InternetLink"/>
                  <w:rFonts w:ascii="Garamond;serif" w:hAnsi="Garamond;serif"/>
                  <w:b w:val="false"/>
                  <w:color w:val="0000FF"/>
                  <w:sz w:val="18"/>
                  <w:u w:val="single"/>
                </w:rPr>
                <w:t>Item 2</w:t>
              </w:r>
            </w:hyperlink>
            <w:r>
              <w:rPr>
                <w:rFonts w:ascii="Garamond;serif" w:hAnsi="Garamond;serif"/>
                <w:b w:val="false"/>
                <w:color w:val="000000"/>
                <w:sz w:val="18"/>
              </w:rPr>
              <w:t>.</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88">
              <w:r>
                <w:rPr>
                  <w:rStyle w:val="InternetLink"/>
                  <w:rFonts w:ascii="Garamond;serif" w:hAnsi="Garamond;serif"/>
                  <w:b w:val="false"/>
                  <w:color w:val="0000FF"/>
                  <w:sz w:val="18"/>
                  <w:u w:val="single"/>
                </w:rPr>
                <w:t>Management’s Discussion and Analysis of Financial Condition and Results of Operations</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88">
              <w:r>
                <w:rPr>
                  <w:rStyle w:val="InternetLink"/>
                  <w:rFonts w:ascii="Garamond;serif" w:hAnsi="Garamond;serif"/>
                  <w:b w:val="false"/>
                  <w:color w:val="0000FF"/>
                  <w:sz w:val="18"/>
                  <w:u w:val="single"/>
                </w:rPr>
                <w:t>22</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18">
              <w:r>
                <w:rPr>
                  <w:rStyle w:val="InternetLink"/>
                  <w:rFonts w:ascii="Garamond;serif" w:hAnsi="Garamond;serif"/>
                  <w:b w:val="false"/>
                  <w:color w:val="0000FF"/>
                  <w:sz w:val="18"/>
                  <w:u w:val="single"/>
                </w:rPr>
                <w:t>Item 3</w:t>
              </w:r>
            </w:hyperlink>
            <w:r>
              <w:rPr>
                <w:rFonts w:ascii="Garamond;serif" w:hAnsi="Garamond;serif"/>
                <w:b w:val="false"/>
                <w:color w:val="000000"/>
                <w:sz w:val="18"/>
              </w:rPr>
              <w:t>.</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18">
              <w:r>
                <w:rPr>
                  <w:rStyle w:val="InternetLink"/>
                  <w:rFonts w:ascii="Garamond;serif" w:hAnsi="Garamond;serif"/>
                  <w:b w:val="false"/>
                  <w:color w:val="0000FF"/>
                  <w:sz w:val="18"/>
                  <w:u w:val="single"/>
                </w:rPr>
                <w:t>Quantitative and Qualitative Disclosures about Market Risk</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118">
              <w:r>
                <w:rPr>
                  <w:rStyle w:val="InternetLink"/>
                  <w:rFonts w:ascii="Garamond;serif" w:hAnsi="Garamond;serif"/>
                  <w:b w:val="false"/>
                  <w:color w:val="0000FF"/>
                  <w:sz w:val="18"/>
                  <w:u w:val="single"/>
                </w:rPr>
                <w:t>33</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21">
              <w:r>
                <w:rPr>
                  <w:rStyle w:val="InternetLink"/>
                  <w:rFonts w:ascii="Garamond;serif" w:hAnsi="Garamond;serif"/>
                  <w:b w:val="false"/>
                  <w:color w:val="0000FF"/>
                  <w:sz w:val="18"/>
                  <w:u w:val="single"/>
                </w:rPr>
                <w:t>Item 4</w:t>
              </w:r>
            </w:hyperlink>
            <w:r>
              <w:rPr>
                <w:rFonts w:ascii="Garamond;serif" w:hAnsi="Garamond;serif"/>
                <w:b w:val="false"/>
                <w:color w:val="000000"/>
                <w:sz w:val="18"/>
              </w:rPr>
              <w:t>.</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21">
              <w:r>
                <w:rPr>
                  <w:rStyle w:val="InternetLink"/>
                  <w:rFonts w:ascii="Garamond;serif" w:hAnsi="Garamond;serif"/>
                  <w:b w:val="false"/>
                  <w:color w:val="0000FF"/>
                  <w:sz w:val="18"/>
                  <w:u w:val="single"/>
                </w:rPr>
                <w:t>Controls and Procedures</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121">
              <w:r>
                <w:rPr>
                  <w:rStyle w:val="InternetLink"/>
                  <w:rFonts w:ascii="Garamond;serif" w:hAnsi="Garamond;serif"/>
                  <w:b w:val="false"/>
                  <w:color w:val="0000FF"/>
                  <w:sz w:val="18"/>
                  <w:u w:val="single"/>
                </w:rPr>
                <w:t>33</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124">
              <w:r>
                <w:rPr>
                  <w:rStyle w:val="InternetLink"/>
                  <w:rFonts w:ascii="Garamond;serif" w:hAnsi="Garamond;serif"/>
                  <w:b/>
                  <w:color w:val="0000FF"/>
                  <w:sz w:val="18"/>
                  <w:u w:val="single"/>
                </w:rPr>
                <w:t>PART II. Other Information</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27">
              <w:r>
                <w:rPr>
                  <w:rStyle w:val="InternetLink"/>
                  <w:rFonts w:ascii="Garamond;serif" w:hAnsi="Garamond;serif"/>
                  <w:b w:val="false"/>
                  <w:color w:val="0000FF"/>
                  <w:sz w:val="18"/>
                  <w:u w:val="single"/>
                </w:rPr>
                <w:t>Item 1</w:t>
              </w:r>
            </w:hyperlink>
            <w:r>
              <w:rPr>
                <w:rFonts w:ascii="Garamond;serif" w:hAnsi="Garamond;serif"/>
                <w:b w:val="false"/>
                <w:color w:val="000000"/>
                <w:sz w:val="18"/>
              </w:rPr>
              <w:t>.</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27">
              <w:r>
                <w:rPr>
                  <w:rStyle w:val="InternetLink"/>
                  <w:rFonts w:ascii="Garamond;serif" w:hAnsi="Garamond;serif"/>
                  <w:b w:val="false"/>
                  <w:color w:val="0000FF"/>
                  <w:sz w:val="18"/>
                  <w:u w:val="single"/>
                </w:rPr>
                <w:t>Legal Proceedings</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127">
              <w:r>
                <w:rPr>
                  <w:rStyle w:val="InternetLink"/>
                  <w:rFonts w:ascii="Garamond;serif" w:hAnsi="Garamond;serif"/>
                  <w:b w:val="false"/>
                  <w:color w:val="0000FF"/>
                  <w:sz w:val="18"/>
                  <w:u w:val="single"/>
                </w:rPr>
                <w:t>34</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30">
              <w:r>
                <w:rPr>
                  <w:rStyle w:val="InternetLink"/>
                  <w:rFonts w:ascii="Garamond;serif" w:hAnsi="Garamond;serif"/>
                  <w:b w:val="false"/>
                  <w:color w:val="0000FF"/>
                  <w:sz w:val="18"/>
                  <w:u w:val="single"/>
                </w:rPr>
                <w:t>Item 1A</w:t>
              </w:r>
            </w:hyperlink>
            <w:r>
              <w:rPr>
                <w:rFonts w:ascii="Garamond;serif" w:hAnsi="Garamond;serif"/>
                <w:b w:val="false"/>
                <w:color w:val="000000"/>
                <w:sz w:val="18"/>
              </w:rPr>
              <w:t>.</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30">
              <w:r>
                <w:rPr>
                  <w:rStyle w:val="InternetLink"/>
                  <w:rFonts w:ascii="Garamond;serif" w:hAnsi="Garamond;serif"/>
                  <w:b w:val="false"/>
                  <w:color w:val="0000FF"/>
                  <w:sz w:val="18"/>
                  <w:u w:val="single"/>
                </w:rPr>
                <w:t>Risk Factors</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130">
              <w:r>
                <w:rPr>
                  <w:rStyle w:val="InternetLink"/>
                  <w:rFonts w:ascii="Garamond;serif" w:hAnsi="Garamond;serif"/>
                  <w:b w:val="false"/>
                  <w:color w:val="0000FF"/>
                  <w:sz w:val="18"/>
                  <w:u w:val="single"/>
                </w:rPr>
                <w:t>34</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33">
              <w:r>
                <w:rPr>
                  <w:rStyle w:val="InternetLink"/>
                  <w:rFonts w:ascii="Garamond;serif" w:hAnsi="Garamond;serif"/>
                  <w:b w:val="false"/>
                  <w:color w:val="0000FF"/>
                  <w:sz w:val="18"/>
                  <w:u w:val="single"/>
                </w:rPr>
                <w:t>Item 2</w:t>
              </w:r>
            </w:hyperlink>
            <w:r>
              <w:rPr>
                <w:rFonts w:ascii="Garamond;serif" w:hAnsi="Garamond;serif"/>
                <w:b w:val="false"/>
                <w:color w:val="000000"/>
                <w:sz w:val="18"/>
              </w:rPr>
              <w:t>.</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33">
              <w:r>
                <w:rPr>
                  <w:rStyle w:val="InternetLink"/>
                  <w:rFonts w:ascii="Garamond;serif" w:hAnsi="Garamond;serif"/>
                  <w:b w:val="false"/>
                  <w:color w:val="0000FF"/>
                  <w:sz w:val="18"/>
                  <w:u w:val="single"/>
                </w:rPr>
                <w:t>Unregistered Sales of Equity Securities and Use of Proceeds</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133">
              <w:r>
                <w:rPr>
                  <w:rStyle w:val="InternetLink"/>
                  <w:rFonts w:ascii="Garamond;serif" w:hAnsi="Garamond;serif"/>
                  <w:b w:val="false"/>
                  <w:color w:val="0000FF"/>
                  <w:sz w:val="18"/>
                  <w:u w:val="single"/>
                </w:rPr>
                <w:t>35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36">
              <w:r>
                <w:rPr>
                  <w:rStyle w:val="InternetLink"/>
                  <w:rFonts w:ascii="Garamond;serif" w:hAnsi="Garamond;serif"/>
                  <w:b w:val="false"/>
                  <w:color w:val="0000FF"/>
                  <w:sz w:val="18"/>
                  <w:u w:val="single"/>
                </w:rPr>
                <w:t>Item 3</w:t>
              </w:r>
            </w:hyperlink>
            <w:r>
              <w:rPr>
                <w:rFonts w:ascii="Garamond;serif" w:hAnsi="Garamond;serif"/>
                <w:b w:val="false"/>
                <w:color w:val="000000"/>
                <w:sz w:val="18"/>
              </w:rPr>
              <w:t>.</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36">
              <w:r>
                <w:rPr>
                  <w:rStyle w:val="InternetLink"/>
                  <w:rFonts w:ascii="Garamond;serif" w:hAnsi="Garamond;serif"/>
                  <w:b w:val="false"/>
                  <w:color w:val="0000FF"/>
                  <w:sz w:val="18"/>
                  <w:u w:val="single"/>
                </w:rPr>
                <w:t>Defaults Upon Senior Securities</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136">
              <w:r>
                <w:rPr>
                  <w:rStyle w:val="InternetLink"/>
                  <w:rFonts w:ascii="Garamond;serif" w:hAnsi="Garamond;serif"/>
                  <w:b w:val="false"/>
                  <w:color w:val="0000FF"/>
                  <w:sz w:val="18"/>
                  <w:u w:val="single"/>
                </w:rPr>
                <w:t>36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39">
              <w:r>
                <w:rPr>
                  <w:rStyle w:val="InternetLink"/>
                  <w:rFonts w:ascii="Garamond;serif" w:hAnsi="Garamond;serif"/>
                  <w:b w:val="false"/>
                  <w:color w:val="0000FF"/>
                  <w:sz w:val="18"/>
                  <w:u w:val="single"/>
                </w:rPr>
                <w:t>Item 4</w:t>
              </w:r>
            </w:hyperlink>
            <w:r>
              <w:rPr>
                <w:rFonts w:ascii="Garamond;serif" w:hAnsi="Garamond;serif"/>
                <w:b w:val="false"/>
                <w:color w:val="000000"/>
                <w:sz w:val="18"/>
              </w:rPr>
              <w:t>.</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39">
              <w:r>
                <w:rPr>
                  <w:rStyle w:val="InternetLink"/>
                  <w:rFonts w:ascii="Garamond;serif" w:hAnsi="Garamond;serif"/>
                  <w:b w:val="false"/>
                  <w:color w:val="0000FF"/>
                  <w:sz w:val="18"/>
                  <w:u w:val="single"/>
                </w:rPr>
                <w:t>Mine Safety Disclosures</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139">
              <w:r>
                <w:rPr>
                  <w:rStyle w:val="InternetLink"/>
                  <w:rFonts w:ascii="Garamond;serif" w:hAnsi="Garamond;serif"/>
                  <w:b w:val="false"/>
                  <w:color w:val="0000FF"/>
                  <w:sz w:val="18"/>
                  <w:u w:val="single"/>
                </w:rPr>
                <w:t>36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42">
              <w:r>
                <w:rPr>
                  <w:rStyle w:val="InternetLink"/>
                  <w:rFonts w:ascii="Garamond;serif" w:hAnsi="Garamond;serif"/>
                  <w:b w:val="false"/>
                  <w:color w:val="0000FF"/>
                  <w:sz w:val="18"/>
                  <w:u w:val="single"/>
                </w:rPr>
                <w:t>Item 5</w:t>
              </w:r>
            </w:hyperlink>
            <w:r>
              <w:rPr>
                <w:rFonts w:ascii="Garamond;serif" w:hAnsi="Garamond;serif"/>
                <w:b w:val="false"/>
                <w:color w:val="000000"/>
                <w:sz w:val="18"/>
              </w:rPr>
              <w:t>.</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42">
              <w:r>
                <w:rPr>
                  <w:rStyle w:val="InternetLink"/>
                  <w:rFonts w:ascii="Garamond;serif" w:hAnsi="Garamond;serif"/>
                  <w:b w:val="false"/>
                  <w:color w:val="0000FF"/>
                  <w:sz w:val="18"/>
                  <w:u w:val="single"/>
                </w:rPr>
                <w:t>Other Information</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142">
              <w:r>
                <w:rPr>
                  <w:rStyle w:val="InternetLink"/>
                  <w:rFonts w:ascii="Garamond;serif" w:hAnsi="Garamond;serif"/>
                  <w:b w:val="false"/>
                  <w:color w:val="0000FF"/>
                  <w:sz w:val="18"/>
                  <w:u w:val="single"/>
                </w:rPr>
                <w:t>36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45">
              <w:r>
                <w:rPr>
                  <w:rStyle w:val="InternetLink"/>
                  <w:rFonts w:ascii="Garamond;serif" w:hAnsi="Garamond;serif"/>
                  <w:b w:val="false"/>
                  <w:color w:val="0000FF"/>
                  <w:sz w:val="18"/>
                  <w:u w:val="single"/>
                </w:rPr>
                <w:t>Item 6</w:t>
              </w:r>
            </w:hyperlink>
            <w:r>
              <w:rPr>
                <w:rFonts w:ascii="Garamond;serif" w:hAnsi="Garamond;serif"/>
                <w:b w:val="false"/>
                <w:color w:val="000000"/>
                <w:sz w:val="18"/>
              </w:rPr>
              <w:t>.</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45">
              <w:r>
                <w:rPr>
                  <w:rStyle w:val="InternetLink"/>
                  <w:rFonts w:ascii="Garamond;serif" w:hAnsi="Garamond;serif"/>
                  <w:b w:val="false"/>
                  <w:color w:val="0000FF"/>
                  <w:sz w:val="18"/>
                  <w:u w:val="single"/>
                </w:rPr>
                <w:t>Exhibits</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145">
              <w:r>
                <w:rPr>
                  <w:rStyle w:val="InternetLink"/>
                  <w:rFonts w:ascii="Garamond;serif" w:hAnsi="Garamond;serif"/>
                  <w:b w:val="false"/>
                  <w:color w:val="0000FF"/>
                  <w:sz w:val="18"/>
                  <w:u w:val="single"/>
                </w:rPr>
                <w:t>37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87601e606e474ea6980bffad9d2b24_148">
              <w:r>
                <w:rPr>
                  <w:rStyle w:val="InternetLink"/>
                  <w:rFonts w:ascii="Garamond;serif" w:hAnsi="Garamond;serif"/>
                  <w:b w:val="false"/>
                  <w:color w:val="0000FF"/>
                  <w:sz w:val="18"/>
                  <w:u w:val="single"/>
                </w:rPr>
                <w:t>Signatures</w:t>
              </w:r>
            </w:hyperlink>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87601e606e474ea6980bffad9d2b24_148">
              <w:r>
                <w:rPr>
                  <w:rStyle w:val="InternetLink"/>
                  <w:rFonts w:ascii="Garamond;serif" w:hAnsi="Garamond;serif"/>
                  <w:b w:val="false"/>
                  <w:color w:val="0000FF"/>
                  <w:sz w:val="18"/>
                  <w:u w:val="single"/>
                </w:rPr>
                <w:t>38</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3"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Item 1. Financial Statements (Unaudited)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The Simply Good Foods Company and Subsidiaries</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Consolidated Balance Sheets</w:t>
      </w:r>
    </w:p>
    <w:p>
      <w:pPr>
        <w:pStyle w:val="TextBody"/>
        <w:bidi w:val="0"/>
        <w:spacing w:lineRule="auto" w:line="288" w:before="0" w:after="0"/>
        <w:jc w:val="center"/>
        <w:rPr>
          <w:rFonts w:ascii="Garamond;serif" w:hAnsi="Garamond;serif"/>
          <w:b w:val="false"/>
          <w:i/>
          <w:color w:val="000000"/>
          <w:sz w:val="20"/>
        </w:rPr>
      </w:pPr>
      <w:r>
        <w:rPr>
          <w:rFonts w:ascii="Garamond;serif" w:hAnsi="Garamond;serif"/>
          <w:b w:val="false"/>
          <w:i/>
          <w:color w:val="000000"/>
          <w:sz w:val="20"/>
        </w:rPr>
        <w:t>(Unaudited, dollars 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94"/>
        <w:gridCol w:w="1961"/>
        <w:gridCol w:w="1954"/>
        <w:gridCol w:w="109"/>
        <w:gridCol w:w="109"/>
        <w:gridCol w:w="109"/>
        <w:gridCol w:w="226"/>
        <w:gridCol w:w="1126"/>
        <w:gridCol w:w="109"/>
        <w:gridCol w:w="109"/>
        <w:gridCol w:w="109"/>
        <w:gridCol w:w="109"/>
        <w:gridCol w:w="236"/>
        <w:gridCol w:w="1181"/>
        <w:gridCol w:w="164"/>
      </w:tblGrid>
      <w:tr>
        <w:trPr/>
        <w:tc>
          <w:tcPr>
            <w:tcW w:w="2594"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30, 2025</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123,884 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98,468 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156,067 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164,978 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167,217 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7,209 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15,812 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464,138 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453,684 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39,738 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956,883 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1,261,603 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551,974 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589,974 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47,115 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51,046 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2,062,444 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2,396,045 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 xml:space="preserve">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57,025 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78,298 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46,219 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96,778 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124,561 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Long-term debt, 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397,037 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249,066 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107,057 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166,091 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49,494 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644,324 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589,212 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See commitments and contingencies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 xml:space="preserve">Preferred stock, $0.01 par value, 100,000,000 shares authorized, none issued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Common stock, $0.01 par value, 600,000,000 shares authorized, 104,050,545 and 103,688,071 shares issued at May 30, 2026, and August 30,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Treasury stock, 15,609,338 shares and 3,957,571 shares at cost at May 30, 2026, and August 30,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(344,670)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(129,337)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Additional paid-in-capital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1,358,758 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1,346,687 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404,478 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590,879 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(2,433)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1,418,120 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1,806,833 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2,062,444 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2,396,045 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Garamond;serif" w:hAnsi="Garamond;serif"/>
          <w:b w:val="false"/>
          <w:i/>
          <w:color w:val="000000"/>
          <w:sz w:val="18"/>
        </w:rPr>
      </w:pPr>
      <w:r>
        <w:rPr>
          <w:rFonts w:ascii="Garamond;serif" w:hAnsi="Garamond;serif"/>
          <w:b w:val="false"/>
          <w:i/>
          <w:color w:val="000000"/>
          <w:sz w:val="18"/>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The Simply Good Foods Company and Subsidiaries</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Consolidated Statements of Operations and Comprehensive Income (Loss)</w:t>
      </w:r>
    </w:p>
    <w:p>
      <w:pPr>
        <w:pStyle w:val="TextBody"/>
        <w:bidi w:val="0"/>
        <w:spacing w:lineRule="auto" w:line="288" w:before="0" w:after="0"/>
        <w:jc w:val="center"/>
        <w:rPr>
          <w:rFonts w:ascii="Garamond;serif" w:hAnsi="Garamond;serif"/>
          <w:b w:val="false"/>
          <w:i/>
          <w:color w:val="000000"/>
          <w:sz w:val="20"/>
        </w:rPr>
      </w:pPr>
      <w:r>
        <w:rPr>
          <w:rFonts w:ascii="Garamond;serif" w:hAnsi="Garamond;serif"/>
          <w:b w:val="false"/>
          <w:i/>
          <w:color w:val="000000"/>
          <w:sz w:val="20"/>
        </w:rPr>
        <w:t>(Unaudited, dollars 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24"/>
        <w:gridCol w:w="969"/>
        <w:gridCol w:w="776"/>
        <w:gridCol w:w="109"/>
        <w:gridCol w:w="109"/>
        <w:gridCol w:w="109"/>
        <w:gridCol w:w="246"/>
        <w:gridCol w:w="1010"/>
        <w:gridCol w:w="112"/>
        <w:gridCol w:w="109"/>
        <w:gridCol w:w="109"/>
        <w:gridCol w:w="109"/>
        <w:gridCol w:w="263"/>
        <w:gridCol w:w="1103"/>
        <w:gridCol w:w="112"/>
        <w:gridCol w:w="109"/>
        <w:gridCol w:w="109"/>
        <w:gridCol w:w="109"/>
        <w:gridCol w:w="226"/>
        <w:gridCol w:w="1126"/>
        <w:gridCol w:w="109"/>
        <w:gridCol w:w="109"/>
        <w:gridCol w:w="109"/>
        <w:gridCol w:w="109"/>
        <w:gridCol w:w="228"/>
        <w:gridCol w:w="1138"/>
        <w:gridCol w:w="155"/>
      </w:tblGrid>
      <w:tr>
        <w:trPr/>
        <w:tc>
          <w:tcPr>
            <w:tcW w:w="132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356,983 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380,956 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1,023,194 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1,081,879 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240,884 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242,437 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694,162 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682,737 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116,099 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138,519 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329,032 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399,142 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39,173 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33,799 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101,871 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40,453 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41,229 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113,334 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115,306 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4,337 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12,479 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Business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on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82,000 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165,963 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79,199 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554,630 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230,476 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(49,864)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59,320 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(225,598)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168,666 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(5,776)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(19,099)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Gain (loss) on foreign currency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(5,071)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(4,578)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(13,542)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(17,271)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(54,935)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54,742 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(239,140)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151,395 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(2,963)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13,640 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(52,739)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35,424 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(51,972)</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41,102 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(186,401)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115,971 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Foreign currency translation, net of reclassification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(51,871)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41,411 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(185,455)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115,467 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earnings per share from 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(0.58)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89,940,680 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100,923,690 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93,677,801 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100,787,087 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89,940,680 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101,635,521 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93,677,801 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101,669,998 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Garamond;serif" w:hAnsi="Garamond;serif"/>
          <w:b w:val="false"/>
          <w:i/>
          <w:color w:val="000000"/>
          <w:sz w:val="18"/>
        </w:rPr>
      </w:pPr>
      <w:r>
        <w:rPr>
          <w:rFonts w:ascii="Garamond;serif" w:hAnsi="Garamond;serif"/>
          <w:b w:val="false"/>
          <w:i/>
          <w:color w:val="000000"/>
          <w:sz w:val="18"/>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The Simply Good Foods Company and Subsidiaries</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Consolidated Statements of Cash Flows</w:t>
      </w:r>
    </w:p>
    <w:p>
      <w:pPr>
        <w:pStyle w:val="TextBody"/>
        <w:bidi w:val="0"/>
        <w:spacing w:lineRule="auto" w:line="288" w:before="0" w:after="0"/>
        <w:jc w:val="center"/>
        <w:rPr>
          <w:rFonts w:ascii="Garamond;serif" w:hAnsi="Garamond;serif"/>
          <w:b w:val="false"/>
          <w:i/>
          <w:color w:val="000000"/>
          <w:sz w:val="20"/>
        </w:rPr>
      </w:pPr>
      <w:r>
        <w:rPr>
          <w:rFonts w:ascii="Garamond;serif" w:hAnsi="Garamond;serif"/>
          <w:b w:val="false"/>
          <w:i/>
          <w:color w:val="000000"/>
          <w:sz w:val="20"/>
        </w:rPr>
        <w:t>(Unaudited, dollars in thousands)</w:t>
      </w:r>
    </w:p>
    <w:p>
      <w:pPr>
        <w:pStyle w:val="TextBody"/>
        <w:bidi w:val="0"/>
        <w:spacing w:before="0" w:after="60"/>
        <w:jc w:val="center"/>
        <w:rPr/>
      </w:pPr>
      <w:r>
        <w:rPr/>
      </w:r>
    </w:p>
    <w:tbl>
      <w:tblPr>
        <w:tblW w:w="10205" w:type="dxa"/>
        <w:jc w:val="center"/>
        <w:tblInd w:w="0" w:type="dxa"/>
        <w:tblLayout w:type="fixed"/>
        <w:tblCellMar>
          <w:top w:w="28" w:type="dxa"/>
          <w:left w:w="28" w:type="dxa"/>
          <w:bottom w:w="28" w:type="dxa"/>
          <w:right w:w="28" w:type="dxa"/>
        </w:tblCellMar>
      </w:tblPr>
      <w:tblGrid>
        <w:gridCol w:w="2493"/>
        <w:gridCol w:w="2129"/>
        <w:gridCol w:w="2139"/>
        <w:gridCol w:w="109"/>
        <w:gridCol w:w="109"/>
        <w:gridCol w:w="109"/>
        <w:gridCol w:w="229"/>
        <w:gridCol w:w="1033"/>
        <w:gridCol w:w="109"/>
        <w:gridCol w:w="109"/>
        <w:gridCol w:w="109"/>
        <w:gridCol w:w="109"/>
        <w:gridCol w:w="240"/>
        <w:gridCol w:w="1010"/>
        <w:gridCol w:w="169"/>
      </w:tblGrid>
      <w:tr>
        <w:trPr/>
        <w:tc>
          <w:tcPr>
            <w:tcW w:w="2493"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6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(186,401)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115,971 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Adjustments to reconcile net (loss)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15,480 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Amortization of deferred financing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12,819 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on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Estimated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Unrealized (gain) loss on foreign currency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(59,034)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10,583 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Amortization of operating lease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(2,382)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(23,185)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(783)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12,887 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(10,788)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(3,844)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102,170 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133,087</w:t>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(2,516)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Acquisition of business,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Investments in intangible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(1,389)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(2,192)</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Proceeds from option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11,956 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Tax payments related to issuance of restricted stock units and performance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(2,824)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(213,204)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(24,338)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Principal payments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(150,000)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Proceeds from issuance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(66,947)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(165,206)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increase (decrease)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(34,311)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Effect of exchange rate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132,530 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123,884 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98,008 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tbl>
      <w:tblPr>
        <w:tblW w:w="10205" w:type="dxa"/>
        <w:jc w:val="center"/>
        <w:tblInd w:w="0" w:type="dxa"/>
        <w:tblLayout w:type="fixed"/>
        <w:tblCellMar>
          <w:top w:w="28" w:type="dxa"/>
          <w:left w:w="28" w:type="dxa"/>
          <w:bottom w:w="28" w:type="dxa"/>
          <w:right w:w="28" w:type="dxa"/>
        </w:tblCellMar>
      </w:tblPr>
      <w:tblGrid>
        <w:gridCol w:w="2449"/>
        <w:gridCol w:w="2150"/>
        <w:gridCol w:w="2161"/>
        <w:gridCol w:w="109"/>
        <w:gridCol w:w="109"/>
        <w:gridCol w:w="109"/>
        <w:gridCol w:w="266"/>
        <w:gridCol w:w="976"/>
        <w:gridCol w:w="128"/>
        <w:gridCol w:w="109"/>
        <w:gridCol w:w="109"/>
        <w:gridCol w:w="109"/>
        <w:gridCol w:w="265"/>
        <w:gridCol w:w="970"/>
        <w:gridCol w:w="186"/>
      </w:tblGrid>
      <w:tr>
        <w:trPr/>
        <w:tc>
          <w:tcPr>
            <w:tcW w:w="2449"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6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6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15,385 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17,986 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Cash paid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14,387 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29,112 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Non-cash investing and financing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Operating lease right-of-use assets recognized in exchange for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15,880 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Non-cash credits for repayment of note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509 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Non-cash additions to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Non-cash additions to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Garamond;serif" w:hAnsi="Garamond;serif"/>
          <w:b w:val="false"/>
          <w:i/>
          <w:color w:val="000000"/>
          <w:sz w:val="18"/>
        </w:rPr>
      </w:pPr>
      <w:r>
        <w:rPr>
          <w:rFonts w:ascii="Garamond;serif" w:hAnsi="Garamond;serif"/>
          <w:b w:val="false"/>
          <w:i/>
          <w:color w:val="000000"/>
          <w:sz w:val="18"/>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The Simply Good Foods Company and Subsidiaries</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Consolidated Statements of Stockholders’ Equity</w:t>
      </w:r>
    </w:p>
    <w:p>
      <w:pPr>
        <w:pStyle w:val="TextBody"/>
        <w:bidi w:val="0"/>
        <w:spacing w:lineRule="auto" w:line="288" w:before="0" w:after="0"/>
        <w:jc w:val="center"/>
        <w:rPr>
          <w:rFonts w:ascii="Garamond;serif" w:hAnsi="Garamond;serif"/>
          <w:b w:val="false"/>
          <w:i/>
          <w:color w:val="000000"/>
          <w:sz w:val="20"/>
        </w:rPr>
      </w:pPr>
      <w:r>
        <w:rPr>
          <w:rFonts w:ascii="Garamond;serif" w:hAnsi="Garamond;serif"/>
          <w:b w:val="false"/>
          <w:i/>
          <w:color w:val="000000"/>
          <w:sz w:val="20"/>
        </w:rPr>
        <w:t>(Unaudited, dollars in thousands, except share data)</w:t>
      </w:r>
    </w:p>
    <w:tbl>
      <w:tblPr>
        <w:tblW w:w="15232" w:type="dxa"/>
        <w:jc w:val="center"/>
        <w:tblInd w:w="0" w:type="dxa"/>
        <w:tblLayout w:type="fixed"/>
        <w:tblCellMar>
          <w:top w:w="28" w:type="dxa"/>
          <w:left w:w="28" w:type="dxa"/>
          <w:bottom w:w="28" w:type="dxa"/>
          <w:right w:w="28" w:type="dxa"/>
        </w:tblCellMar>
      </w:tblPr>
      <w:tblGrid>
        <w:gridCol w:w="850"/>
        <w:gridCol w:w="272"/>
        <w:gridCol w:w="274"/>
        <w:gridCol w:w="109"/>
        <w:gridCol w:w="109"/>
        <w:gridCol w:w="109"/>
        <w:gridCol w:w="683"/>
        <w:gridCol w:w="683"/>
        <w:gridCol w:w="246"/>
        <w:gridCol w:w="109"/>
        <w:gridCol w:w="109"/>
        <w:gridCol w:w="109"/>
        <w:gridCol w:w="226"/>
        <w:gridCol w:w="706"/>
        <w:gridCol w:w="109"/>
        <w:gridCol w:w="109"/>
        <w:gridCol w:w="109"/>
        <w:gridCol w:w="109"/>
        <w:gridCol w:w="623"/>
        <w:gridCol w:w="623"/>
        <w:gridCol w:w="246"/>
        <w:gridCol w:w="109"/>
        <w:gridCol w:w="109"/>
        <w:gridCol w:w="109"/>
        <w:gridCol w:w="226"/>
        <w:gridCol w:w="961"/>
        <w:gridCol w:w="109"/>
        <w:gridCol w:w="109"/>
        <w:gridCol w:w="109"/>
        <w:gridCol w:w="109"/>
        <w:gridCol w:w="226"/>
        <w:gridCol w:w="1126"/>
        <w:gridCol w:w="109"/>
        <w:gridCol w:w="109"/>
        <w:gridCol w:w="109"/>
        <w:gridCol w:w="109"/>
        <w:gridCol w:w="226"/>
        <w:gridCol w:w="946"/>
        <w:gridCol w:w="109"/>
        <w:gridCol w:w="109"/>
        <w:gridCol w:w="109"/>
        <w:gridCol w:w="109"/>
        <w:gridCol w:w="327"/>
        <w:gridCol w:w="1045"/>
        <w:gridCol w:w="159"/>
        <w:gridCol w:w="109"/>
        <w:gridCol w:w="109"/>
        <w:gridCol w:w="109"/>
        <w:gridCol w:w="226"/>
        <w:gridCol w:w="1126"/>
        <w:gridCol w:w="154"/>
      </w:tblGrid>
      <w:tr>
        <w:trPr/>
        <w:tc>
          <w:tcPr>
            <w:tcW w:w="8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Total</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Balance at August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103,688,071 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3,957,571 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(129,337)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1,346,687 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590,879 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(2,433)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1,806,833 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25,269 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25,269 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4,983,514 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(100,689)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Shares issued upon vesting of restricted stock units and performance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164,184 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Exercise of options to purchase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88,000 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Balance at November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103,940,255 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8,941,085 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(230,026)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1,349,610 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616,148 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(2,655)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1,734,116 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(159,698)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(159,698)</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4,606,990 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(89,371)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(89,371)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Shares issued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92,920 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Balance at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104,033,175 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13,548,075 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(319,397)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1,353,320 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456,450 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(1,588)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1,489,825 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(51,972)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(51,972)</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2,061,263 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(25,273)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(25,273)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Shares issued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17,370 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Balance at 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104,050,545 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15,609,338 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(344,670)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1,358,758 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404,478 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(1,487)</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1,418,120 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tbl>
      <w:tblPr>
        <w:tblW w:w="15221" w:type="dxa"/>
        <w:jc w:val="center"/>
        <w:tblInd w:w="0" w:type="dxa"/>
        <w:tblLayout w:type="fixed"/>
        <w:tblCellMar>
          <w:top w:w="28" w:type="dxa"/>
          <w:left w:w="28" w:type="dxa"/>
          <w:bottom w:w="28" w:type="dxa"/>
          <w:right w:w="28" w:type="dxa"/>
        </w:tblCellMar>
      </w:tblPr>
      <w:tblGrid>
        <w:gridCol w:w="850"/>
        <w:gridCol w:w="272"/>
        <w:gridCol w:w="274"/>
        <w:gridCol w:w="109"/>
        <w:gridCol w:w="109"/>
        <w:gridCol w:w="109"/>
        <w:gridCol w:w="683"/>
        <w:gridCol w:w="683"/>
        <w:gridCol w:w="246"/>
        <w:gridCol w:w="109"/>
        <w:gridCol w:w="109"/>
        <w:gridCol w:w="109"/>
        <w:gridCol w:w="226"/>
        <w:gridCol w:w="706"/>
        <w:gridCol w:w="109"/>
        <w:gridCol w:w="109"/>
        <w:gridCol w:w="109"/>
        <w:gridCol w:w="109"/>
        <w:gridCol w:w="563"/>
        <w:gridCol w:w="563"/>
        <w:gridCol w:w="246"/>
        <w:gridCol w:w="109"/>
        <w:gridCol w:w="109"/>
        <w:gridCol w:w="109"/>
        <w:gridCol w:w="226"/>
        <w:gridCol w:w="961"/>
        <w:gridCol w:w="109"/>
        <w:gridCol w:w="109"/>
        <w:gridCol w:w="109"/>
        <w:gridCol w:w="109"/>
        <w:gridCol w:w="226"/>
        <w:gridCol w:w="1126"/>
        <w:gridCol w:w="109"/>
        <w:gridCol w:w="109"/>
        <w:gridCol w:w="109"/>
        <w:gridCol w:w="109"/>
        <w:gridCol w:w="226"/>
        <w:gridCol w:w="946"/>
        <w:gridCol w:w="109"/>
        <w:gridCol w:w="109"/>
        <w:gridCol w:w="109"/>
        <w:gridCol w:w="109"/>
        <w:gridCol w:w="327"/>
        <w:gridCol w:w="1045"/>
        <w:gridCol w:w="159"/>
        <w:gridCol w:w="109"/>
        <w:gridCol w:w="109"/>
        <w:gridCol w:w="109"/>
        <w:gridCol w:w="226"/>
        <w:gridCol w:w="1126"/>
        <w:gridCol w:w="109"/>
        <w:gridCol w:w="154"/>
      </w:tblGrid>
      <w:tr>
        <w:trPr/>
        <w:tc>
          <w:tcPr>
            <w:tcW w:w="8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Balance at August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102,515,315 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2,365,100 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(78,451)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1,319,686 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487,265 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(2,039)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1,727,486 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38,122 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38,122 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(387)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Shares issued upon vesting of restricted stock units and performance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164,093 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Exercise of options to purchase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713,751 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Balance at November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103,393,159 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2,365,100 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(78,451)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1,331,000 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525,387 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(2,426)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1,776,544 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36,747 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36,747 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Shares issued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18,229 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Exercise of options to purchase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3,914 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Balance at March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103,415,302 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2,365,100 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(78,451)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1,335,892 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562,134 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(2,852)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1,817,757 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41,102 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41,102 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693,375 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Shares issued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17,400 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Exercise of options to purchase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151,000 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Balance at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103,583,702 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3,058,475 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(102,789)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1,342,011 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603,236 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10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(2,543)</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Garamond;serif" w:hAnsi="Garamond;serif"/>
                <w:b w:val="false"/>
                <w:color w:val="000000"/>
                <w:sz w:val="18"/>
              </w:rPr>
            </w:pPr>
            <w:r>
              <w:rPr>
                <w:rFonts w:ascii="Garamond;serif" w:hAnsi="Garamond;serif"/>
                <w:b w:val="false"/>
                <w:color w:val="000000"/>
                <w:sz w:val="18"/>
              </w:rPr>
              <w:t>1,840,951 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center"/>
        <w:rPr>
          <w:rFonts w:ascii="Garamond;serif" w:hAnsi="Garamond;serif"/>
          <w:b w:val="false"/>
          <w:i/>
          <w:color w:val="000000"/>
          <w:sz w:val="18"/>
        </w:rPr>
      </w:pPr>
      <w:r>
        <w:rPr>
          <w:rFonts w:ascii="Garamond;serif" w:hAnsi="Garamond;serif"/>
          <w:b w:val="false"/>
          <w:i/>
          <w:color w:val="000000"/>
          <w:sz w:val="18"/>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Notes to Unaudited Consolidated Financial Statements</w:t>
      </w:r>
    </w:p>
    <w:p>
      <w:pPr>
        <w:pStyle w:val="TextBody"/>
        <w:bidi w:val="0"/>
        <w:spacing w:lineRule="auto" w:line="288" w:before="0" w:after="0"/>
        <w:jc w:val="center"/>
        <w:rPr>
          <w:rFonts w:ascii="Garamond;serif" w:hAnsi="Garamond;serif"/>
          <w:b w:val="false"/>
          <w:i/>
          <w:color w:val="000000"/>
          <w:sz w:val="20"/>
        </w:rPr>
      </w:pPr>
      <w:r>
        <w:rPr>
          <w:rFonts w:ascii="Garamond;serif" w:hAnsi="Garamond;serif"/>
          <w:b w:val="false"/>
          <w:i/>
          <w:color w:val="000000"/>
          <w:sz w:val="20"/>
        </w:rPr>
        <w:t>(Unaudited, dollars in thousands, except for share and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1. Nature of Operations and Principles of Consolidation</w:t>
      </w:r>
    </w:p>
    <w:p>
      <w:pPr>
        <w:pStyle w:val="TextBody"/>
        <w:bidi w:val="0"/>
        <w:spacing w:before="0" w:after="0"/>
        <w:jc w:val="both"/>
        <w:rPr/>
      </w:pPr>
      <w:r>
        <w:rPr/>
      </w:r>
    </w:p>
    <w:p>
      <w:pPr>
        <w:pStyle w:val="TextBody"/>
        <w:bidi w:val="0"/>
        <w:spacing w:lineRule="auto" w:line="288" w:before="0" w:after="0"/>
        <w:ind w:left="0" w:right="0" w:hanging="180"/>
        <w:jc w:val="both"/>
        <w:rPr>
          <w:rFonts w:ascii="Garamond;serif" w:hAnsi="Garamond;serif"/>
          <w:b/>
          <w:i/>
          <w:color w:val="000000"/>
          <w:sz w:val="20"/>
        </w:rPr>
      </w:pPr>
      <w:r>
        <w:rPr>
          <w:rFonts w:ascii="Garamond;serif" w:hAnsi="Garamond;serif"/>
          <w:b/>
          <w:i/>
          <w:color w:val="000000"/>
          <w:sz w:val="20"/>
        </w:rPr>
        <w:t>Description of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Simply Good Foods Company (“Simply Good Foods” or the “Company”), headquartered in Denver, Colorado, is a consumer packaged food and beverage company with ambitious goals to raise the bar on what food can be with trusted brands and innovative nutritious snacking products. Within our portfolio of trusted brands (Quest, Atkins, and OWYN), we offer a wide variety of nutritional snacks and beverages, including high protein chips, bars, ready-to-drink (RTD) shakes, and powders, and low sugar, low carb sweets and baked goods. We are a leader of the nutritious snacking movement, poised to expand our healthy lifestyle platform through innovation-driven organic growth and external investment opportunities.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that also limit sugars and simple carbohydrates.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common stock of Simply Good Foods is listed on the Nasdaq Capital Market under the symbol “SMPL.”</w:t>
      </w:r>
    </w:p>
    <w:p>
      <w:pPr>
        <w:pStyle w:val="TextBody"/>
        <w:bidi w:val="0"/>
        <w:spacing w:before="0" w:after="0"/>
        <w:jc w:val="both"/>
        <w:rPr/>
      </w:pPr>
      <w:r>
        <w:rPr/>
      </w:r>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Unaudited Interim Consolidated Financial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unaudited interim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 In context, “Quest” may also refer to the Quest brand, “Atkins” may also refer to the Atkins brand, and “OWYN” may also refer to the OWYN brand. Atkins, Atkins Endulge, Quest, OWYN, and the Simply Good logo are either registered trademarks or trademarks of the Company’s wholly owned subsidiary Simply Good Foods USA, Inc. or one of its affiliates in the United States and elsewhere. All rights are reserved.</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 xml:space="preserve">The Company maintains its accounting records on a 52/53-week fiscal year, ending on the last Saturday in August. </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interim consolidated financial statements and related notes of the Company and its subsidiaries are unaudited. The unaudited interim consolidated financial statements have been prepared in accordance with U.S. Generally Accepted Accounting Principles (“GAAP”) and the rules and regulations of the Securities and Exchange Commission (the “SEC”). The unaudited interim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consolidated financial statements are not necessarily indicative of the results that may be reported for the entire fiscal year and should be read in conjunction with the Company’s consolidated financial statements for the fiscal year ended August 30, 2025, included in the Company’s Annual Report on Form 10-K (“Annual Report”) filed with the SEC on October 28,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0" w:after="0"/>
        <w:jc w:val="both"/>
        <w:rPr>
          <w:rFonts w:ascii="Garamond;serif" w:hAnsi="Garamond;serif"/>
          <w:b/>
          <w:color w:val="000000"/>
          <w:sz w:val="20"/>
        </w:rPr>
      </w:pPr>
      <w:r>
        <w:rPr>
          <w:rFonts w:ascii="Garamond;serif" w:hAnsi="Garamond;serif"/>
          <w:b/>
          <w:color w:val="000000"/>
          <w:sz w:val="20"/>
        </w:rPr>
        <w:t>2. Summary of Significant Accounting Policies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val="false"/>
          <w:color w:val="000000"/>
          <w:sz w:val="20"/>
        </w:rPr>
        <w:t>Refer to Note 2,</w:t>
      </w:r>
      <w:r>
        <w:rPr>
          <w:color w:val="000000"/>
        </w:rPr>
        <w:t xml:space="preserve"> </w:t>
      </w:r>
      <w:r>
        <w:rPr>
          <w:rFonts w:ascii="Garamond;serif" w:hAnsi="Garamond;serif"/>
          <w:b w:val="false"/>
          <w:i/>
          <w:color w:val="000000"/>
          <w:sz w:val="20"/>
        </w:rPr>
        <w:t>Summary of Significant Accounting Policies</w:t>
      </w:r>
      <w:r>
        <w:rPr>
          <w:rFonts w:ascii="Garamond;serif" w:hAnsi="Garamond;serif"/>
          <w:b w:val="false"/>
          <w:color w:val="000000"/>
          <w:sz w:val="20"/>
        </w:rPr>
        <w:t>, to the consolidated financial statements included in the Annual Report for a description of significant accounting policies.</w:t>
      </w:r>
    </w:p>
    <w:p>
      <w:pPr>
        <w:pStyle w:val="TextBody"/>
        <w:bidi w:val="0"/>
        <w:spacing w:before="0" w:after="0"/>
        <w:ind w:left="0" w:right="0" w:firstLine="720"/>
        <w:jc w:val="both"/>
        <w:rPr/>
      </w:pPr>
      <w:r>
        <w:rPr/>
      </w:r>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Recently Issued and Adopted Accounting Pronouncements</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i/>
          <w:color w:val="000000"/>
          <w:sz w:val="20"/>
        </w:rPr>
      </w:pPr>
      <w:r>
        <w:rPr>
          <w:rFonts w:ascii="Garamond;serif" w:hAnsi="Garamond;serif"/>
          <w:b w:val="false"/>
          <w:i/>
          <w:color w:val="000000"/>
          <w:sz w:val="20"/>
        </w:rPr>
        <w:t>Recently Issued Accounting Pronouncements Not Yet Adopted</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 xml:space="preserve">In December 2023, the FASB issued ASU No. 2023-09, Income Taxes (Topic 740), Improvements to Income Tax Disclosures (“ASU 2023-09”), which updates disclosures required in the footnotes to the financial statements to further aid investors in understanding how to analyze income tax reporting. The amendments are effective for fiscal years beginning after December 15, 2024. Early adoption is permitted for annual financial statements that have not yet been issued or made available. The amendments should be applied on a prospective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however, retrospective application is permitted. The Company is currently evaluating the provisions of the amendments and the effect on its future consolidated financial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In November 2024, the FASB issued ASU No. 2024-03, Income Statement - Reporting Comprehensive Income - Expense Disaggregation Disclosures (Subtopic 220-40): Disaggregation of Income Statement Expenses (“ASU 2024-03”), which will improve the disclosures about a public business entity’s expenses and address requests from investors for more detailed information about the types of expenses in commonly presented expense captions such as cost of sales, SG&amp;A, and R&amp;D. The amendments are effective for fiscal years beginning after December 15, 2026, and for interim periods within fiscal years beginning after December 15, 2027. Early adoption is permitted for annual financial statements that have not yet been issued or made available. The amendments should be applied on either (1) prospectively to financial statements issued for reporting periods after the effective date, or (2) retrospectively to any or all prior periods presented in the financial statements. The Company is currently evaluating the provisions of the amendments and the effect on its future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In September 2025, the FASB issued ASU No. 2025-06, Intangibles - Goodwill and Other - Internal Use Software (“ASU 2025-06”), which will improve disclosures surrounding internal-use software and the timing of capitalization when companies use the incremental and iterative development method. The amendments are effective for fiscal years beginning after December 15, 2027, and for interim periods within those fiscal years. Early adoption is permitted. The amendments should be applied through (1) a prospective transition approach, (2) a retrospective transition approach, or (3) a modified transition approach that is based on the status of the project and whether software costs were capitalized before the date of adoption. The Company is currently evaluating the provisions of the amendments and the effect on its future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In December 2025, the FASB issued ASU No. 2025-11, Interim Reporting (Topic 270): Narrow-Scope Improvements (“ASU 2025-11”), which improves the navigability of required interim disclosures, clarifies interim disclosure requirements, and requires entities to disclose events since the end of the last annual reporting period that have had a material effect on the entity. The amendments are effective for interim periods within annual reporting periods beginning after December 15, 2027. Early adoption is permitted. The amendments can be applied either (1) prospectively, or (2) retrospectively to any or all periods presented in the financial statements. The Company is currently evaluating the provisions of the amendments and the effect on its future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No other new accounting pronouncement issued or effective during the fiscal year had or is expected to have a material effect on the Company’s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3. Revenue Recognition</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Revenue from transactions with external customers for each of the Company’s products would be impracticable to disclose and management does not view its business by product line. The following is a summary of revenue disaggregated by geographic area and brands:</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820"/>
        <w:gridCol w:w="512"/>
        <w:gridCol w:w="516"/>
        <w:gridCol w:w="131"/>
        <w:gridCol w:w="131"/>
        <w:gridCol w:w="131"/>
        <w:gridCol w:w="280"/>
        <w:gridCol w:w="1173"/>
        <w:gridCol w:w="135"/>
        <w:gridCol w:w="131"/>
        <w:gridCol w:w="131"/>
        <w:gridCol w:w="131"/>
        <w:gridCol w:w="280"/>
        <w:gridCol w:w="1173"/>
        <w:gridCol w:w="135"/>
        <w:gridCol w:w="131"/>
        <w:gridCol w:w="131"/>
        <w:gridCol w:w="131"/>
        <w:gridCol w:w="273"/>
        <w:gridCol w:w="1363"/>
        <w:gridCol w:w="131"/>
        <w:gridCol w:w="131"/>
        <w:gridCol w:w="131"/>
        <w:gridCol w:w="131"/>
        <w:gridCol w:w="273"/>
        <w:gridCol w:w="1363"/>
        <w:gridCol w:w="206"/>
      </w:tblGrid>
      <w:tr>
        <w:trPr/>
        <w:tc>
          <w:tcPr>
            <w:tcW w:w="82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Thirteen Weeks Ended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1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 xml:space="preserve">North America </w:t>
            </w:r>
            <w:r>
              <w:rPr>
                <w:rFonts w:ascii="Garamond;serif" w:hAnsi="Garamond;serif"/>
                <w:b w:val="false"/>
                <w:color w:val="000000"/>
                <w:sz w:val="12"/>
              </w:rPr>
              <w:t>(1)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Atkins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84,649 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112,287 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254,636 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329,105 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Quest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230,260 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227,737 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652,045 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630,445 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OWYN</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34,774 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33,551 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94,091 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99,611 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North America</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349,683 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373,575 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1,000,772 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1,059,161 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International</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7,300 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7,381 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22,422 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22,718 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net sales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356,983 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380,956 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1,023,194 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1,081,879 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60" w:after="283"/>
              <w:ind w:left="0" w:right="0" w:hanging="90"/>
              <w:jc w:val="both"/>
              <w:rPr/>
            </w:pPr>
            <w:r>
              <w:rPr>
                <w:rFonts w:ascii="Garamond;serif" w:hAnsi="Garamond;serif"/>
                <w:b w:val="false"/>
                <w:color w:val="000000"/>
                <w:sz w:val="12"/>
              </w:rPr>
              <w:t xml:space="preserve">(1) </w:t>
            </w:r>
            <w:r>
              <w:rPr>
                <w:rFonts w:ascii="Garamond;serif" w:hAnsi="Garamond;serif"/>
                <w:b w:val="false"/>
                <w:color w:val="000000"/>
                <w:sz w:val="18"/>
              </w:rPr>
              <w:t>The North America geographic area consists of net sales substantially related to the United States and there is no individual foreign country to which more than 10% of the Company’s net sales are attributed or that is otherwise deemed individually material.</w:t>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Charges related to credit losses on accounts receivable from transactions with external customers were immaterial for the thirteen and thirty-nine weeks ended May 30, 2026. Charges related to credit losses on accounts receivable from transactions with external customers were $0.1 million and $0.2 million for the thirteen and thirty-nine weeks ended May 31, 2025, respectively. As of both May 30, 2026, and August 30, 2025, the allowance for credit losses related to accounts receivable were $0.9 million.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4. Goodwill and Intangibles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val="false"/>
          <w:color w:val="000000"/>
          <w:sz w:val="20"/>
        </w:rPr>
        <w:t xml:space="preserve">Changes to </w:t>
      </w:r>
      <w:r>
        <w:rPr>
          <w:rFonts w:ascii="Garamond;serif" w:hAnsi="Garamond;serif"/>
          <w:b w:val="false"/>
          <w:i/>
          <w:color w:val="000000"/>
          <w:sz w:val="20"/>
        </w:rPr>
        <w:t>Goodwill</w:t>
      </w:r>
      <w:r>
        <w:rPr>
          <w:color w:val="000000"/>
        </w:rPr>
        <w:t xml:space="preserve"> </w:t>
      </w:r>
      <w:r>
        <w:rPr>
          <w:rFonts w:ascii="Garamond;serif" w:hAnsi="Garamond;serif"/>
          <w:b w:val="false"/>
          <w:color w:val="000000"/>
          <w:sz w:val="20"/>
        </w:rPr>
        <w:t>during the thirty-nine weeks ended May 30, 2026, were as follows:</w:t>
      </w:r>
    </w:p>
    <w:p>
      <w:pPr>
        <w:pStyle w:val="TextBody"/>
        <w:bidi w:val="0"/>
        <w:spacing w:before="0" w:after="0"/>
        <w:ind w:left="0" w:right="0" w:firstLine="720"/>
        <w:jc w:val="both"/>
        <w:rPr/>
      </w:pPr>
      <w:r>
        <w:rPr/>
      </w:r>
    </w:p>
    <w:tbl>
      <w:tblPr>
        <w:tblW w:w="4607" w:type="dxa"/>
        <w:jc w:val="center"/>
        <w:tblInd w:w="0" w:type="dxa"/>
        <w:tblLayout w:type="fixed"/>
        <w:tblCellMar>
          <w:top w:w="28" w:type="dxa"/>
          <w:left w:w="28" w:type="dxa"/>
          <w:bottom w:w="28" w:type="dxa"/>
          <w:right w:w="28" w:type="dxa"/>
        </w:tblCellMar>
      </w:tblPr>
      <w:tblGrid>
        <w:gridCol w:w="1070"/>
        <w:gridCol w:w="939"/>
        <w:gridCol w:w="945"/>
        <w:gridCol w:w="109"/>
        <w:gridCol w:w="109"/>
        <w:gridCol w:w="109"/>
        <w:gridCol w:w="226"/>
        <w:gridCol w:w="94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Goodwill</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Balance as of August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589,974 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Accumulated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(38,000)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Balance as of 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551,974 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As a result of the sustained decline in the Company’s share price and declines in the Company’s market capitalization assessed during the third quarter of fiscal year 2026, the Company identified a triggering event indicating that it was more likely than not that the fair value of the goodwill reporting unit was less than its carrying amount. The Company conducted a quantitative interim goodwill assessment as of the last day of its third quarter, May 30, 2026, utilizing a weighted combination of the discounted cash flow method under the income approach and the guideline public company method under the market approach to estimate the fair value of the equity of the Company. Based on testing, the fair value was less than its carrying value, resulting in a loss on impairment of $38.0 million for goodwill during the thirteen and thirty-nine weeks ended May 30, 2026. There were no impairment charges related to goodwill during the thirty-nine weeks ended May 31, 2025.</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Garamond;serif" w:hAnsi="Garamond;serif"/>
          <w:b w:val="false"/>
          <w:i/>
          <w:color w:val="000000"/>
          <w:sz w:val="20"/>
        </w:rPr>
        <w:t>Intangible assets, net</w:t>
      </w:r>
      <w:r>
        <w:rPr>
          <w:color w:val="000000"/>
        </w:rPr>
        <w:t xml:space="preserve"> </w:t>
      </w:r>
      <w:r>
        <w:rPr>
          <w:rFonts w:ascii="Garamond;serif" w:hAnsi="Garamond;serif"/>
          <w:b w:val="false"/>
          <w:color w:val="000000"/>
          <w:sz w:val="20"/>
        </w:rPr>
        <w:t>in the Consolidated Balance Sheets consists of the following:</w:t>
      </w:r>
    </w:p>
    <w:tbl>
      <w:tblPr>
        <w:tblW w:w="10205" w:type="dxa"/>
        <w:jc w:val="center"/>
        <w:tblInd w:w="0" w:type="dxa"/>
        <w:tblLayout w:type="fixed"/>
        <w:tblCellMar>
          <w:top w:w="28" w:type="dxa"/>
          <w:left w:w="28" w:type="dxa"/>
          <w:bottom w:w="28" w:type="dxa"/>
          <w:right w:w="28" w:type="dxa"/>
        </w:tblCellMar>
      </w:tblPr>
      <w:tblGrid>
        <w:gridCol w:w="976"/>
        <w:gridCol w:w="732"/>
        <w:gridCol w:w="737"/>
        <w:gridCol w:w="109"/>
        <w:gridCol w:w="109"/>
        <w:gridCol w:w="109"/>
        <w:gridCol w:w="130"/>
        <w:gridCol w:w="130"/>
        <w:gridCol w:w="130"/>
        <w:gridCol w:w="130"/>
        <w:gridCol w:w="127"/>
        <w:gridCol w:w="127"/>
        <w:gridCol w:w="226"/>
        <w:gridCol w:w="226"/>
        <w:gridCol w:w="227"/>
        <w:gridCol w:w="109"/>
        <w:gridCol w:w="109"/>
        <w:gridCol w:w="109"/>
        <w:gridCol w:w="278"/>
        <w:gridCol w:w="1389"/>
        <w:gridCol w:w="134"/>
        <w:gridCol w:w="109"/>
        <w:gridCol w:w="109"/>
        <w:gridCol w:w="109"/>
        <w:gridCol w:w="327"/>
        <w:gridCol w:w="1370"/>
        <w:gridCol w:w="158"/>
        <w:gridCol w:w="109"/>
        <w:gridCol w:w="109"/>
        <w:gridCol w:w="109"/>
        <w:gridCol w:w="227"/>
        <w:gridCol w:w="953"/>
        <w:gridCol w:w="163"/>
      </w:tblGrid>
      <w:tr>
        <w:trPr/>
        <w:tc>
          <w:tcPr>
            <w:tcW w:w="97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Net carrying</w:t>
              <w:br/>
              <w:t>amount</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Intangible assets with indefinite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Brands and 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Indefinite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849,000 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849,000 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Intangible assets with finite lives: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194,500 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87,863 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106,637 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Licensing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16,072 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15,634 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Proprietary recipes and formulas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Software and website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w:t>
            </w:r>
          </w:p>
        </w:tc>
        <w:tc>
          <w:tcPr>
            <w:tcW w:w="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6,641 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5,833 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1,073,213 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116,330 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956,883 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79"/>
        <w:gridCol w:w="687"/>
        <w:gridCol w:w="691"/>
        <w:gridCol w:w="109"/>
        <w:gridCol w:w="109"/>
        <w:gridCol w:w="109"/>
        <w:gridCol w:w="129"/>
        <w:gridCol w:w="129"/>
        <w:gridCol w:w="129"/>
        <w:gridCol w:w="129"/>
        <w:gridCol w:w="126"/>
        <w:gridCol w:w="125"/>
        <w:gridCol w:w="224"/>
        <w:gridCol w:w="224"/>
        <w:gridCol w:w="225"/>
        <w:gridCol w:w="109"/>
        <w:gridCol w:w="109"/>
        <w:gridCol w:w="109"/>
        <w:gridCol w:w="274"/>
        <w:gridCol w:w="1369"/>
        <w:gridCol w:w="132"/>
        <w:gridCol w:w="109"/>
        <w:gridCol w:w="109"/>
        <w:gridCol w:w="109"/>
        <w:gridCol w:w="320"/>
        <w:gridCol w:w="1339"/>
        <w:gridCol w:w="154"/>
        <w:gridCol w:w="109"/>
        <w:gridCol w:w="109"/>
        <w:gridCol w:w="109"/>
        <w:gridCol w:w="226"/>
        <w:gridCol w:w="1126"/>
        <w:gridCol w:w="160"/>
      </w:tblGrid>
      <w:tr>
        <w:trPr/>
        <w:tc>
          <w:tcPr>
            <w:tcW w:w="9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30, 2025</w:t>
            </w:r>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6"/>
              </w:rPr>
            </w:pPr>
            <w:r>
              <w:rPr>
                <w:rFonts w:ascii="Garamond;serif" w:hAnsi="Garamond;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Net carrying</w:t>
              <w:br/>
              <w:t>amount</w:t>
            </w:r>
          </w:p>
        </w:tc>
      </w:tr>
      <w:tr>
        <w:trPr/>
        <w:tc>
          <w:tcPr>
            <w:tcW w:w="2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Intangible assets with indefinite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Brands and 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Indefinite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1,142,000 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1,142,000 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Intangible assets with finite lives: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194,500 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78,138 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116,362 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Licensing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16,072 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Proprietary recipes and formulas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Software and website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w:t>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6,641 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1,366,213 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104,610 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1,261,603 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Garamond;serif" w:hAnsi="Garamond;serif"/>
          <w:b w:val="false"/>
          <w:color w:val="000000"/>
          <w:sz w:val="20"/>
        </w:rPr>
        <w:t xml:space="preserve">Changes in </w:t>
      </w:r>
      <w:r>
        <w:rPr>
          <w:rFonts w:ascii="Garamond;serif" w:hAnsi="Garamond;serif"/>
          <w:b w:val="false"/>
          <w:i/>
          <w:color w:val="000000"/>
          <w:sz w:val="20"/>
        </w:rPr>
        <w:t>Intangible assets, net</w:t>
      </w:r>
      <w:r>
        <w:rPr>
          <w:color w:val="000000"/>
        </w:rPr>
        <w:t xml:space="preserve"> </w:t>
      </w:r>
      <w:r>
        <w:rPr>
          <w:rFonts w:ascii="Garamond;serif" w:hAnsi="Garamond;serif"/>
          <w:b w:val="false"/>
          <w:color w:val="000000"/>
          <w:sz w:val="20"/>
        </w:rPr>
        <w:t>during the thirty-nine weeks ended May 30, 2026, were primarily related to the impairment of both the OWYN and Atkins brands and trademarks indefinite-lived intangible assets, and recurring amortization expense. Amortization expense related to intangible assets was $3.9 million and $11.7 million for the thirteen and thirty-nine weeks ended May 30, 2026. Amortization expense related to intangible assets was $3.7 million and $11.2 million for the thirteen and thirty-nine weeks ended May 31, 2025. There were no impairment charges related to its finite-lived intangible assets during the thirty-nine weeks ended May 30, 2026, and May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 xml:space="preserve">As a result of the sustained decline in the Company’s stock price and declines in the Company’s market capitalization assessed during the third quarter of fiscal year 2026, the Company identified a triggering event indicating that it was more likely than not that the fair value of both the OWYN and Atkins brands and trademarks indefinite-lived intangible assets were less than their respective carrying amounts. The Company conducted a quantitative assessment as of the last day of its third quarter, May 30, 2026, utilizing an income approach to estimate the fair value of the intangible assets. Based on testing, the respective assets carrying values exceeded their fair values, resulting in a loss on impairment of $13.0 million for OWYN and $31.0 million for Atkins during the thirteen weeks ended May 30, 2026. Impairment charges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$200.0 million for OWYN and $93.0 million for Atkins for the thirty-nine weeks ended May 30, 2026. In addition, the Company included the Quest brand and trademark indefinite-lived intangible asset within the quantitative assessment; utilizing an income approach to estimate the fair value of the intangible asset. Based on testing, its fair value exceeded its carrying value, resulting in no impairment. There were no impairment charges related to the Company’s indefinite-lived intangible assets during the thirty-nine weeks ended May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We believe the estimates and assumptions utilized in our impairment assessments are reasonable and are comparable to those that would be used by other marketplace participants. However, actual events and results could differ substantially from those utilized in our initial valuations. Significant declines of future revenue projections or changes of other assumptions used in estimating fair values versus those utilized at the time of the initial valuations could result in impairment charges that could materially affect the consolidated financial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Estimated future amortization for each of the next five fiscal years and thereafter is as follows:</w:t>
      </w:r>
    </w:p>
    <w:p>
      <w:pPr>
        <w:pStyle w:val="TextBody"/>
        <w:bidi w:val="0"/>
        <w:spacing w:before="0" w:after="0"/>
        <w:jc w:val="both"/>
        <w:rPr/>
      </w:pPr>
      <w:r>
        <w:rPr/>
      </w:r>
    </w:p>
    <w:tbl>
      <w:tblPr>
        <w:tblW w:w="3657" w:type="dxa"/>
        <w:jc w:val="center"/>
        <w:tblInd w:w="0" w:type="dxa"/>
        <w:tblLayout w:type="fixed"/>
        <w:tblCellMar>
          <w:top w:w="28" w:type="dxa"/>
          <w:left w:w="28" w:type="dxa"/>
          <w:bottom w:w="28" w:type="dxa"/>
          <w:right w:w="28" w:type="dxa"/>
        </w:tblCellMar>
      </w:tblPr>
      <w:tblGrid>
        <w:gridCol w:w="722"/>
        <w:gridCol w:w="634"/>
        <w:gridCol w:w="638"/>
        <w:gridCol w:w="109"/>
        <w:gridCol w:w="109"/>
        <w:gridCol w:w="109"/>
        <w:gridCol w:w="227"/>
        <w:gridCol w:w="953"/>
        <w:gridCol w:w="156"/>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Amortization</w:t>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3,879 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13,575 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12,967 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12,967 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12,967 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2031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51,528 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107,883 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80"/>
        <w:jc w:val="both"/>
        <w:rPr>
          <w:rFonts w:ascii="Garamond;serif" w:hAnsi="Garamond;serif"/>
          <w:b/>
          <w:color w:val="000000"/>
          <w:sz w:val="20"/>
        </w:rPr>
      </w:pPr>
      <w:r>
        <w:rPr>
          <w:rFonts w:ascii="Garamond;serif" w:hAnsi="Garamond;serif"/>
          <w:b/>
          <w:color w:val="000000"/>
          <w:sz w:val="20"/>
        </w:rPr>
        <w:t xml:space="preserve">5. Long-Term Debt and Line of Credit </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On July 7, 2017, the Company (through certain of its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 xml:space="preserve">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 </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On January 31, 2025, the Company entered into a seventh amendment (the “2025 Repricing Amendment”) to the Credit Agreement to reduce the interest rate per annum applicable to the Initial Term Loans outstanding under the Credit Agreement immediately prior to the effective date of the 2025 Repricing Amendment.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On November 19, 2025, the Company entered into an eighth amendment (the “2026 Incremental Facility Amendment”) to the Credit Agreement to increase the principal borrowed on the Term Facility by $150.0 million and provided for an extension of the maturity date from March 17, 2027 to March 17, 2030. The 2026 Incremental Facility Amendment also provided for an extension of the stated maturity date of the Revolving Commitments and Revolving Loans (each as defined in the Credit Agreement) from December 16, 2026, to the earlier of (i) 91 days prior to the then-effective maturity date of the Term Facility and (ii) December 16, 2029. The terms of the incremental borrowing are substantially the same as the terms of the outstanding borrowings under the Term Facility. No amounts of the Term Facility were repaid as a result of the execution of the 2026 Incremental Facility Amendment.</w:t>
      </w:r>
    </w:p>
    <w:p>
      <w:pPr>
        <w:pStyle w:val="TextBody"/>
        <w:bidi w:val="0"/>
        <w:spacing w:before="0" w:after="0"/>
        <w:ind w:left="0" w:right="0" w:firstLine="720"/>
        <w:jc w:val="both"/>
        <w:rPr/>
      </w:pPr>
      <w:r>
        <w:rPr/>
      </w:r>
    </w:p>
    <w:p>
      <w:pPr>
        <w:pStyle w:val="TextBody"/>
        <w:bidi w:val="0"/>
        <w:spacing w:lineRule="auto" w:line="288" w:before="0" w:after="100"/>
        <w:ind w:left="0" w:right="0" w:firstLine="720"/>
        <w:jc w:val="both"/>
        <w:rPr>
          <w:rFonts w:ascii="Garamond;serif" w:hAnsi="Garamond;serif"/>
          <w:b w:val="false"/>
          <w:color w:val="000000"/>
          <w:sz w:val="20"/>
        </w:rPr>
      </w:pPr>
      <w:r>
        <w:rPr>
          <w:rFonts w:ascii="Garamond;serif" w:hAnsi="Garamond;serif"/>
          <w:b w:val="false"/>
          <w:color w:val="000000"/>
          <w:sz w:val="20"/>
        </w:rPr>
        <w:t>Effective as of the 2026 Incremental Facility Amendment, the interest rate per annum for the Initial Term Loans is based on either:</w:t>
      </w:r>
    </w:p>
    <w:p>
      <w:pPr>
        <w:pStyle w:val="TextBody"/>
        <w:bidi w:val="0"/>
        <w:spacing w:lineRule="auto" w:line="288" w:before="0" w:after="100"/>
        <w:ind w:left="0" w:right="0" w:hanging="360"/>
        <w:jc w:val="both"/>
        <w:rPr>
          <w:rFonts w:ascii="Garamond;serif" w:hAnsi="Garamond;serif"/>
          <w:b w:val="false"/>
          <w:color w:val="000000"/>
          <w:sz w:val="20"/>
        </w:rPr>
      </w:pPr>
      <w:r>
        <w:rPr>
          <w:rFonts w:ascii="Garamond;serif" w:hAnsi="Garamond;serif"/>
          <w:b w:val="false"/>
          <w:color w:val="000000"/>
          <w:sz w:val="20"/>
        </w:rPr>
        <w:t>i.A base rate equaling the higher of (a) the “prime rate,” (b) the federal funds effective rate plus 0.50%, or (c) the Adjusted Term SOFR Rate (as defined in the Credit Agreement) applicable for an interest period of one month plus 1.00% plus (x) 1.00% margin for the Term Loan or (y) 1.00% margin for the Revolving Credit Facility; or</w:t>
      </w:r>
    </w:p>
    <w:p>
      <w:pPr>
        <w:pStyle w:val="TextBody"/>
        <w:bidi w:val="0"/>
        <w:spacing w:lineRule="auto" w:line="288" w:before="0" w:after="0"/>
        <w:ind w:left="0" w:right="0" w:hanging="360"/>
        <w:jc w:val="both"/>
        <w:rPr>
          <w:rFonts w:ascii="Garamond;serif" w:hAnsi="Garamond;serif"/>
          <w:b w:val="false"/>
          <w:color w:val="000000"/>
          <w:sz w:val="20"/>
        </w:rPr>
      </w:pPr>
      <w:r>
        <w:rPr>
          <w:rFonts w:ascii="Garamond;serif" w:hAnsi="Garamond;serif"/>
          <w:b w:val="false"/>
          <w:color w:val="000000"/>
          <w:sz w:val="20"/>
        </w:rPr>
        <w:t>ii.SOFR, subject to a floor of 0.00%, plus (x) 2.00% margin for the Term Loan or (y) 2.00% margin for the Revolving Credit Facility.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val="false"/>
          <w:color w:val="000000"/>
          <w:sz w:val="20"/>
        </w:rPr>
        <w:t xml:space="preserve">In connection with the closing of the 2026 Incremental Facility Amendment, the Company expensed $2.7 million of non-deferrable third-party costs through </w:t>
      </w:r>
      <w:r>
        <w:rPr>
          <w:rFonts w:ascii="Garamond;serif" w:hAnsi="Garamond;serif"/>
          <w:b w:val="false"/>
          <w:i/>
          <w:color w:val="000000"/>
          <w:sz w:val="20"/>
        </w:rPr>
        <w:t xml:space="preserve">General and administrative </w:t>
      </w:r>
      <w:r>
        <w:rPr>
          <w:rFonts w:ascii="Garamond;serif" w:hAnsi="Garamond;serif"/>
          <w:b w:val="false"/>
          <w:color w:val="000000"/>
          <w:sz w:val="20"/>
        </w:rPr>
        <w:t>within the</w:t>
      </w:r>
      <w:r>
        <w:rPr>
          <w:color w:val="000000"/>
        </w:rPr>
        <w:t xml:space="preserve"> </w:t>
      </w:r>
      <w:r>
        <w:rPr>
          <w:rFonts w:ascii="Garamond;serif" w:hAnsi="Garamond;serif"/>
          <w:b w:val="false"/>
          <w:color w:val="000000"/>
          <w:sz w:val="20"/>
        </w:rPr>
        <w:t>Consolidated Statements of Operations and Comprehensive Income (Loss) and capitalized $2.6 million of upfront lender fees (original issue discount) and third-party financing costs.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are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covenants as of May 30, 2026, and August 30, 2025,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Long-term debt consists of the following:</w:t>
      </w:r>
    </w:p>
    <w:tbl>
      <w:tblPr>
        <w:tblW w:w="8887" w:type="dxa"/>
        <w:jc w:val="center"/>
        <w:tblInd w:w="0" w:type="dxa"/>
        <w:tblLayout w:type="fixed"/>
        <w:tblCellMar>
          <w:top w:w="28" w:type="dxa"/>
          <w:left w:w="28" w:type="dxa"/>
          <w:bottom w:w="28" w:type="dxa"/>
          <w:right w:w="28" w:type="dxa"/>
        </w:tblCellMar>
      </w:tblPr>
      <w:tblGrid>
        <w:gridCol w:w="1858"/>
        <w:gridCol w:w="1631"/>
        <w:gridCol w:w="1641"/>
        <w:gridCol w:w="109"/>
        <w:gridCol w:w="109"/>
        <w:gridCol w:w="109"/>
        <w:gridCol w:w="246"/>
        <w:gridCol w:w="1030"/>
        <w:gridCol w:w="118"/>
        <w:gridCol w:w="109"/>
        <w:gridCol w:w="109"/>
        <w:gridCol w:w="109"/>
        <w:gridCol w:w="291"/>
        <w:gridCol w:w="1220"/>
        <w:gridCol w:w="198"/>
      </w:tblGrid>
      <w:tr>
        <w:trPr/>
        <w:tc>
          <w:tcPr>
            <w:tcW w:w="1858"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30, 2025</w:t>
            </w:r>
          </w:p>
        </w:tc>
      </w:tr>
      <w:tr>
        <w:trPr/>
        <w:tc>
          <w:tcPr>
            <w:tcW w:w="5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Term Facility (effective rate of 5.7% at 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400,000 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250,000 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Less: Deferred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(2,963)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(934)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Long-term debt, net of deferred 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397,037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4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249,066</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Company is not required to make principal payments on the Term Facility over the twelve months following the period ended May 30, 2026. The outstanding balance of the Term Facility is due upon its maturity in March 2030.</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As of May 30, 2026, the Company had letters of credit in the amount of $1.1 million outstanding. These letters of credit offset against the $75.0 million availability of the Revolving Credit Facility and exist to support two of the Company’s leased buildings. No amounts were drawn against these letters of credit as of May 30, 2026.</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May 30, 2026, and August 30, 2025, the book value of the Company’s debt approximated fair value. The estimated fair value of the Term Loan is valued based on observable inputs and classified as Level 2 in the fair value hierarchy.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p>
      <w:pPr>
        <w:pStyle w:val="TextBody"/>
        <w:bidi w:val="0"/>
        <w:spacing w:lineRule="auto" w:line="288" w:before="0" w:after="0"/>
        <w:ind w:left="0" w:right="0" w:hanging="180"/>
        <w:jc w:val="both"/>
        <w:rPr>
          <w:rFonts w:ascii="Garamond;serif" w:hAnsi="Garamond;serif"/>
          <w:b/>
          <w:color w:val="000000"/>
          <w:sz w:val="20"/>
        </w:rPr>
      </w:pPr>
      <w:r>
        <w:rPr>
          <w:rFonts w:ascii="Garamond;serif" w:hAnsi="Garamond;serif"/>
          <w:b/>
          <w:color w:val="000000"/>
          <w:sz w:val="20"/>
        </w:rPr>
        <w:t xml:space="preserve">6. Fair Value of Financial Instruments </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pStyle w:val="TextBody"/>
        <w:bidi w:val="0"/>
        <w:spacing w:lineRule="auto" w:line="288" w:before="0" w:after="120"/>
        <w:jc w:val="both"/>
        <w:rPr>
          <w:rFonts w:ascii="Garamond;serif" w:hAnsi="Garamond;serif"/>
          <w:b w:val="false"/>
          <w:color w:val="000000"/>
          <w:sz w:val="20"/>
        </w:rPr>
      </w:pPr>
      <w:r>
        <w:rPr>
          <w:rFonts w:ascii="Garamond;serif" w:hAnsi="Garamond;serif"/>
          <w:b w:val="false"/>
          <w:color w:val="000000"/>
          <w:sz w:val="20"/>
        </w:rPr>
        <w:t>Level 1 – Valuations based on quoted prices for identical assets and liabilities in active markets.</w:t>
      </w:r>
    </w:p>
    <w:p>
      <w:pPr>
        <w:pStyle w:val="TextBody"/>
        <w:bidi w:val="0"/>
        <w:spacing w:lineRule="auto" w:line="288" w:before="0" w:after="120"/>
        <w:jc w:val="both"/>
        <w:rPr>
          <w:rFonts w:ascii="Garamond;serif" w:hAnsi="Garamond;serif"/>
          <w:b w:val="false"/>
          <w:color w:val="000000"/>
          <w:sz w:val="20"/>
        </w:rPr>
      </w:pPr>
      <w:r>
        <w:rPr>
          <w:rFonts w:ascii="Garamond;serif" w:hAnsi="Garamond;serif"/>
          <w:b w:val="false"/>
          <w:color w:val="000000"/>
          <w:sz w:val="20"/>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Level 3 – Valuations based on unobservable inputs reflecting the Company’s own assumptions, consistent with reasonably available assumptions made by other market participants. These valuations require significant judgment.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Components of the balance sheet such as accounts receivable, cash and cash equivalents, and others approximate fair value as of May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7. 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tax expense and the effective tax rate resulting from operations were as follows:</w:t>
      </w:r>
    </w:p>
    <w:tbl>
      <w:tblPr>
        <w:tblW w:w="7094" w:type="dxa"/>
        <w:jc w:val="center"/>
        <w:tblInd w:w="0" w:type="dxa"/>
        <w:tblLayout w:type="fixed"/>
        <w:tblCellMar>
          <w:top w:w="28" w:type="dxa"/>
          <w:left w:w="28" w:type="dxa"/>
          <w:bottom w:w="28" w:type="dxa"/>
          <w:right w:w="28" w:type="dxa"/>
        </w:tblCellMar>
      </w:tblPr>
      <w:tblGrid>
        <w:gridCol w:w="1238"/>
        <w:gridCol w:w="1087"/>
        <w:gridCol w:w="1094"/>
        <w:gridCol w:w="109"/>
        <w:gridCol w:w="109"/>
        <w:gridCol w:w="109"/>
        <w:gridCol w:w="226"/>
        <w:gridCol w:w="1036"/>
        <w:gridCol w:w="271"/>
        <w:gridCol w:w="109"/>
        <w:gridCol w:w="109"/>
        <w:gridCol w:w="109"/>
        <w:gridCol w:w="226"/>
        <w:gridCol w:w="946"/>
        <w:gridCol w:w="316"/>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(239,140)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151,395 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(Benefit)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(52,739)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35,424 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 xml:space="preserve">The effective tax rate for the thirty-nine weeks ended May 30, 2026 was 1.3% lower than the effective tax rate for the thirty-nine weeks ended May 31, 2025, which was primarily driven by a tax benefit related to the wind-down of operations at the Company’s legacy Canadian subsidiary and the tax effect related to the non-deductible goodwill impairment.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8. Leases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Company generally leases office space and distribution centers in the United States through operating lease agreements. As of May 30, 2026, the Company had no finance lease agreements. Our leases have remaining lease terms up to 6 years and most include an option to renew for additional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 xml:space="preserve">The Company’s lease costs recognized in the Consolidated Statements of Operations and Comprehensive Income (Loss), respectively. </w:t>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consist of the following:</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535"/>
        <w:gridCol w:w="469"/>
        <w:gridCol w:w="472"/>
        <w:gridCol w:w="109"/>
        <w:gridCol w:w="109"/>
        <w:gridCol w:w="109"/>
        <w:gridCol w:w="939"/>
        <w:gridCol w:w="725"/>
        <w:gridCol w:w="727"/>
        <w:gridCol w:w="109"/>
        <w:gridCol w:w="109"/>
        <w:gridCol w:w="109"/>
        <w:gridCol w:w="248"/>
        <w:gridCol w:w="774"/>
        <w:gridCol w:w="119"/>
        <w:gridCol w:w="109"/>
        <w:gridCol w:w="109"/>
        <w:gridCol w:w="109"/>
        <w:gridCol w:w="248"/>
        <w:gridCol w:w="774"/>
        <w:gridCol w:w="119"/>
        <w:gridCol w:w="109"/>
        <w:gridCol w:w="109"/>
        <w:gridCol w:w="109"/>
        <w:gridCol w:w="238"/>
        <w:gridCol w:w="873"/>
        <w:gridCol w:w="115"/>
        <w:gridCol w:w="109"/>
        <w:gridCol w:w="109"/>
        <w:gridCol w:w="109"/>
        <w:gridCol w:w="246"/>
        <w:gridCol w:w="771"/>
        <w:gridCol w:w="178"/>
      </w:tblGrid>
      <w:tr>
        <w:trPr/>
        <w:tc>
          <w:tcPr>
            <w:tcW w:w="5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Statements of Operations Caption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1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Cost of goods sold and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2,504 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6,913 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6,923 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 xml:space="preserve">Variable lease cost </w:t>
            </w:r>
            <w:r>
              <w:rPr>
                <w:rFonts w:ascii="Garamond;serif" w:hAnsi="Garamond;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Cost of goods sold and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2,970 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3,332 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3,416 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10,314 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9,893 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3,332 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3,416 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10,314 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9,893 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jc w:val="left"/>
              <w:rPr/>
            </w:pPr>
            <w:r>
              <w:rPr>
                <w:rFonts w:ascii="Garamond;serif" w:hAnsi="Garamond;serif"/>
                <w:b w:val="false"/>
                <w:color w:val="000000"/>
                <w:sz w:val="12"/>
              </w:rPr>
              <w:t xml:space="preserve">(1) </w:t>
            </w:r>
            <w:r>
              <w:rPr>
                <w:rFonts w:ascii="Garamond;serif" w:hAnsi="Garamond;serif"/>
                <w:b w:val="false"/>
                <w:color w:val="000000"/>
                <w:sz w:val="18"/>
              </w:rPr>
              <w:t>Variable lease cost primarily consists of common area maintenance, such as cleaning and repairs.</w:t>
            </w:r>
          </w:p>
        </w:tc>
      </w:tr>
    </w:tbl>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right-of-use assets and corresponding liabilities related to operating are as follows: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024"/>
        <w:gridCol w:w="871"/>
        <w:gridCol w:w="877"/>
        <w:gridCol w:w="109"/>
        <w:gridCol w:w="109"/>
        <w:gridCol w:w="109"/>
        <w:gridCol w:w="1206"/>
        <w:gridCol w:w="1163"/>
        <w:gridCol w:w="1168"/>
        <w:gridCol w:w="109"/>
        <w:gridCol w:w="109"/>
        <w:gridCol w:w="109"/>
        <w:gridCol w:w="259"/>
        <w:gridCol w:w="949"/>
        <w:gridCol w:w="125"/>
        <w:gridCol w:w="109"/>
        <w:gridCol w:w="109"/>
        <w:gridCol w:w="109"/>
        <w:gridCol w:w="295"/>
        <w:gridCol w:w="1081"/>
        <w:gridCol w:w="206"/>
      </w:tblGrid>
      <w:tr>
        <w:trPr/>
        <w:tc>
          <w:tcPr>
            <w:tcW w:w="102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Balance Sheets Caption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30, 2025</w:t>
            </w:r>
          </w:p>
        </w:tc>
      </w:tr>
      <w:tr>
        <w:trPr/>
        <w:tc>
          <w:tcPr>
            <w:tcW w:w="2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39,624 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44,118 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39,624 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44,118 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7,975 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5,867 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43,452 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49,494 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51,427 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55,361 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Future maturities of lease liabilities as of May 30, 2026, were as follows:</w:t>
      </w:r>
    </w:p>
    <w:p>
      <w:pPr>
        <w:pStyle w:val="TextBody"/>
        <w:bidi w:val="0"/>
        <w:spacing w:before="0" w:after="0"/>
        <w:jc w:val="both"/>
        <w:rPr/>
      </w:pPr>
      <w:r>
        <w:rPr/>
      </w:r>
    </w:p>
    <w:tbl>
      <w:tblPr>
        <w:tblW w:w="5140" w:type="dxa"/>
        <w:jc w:val="center"/>
        <w:tblInd w:w="0" w:type="dxa"/>
        <w:tblLayout w:type="fixed"/>
        <w:tblCellMar>
          <w:top w:w="28" w:type="dxa"/>
          <w:left w:w="28" w:type="dxa"/>
          <w:bottom w:w="28" w:type="dxa"/>
          <w:right w:w="28" w:type="dxa"/>
        </w:tblCellMar>
      </w:tblPr>
      <w:tblGrid>
        <w:gridCol w:w="1102"/>
        <w:gridCol w:w="967"/>
        <w:gridCol w:w="975"/>
        <w:gridCol w:w="109"/>
        <w:gridCol w:w="109"/>
        <w:gridCol w:w="109"/>
        <w:gridCol w:w="331"/>
        <w:gridCol w:w="1212"/>
        <w:gridCol w:w="226"/>
      </w:tblGrid>
      <w:tr>
        <w:trPr/>
        <w:tc>
          <w:tcPr>
            <w:tcW w:w="110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Operating Leases</w:t>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Fiscal year 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Remainder of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2,696 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10,927 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10,388 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10,438 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10,549 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16,146 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61,144 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Less: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(9,717)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Present value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51,427 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weighted-average remaining lease terms and weighted-average discount rates for operating leases were as follows:</w:t>
      </w:r>
    </w:p>
    <w:p>
      <w:pPr>
        <w:pStyle w:val="TextBody"/>
        <w:bidi w:val="0"/>
        <w:spacing w:before="0" w:after="0"/>
        <w:jc w:val="center"/>
        <w:rPr/>
      </w:pPr>
      <w:r>
        <w:rPr/>
      </w:r>
    </w:p>
    <w:tbl>
      <w:tblPr>
        <w:tblW w:w="8528" w:type="dxa"/>
        <w:jc w:val="center"/>
        <w:tblInd w:w="0" w:type="dxa"/>
        <w:tblLayout w:type="fixed"/>
        <w:tblCellMar>
          <w:top w:w="28" w:type="dxa"/>
          <w:left w:w="28" w:type="dxa"/>
          <w:bottom w:w="28" w:type="dxa"/>
          <w:right w:w="28" w:type="dxa"/>
        </w:tblCellMar>
      </w:tblPr>
      <w:tblGrid>
        <w:gridCol w:w="1727"/>
        <w:gridCol w:w="1520"/>
        <w:gridCol w:w="1523"/>
        <w:gridCol w:w="109"/>
        <w:gridCol w:w="109"/>
        <w:gridCol w:w="109"/>
        <w:gridCol w:w="309"/>
        <w:gridCol w:w="309"/>
        <w:gridCol w:w="776"/>
        <w:gridCol w:w="109"/>
        <w:gridCol w:w="109"/>
        <w:gridCol w:w="109"/>
        <w:gridCol w:w="348"/>
        <w:gridCol w:w="348"/>
        <w:gridCol w:w="1014"/>
      </w:tblGrid>
      <w:tr>
        <w:trPr/>
        <w:tc>
          <w:tcPr>
            <w:tcW w:w="1727"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30, 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6.31</w:t>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6.0 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6.0 </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Supplemental and other information related to operating leases was as follows:</w:t>
      </w:r>
    </w:p>
    <w:p>
      <w:pPr>
        <w:pStyle w:val="TextBody"/>
        <w:bidi w:val="0"/>
        <w:spacing w:before="0" w:after="0"/>
        <w:jc w:val="both"/>
        <w:rPr/>
      </w:pPr>
      <w:r>
        <w:rPr/>
      </w:r>
    </w:p>
    <w:tbl>
      <w:tblPr>
        <w:tblW w:w="10187" w:type="dxa"/>
        <w:jc w:val="center"/>
        <w:tblInd w:w="0" w:type="dxa"/>
        <w:tblLayout w:type="fixed"/>
        <w:tblCellMar>
          <w:top w:w="28" w:type="dxa"/>
          <w:left w:w="28" w:type="dxa"/>
          <w:bottom w:w="28" w:type="dxa"/>
          <w:right w:w="28" w:type="dxa"/>
        </w:tblCellMar>
      </w:tblPr>
      <w:tblGrid>
        <w:gridCol w:w="2423"/>
        <w:gridCol w:w="2127"/>
        <w:gridCol w:w="2140"/>
        <w:gridCol w:w="109"/>
        <w:gridCol w:w="109"/>
        <w:gridCol w:w="109"/>
        <w:gridCol w:w="302"/>
        <w:gridCol w:w="947"/>
        <w:gridCol w:w="145"/>
        <w:gridCol w:w="112"/>
        <w:gridCol w:w="112"/>
        <w:gridCol w:w="112"/>
        <w:gridCol w:w="299"/>
        <w:gridCol w:w="937"/>
        <w:gridCol w:w="204"/>
      </w:tblGrid>
      <w:tr>
        <w:trPr/>
        <w:tc>
          <w:tcPr>
            <w:tcW w:w="242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6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8,185 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7,925 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80"/>
        <w:jc w:val="left"/>
        <w:rPr>
          <w:rFonts w:ascii="Garamond;serif" w:hAnsi="Garamond;serif"/>
          <w:b/>
          <w:color w:val="000000"/>
          <w:sz w:val="20"/>
        </w:rPr>
      </w:pPr>
      <w:r>
        <w:rPr>
          <w:rFonts w:ascii="Garamond;serif" w:hAnsi="Garamond;serif"/>
          <w:b/>
          <w:color w:val="000000"/>
          <w:sz w:val="20"/>
        </w:rPr>
        <w:t>9. Commitments and Contingencies</w:t>
      </w:r>
    </w:p>
    <w:p>
      <w:pPr>
        <w:pStyle w:val="TextBody"/>
        <w:bidi w:val="0"/>
        <w:spacing w:before="0" w:after="0"/>
        <w:jc w:val="both"/>
        <w:rPr/>
      </w:pPr>
      <w:r>
        <w:rPr/>
      </w:r>
    </w:p>
    <w:p>
      <w:pPr>
        <w:pStyle w:val="TextBody"/>
        <w:bidi w:val="0"/>
        <w:spacing w:lineRule="auto" w:line="288" w:before="0" w:after="0"/>
        <w:jc w:val="left"/>
        <w:rPr>
          <w:rFonts w:ascii="Garamond;serif" w:hAnsi="Garamond;serif"/>
          <w:b/>
          <w:i/>
          <w:color w:val="000000"/>
          <w:sz w:val="20"/>
        </w:rPr>
      </w:pPr>
      <w:r>
        <w:rPr>
          <w:rFonts w:ascii="Garamond;serif" w:hAnsi="Garamond;serif"/>
          <w:b/>
          <w:i/>
          <w:color w:val="000000"/>
          <w:sz w:val="20"/>
        </w:rPr>
        <w:t>Litigation</w:t>
      </w:r>
    </w:p>
    <w:p>
      <w:pPr>
        <w:pStyle w:val="TextBody"/>
        <w:bidi w:val="0"/>
        <w:spacing w:before="0" w:after="0"/>
        <w:jc w:val="left"/>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Other</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Company enters into endorsement contracts with certain celebrity figures and social media influencers to promote and endorse the Quest, Atkins, and OWYN brands and product lines. These contracts contain endorsement fees, which are expensed ratably over the life of the contract, and performance fees, that are recognized at the time of achievement. Based on the terms of contracts in place and achievement of performance conditions as of May 30, 2026, the Company will be required to make payments of $0.2 million over the next year.</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10. Stockholders’ Equity</w:t>
      </w:r>
    </w:p>
    <w:p>
      <w:pPr>
        <w:pStyle w:val="TextBody"/>
        <w:bidi w:val="0"/>
        <w:spacing w:before="0" w:after="0"/>
        <w:jc w:val="both"/>
        <w:rPr/>
      </w:pPr>
      <w:r>
        <w:rPr/>
      </w:r>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Stock Repurchase Program</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Company adopted a stock repurchase program in November 2018. On January 6, 2026, the Company announced that its Board of Directors approved a $200.0 million increase in its repurchase authorization under its stock repurchase program (the “Current Authorization”).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During the thirteen and thirty-nine weeks ended May 30, 2026, the Company repurchased 2,061,263 and 11,651,767 shares of common stock at an average price of $12.14 and $18.29 per share, respectively, inclusive of commissions and exclusive of accrued excise tax. During the thirteen and thirty-nine weeks ended May 31, 2025, the Company repurchased 693,375 shares of common stock at an average price of $35.10 per share, inclusive of commissions and exclusive of accrued excise tax. The U.S. Inflation Reduction Act of 2022 requires a 1% excise tax on the net amount of share repurchases. As of May 30, 2026, approximately $157.5 million remained available under the Current Authorization.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11. Earnings Per Share</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(i) employee stock options and (ii) non-vested restricted stock units and performance stock units (collectively, the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In periods in which the Company has a net loss, diluted loss per share is based on the basis of basic weighted average number of common shares issued and outstanding as the effect of including common stock equivalents outstanding would be anti-dilutive. As the Company was in a net loss position for the thirteen and thirty-nine weeks ended May 30, 2026, 0.1 million and 0.2 million shares of common stock issuable upon exercise of stock options and non-vested Stock Units, respectively, were excluded from the diluted earnings per share computation.</w:t>
      </w:r>
    </w:p>
    <w:p>
      <w:pPr>
        <w:pStyle w:val="TextBody"/>
        <w:bidi w:val="0"/>
        <w:spacing w:before="0" w:after="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following table reconciles the numerators and denominators used in the computations of both basic and diluted earnings per share:</w:t>
      </w:r>
    </w:p>
    <w:tbl>
      <w:tblPr>
        <w:tblW w:w="10205" w:type="dxa"/>
        <w:jc w:val="center"/>
        <w:tblInd w:w="0" w:type="dxa"/>
        <w:tblLayout w:type="fixed"/>
        <w:tblCellMar>
          <w:top w:w="28" w:type="dxa"/>
          <w:left w:w="28" w:type="dxa"/>
          <w:bottom w:w="28" w:type="dxa"/>
          <w:right w:w="28" w:type="dxa"/>
        </w:tblCellMar>
      </w:tblPr>
      <w:tblGrid>
        <w:gridCol w:w="1205"/>
        <w:gridCol w:w="964"/>
        <w:gridCol w:w="969"/>
        <w:gridCol w:w="109"/>
        <w:gridCol w:w="109"/>
        <w:gridCol w:w="109"/>
        <w:gridCol w:w="252"/>
        <w:gridCol w:w="1006"/>
        <w:gridCol w:w="114"/>
        <w:gridCol w:w="109"/>
        <w:gridCol w:w="109"/>
        <w:gridCol w:w="109"/>
        <w:gridCol w:w="293"/>
        <w:gridCol w:w="1073"/>
        <w:gridCol w:w="119"/>
        <w:gridCol w:w="109"/>
        <w:gridCol w:w="109"/>
        <w:gridCol w:w="109"/>
        <w:gridCol w:w="230"/>
        <w:gridCol w:w="1033"/>
        <w:gridCol w:w="109"/>
        <w:gridCol w:w="109"/>
        <w:gridCol w:w="109"/>
        <w:gridCol w:w="109"/>
        <w:gridCol w:w="263"/>
        <w:gridCol w:w="1103"/>
        <w:gridCol w:w="164"/>
      </w:tblGrid>
      <w:tr>
        <w:trPr/>
        <w:tc>
          <w:tcPr>
            <w:tcW w:w="120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31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3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Basic (loss) earnings per share computation: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(loss) income available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(51,972)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41,102 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(186,401)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115,971 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89,940,680 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100,923,690 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93,677,801 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100,787,087 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Basic (loss) earnings per share from 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(0.58)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0.41 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Diluted (loss) earnings per share computation: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(loss)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(51,972)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41,102 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(186,401)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115,971 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Numerator for diluted (loss)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(51,972)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41,102 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(186,401)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115,971 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89,940,680 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100,923,690 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93,677,801 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100,787,087 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Employee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548,926 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700,710 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Non-vested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162,905 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182,201 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Weighted average common shares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89,940,680 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101,635,521 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93,677,801 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101,669,998 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Diluted (loss) earnings per share from 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(0.58)</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0.40 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Diluted earnings per share calculations for the thirteen and thirty-nine week periods ended May 30, 2026, excluded 4.0 million and 2.5 million shares of common stock issuable upon exercise of stock options and non-vested Stock Units, respectively, that would have been anti-dilutive. Diluted earnings per share calculations for the thirteen and thirty-nine week periods ended May 31, 2025, excluded 0.8 million and 0.7 million shares of common stock issuable upon exercise of stock options and non-vested Stock Units, respectively, that would have been anti-dilutive.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80"/>
        <w:jc w:val="both"/>
        <w:rPr>
          <w:rFonts w:ascii="Garamond;serif" w:hAnsi="Garamond;serif"/>
          <w:b/>
          <w:color w:val="000000"/>
          <w:sz w:val="20"/>
        </w:rPr>
      </w:pPr>
      <w:r>
        <w:rPr>
          <w:rFonts w:ascii="Garamond;serif" w:hAnsi="Garamond;serif"/>
          <w:b/>
          <w:color w:val="000000"/>
          <w:sz w:val="20"/>
        </w:rPr>
        <w:t>12. Omnibus Incentive Plan</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pPr>
      <w:r>
        <w:rPr>
          <w:rFonts w:ascii="Garamond;serif" w:hAnsi="Garamond;serif"/>
          <w:b w:val="false"/>
          <w:color w:val="000000"/>
          <w:sz w:val="20"/>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Garamond;serif" w:hAnsi="Garamond;serif"/>
          <w:b w:val="false"/>
          <w:i/>
          <w:color w:val="000000"/>
          <w:sz w:val="20"/>
        </w:rPr>
        <w:t>General and administrative</w:t>
      </w:r>
      <w:r>
        <w:rPr>
          <w:color w:val="000000"/>
        </w:rPr>
        <w:t xml:space="preserve"> </w:t>
      </w:r>
      <w:r>
        <w:rPr>
          <w:rFonts w:ascii="Garamond;serif" w:hAnsi="Garamond;serif"/>
          <w:b w:val="false"/>
          <w:color w:val="000000"/>
          <w:sz w:val="20"/>
        </w:rPr>
        <w:t>expense, which is the same financial statement caption where recipient’s other compensation is reported.</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Company recorded stock-based compensation expense of $5.6 million and $4.0 million in the thirteen weeks ended May 30, 2026, and May 31, 2025, respectively, and $13.2 million and $12.8 million during the thirty-nine weeks ended May 30, 2026, and May 31, 2025, respectively. The thirty-nine weeks ended May 30, 2026 are inclusive of the recognition of $1.0 million of stock-based compensation expense in the second quarter of fiscal year 2026 in connection with the separation of the Company’s prior President and Chief Executive Officer in January 2026.</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In January 2026, the Company’s stockholders approved The Simply Good Foods Company Incentive Plan (the “Incentive Plan”), which replaced the 2017 Omnibus Incentive Plan (the “Prior Plan”). The purpose of the Incentive Plan is to assist the Company to attract, retain, and motivate officers and employees of, consultants to, and non-employee directors providing services to, the Company and to promote the success of the Company’s business by providing these participating individuals with a proprietary interest in the Company’s performance.</w:t>
      </w:r>
    </w:p>
    <w:p>
      <w:pPr>
        <w:pStyle w:val="TextBody"/>
        <w:bidi w:val="0"/>
        <w:spacing w:before="0" w:after="0"/>
        <w:ind w:left="0" w:right="0" w:firstLine="720"/>
        <w:jc w:val="both"/>
        <w:rPr/>
      </w:pPr>
      <w:r>
        <w:rPr/>
      </w:r>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President and Chief Executive Officer Stock Inducement Award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In connection with the hiring of the Company’s President and Chief Executive Officer on January 19, 2026, the Board of Directors granted a stock option exercisable for the purchase of 2,000,000 shares of the Company’s common stock at an exercise price of $20.93 per share (the “CEO Stock Option Inducement Award”). This stock option is considered an inducement grant pursuant to Nasdaq Listing Rule 5635(c)(4) whereby the underlying shares were authorized outside of the Incentive Plan and the Prior Plan in connection with the commencement of the new President and Chief Executive Officer’s employment. The CEO Stock Option Inducement Grant has a term that expires on January 19, 2034, and vests in three substantially equal installments on the anniversary of the grant date beginning January 19, 2027. The fair value of the Inducement Grant was $7.38 per share and was computed using the Black-Scholes Option Pricing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Stock Options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following table summarizes stock option activity, inclusive of the CEO Stock Option Inducement Award, for the thirty-nine weeks ended May 30, 2026:</w:t>
      </w:r>
    </w:p>
    <w:tbl>
      <w:tblPr>
        <w:tblW w:w="10205" w:type="dxa"/>
        <w:jc w:val="center"/>
        <w:tblInd w:w="0" w:type="dxa"/>
        <w:tblLayout w:type="fixed"/>
        <w:tblCellMar>
          <w:top w:w="28" w:type="dxa"/>
          <w:left w:w="28" w:type="dxa"/>
          <w:bottom w:w="28" w:type="dxa"/>
          <w:right w:w="28" w:type="dxa"/>
        </w:tblCellMar>
      </w:tblPr>
      <w:tblGrid>
        <w:gridCol w:w="1023"/>
        <w:gridCol w:w="899"/>
        <w:gridCol w:w="903"/>
        <w:gridCol w:w="109"/>
        <w:gridCol w:w="109"/>
        <w:gridCol w:w="109"/>
        <w:gridCol w:w="797"/>
        <w:gridCol w:w="598"/>
        <w:gridCol w:w="600"/>
        <w:gridCol w:w="109"/>
        <w:gridCol w:w="109"/>
        <w:gridCol w:w="109"/>
        <w:gridCol w:w="302"/>
        <w:gridCol w:w="944"/>
        <w:gridCol w:w="145"/>
        <w:gridCol w:w="109"/>
        <w:gridCol w:w="109"/>
        <w:gridCol w:w="109"/>
        <w:gridCol w:w="880"/>
        <w:gridCol w:w="880"/>
        <w:gridCol w:w="1253"/>
      </w:tblGrid>
      <w:tr>
        <w:trPr/>
        <w:tc>
          <w:tcPr>
            <w:tcW w:w="10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Shares underlying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Weighted 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Weighted average remaining contractual life (years)</w:t>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Outstanding as of August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1,476,243 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25.44 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4.61</w:t>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2,059,311 </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20.93 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(88,000)</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(17,974)</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36.32 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Outstanding as of 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3,429,580 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6.22</w:t>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Vested and expected to vest as of 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3,429,580 </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6.22</w:t>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Exercisable as of 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1,330,356 </w:t>
            </w:r>
          </w:p>
        </w:tc>
        <w:tc>
          <w:tcPr>
            <w:tcW w:w="6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25.86 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3.85</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As of May 30, 2026, the Company had $12.9 million of total unrecognized compensation cost related to stock options that will be recognized over a weighted average period of 1.6 years. During the thirty-nine weeks ended May 30, 2026, and May 31, 2025, the Company received $1.1 million and $12.0 million in cash from stock option exercises, respectively.</w:t>
      </w:r>
    </w:p>
    <w:p>
      <w:pPr>
        <w:pStyle w:val="TextBody"/>
        <w:bidi w:val="0"/>
        <w:spacing w:before="0" w:after="0"/>
        <w:ind w:left="0" w:right="0" w:firstLine="720"/>
        <w:jc w:val="both"/>
        <w:rPr/>
      </w:pPr>
      <w:r>
        <w:rPr/>
      </w:r>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Restricted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following table summarizes restricted stock unit activity for the thirty-nine weeks ended May 30, 2026:</w:t>
      </w:r>
    </w:p>
    <w:tbl>
      <w:tblPr>
        <w:tblW w:w="7305" w:type="dxa"/>
        <w:jc w:val="center"/>
        <w:tblInd w:w="0" w:type="dxa"/>
        <w:tblLayout w:type="fixed"/>
        <w:tblCellMar>
          <w:top w:w="28" w:type="dxa"/>
          <w:left w:w="28" w:type="dxa"/>
          <w:bottom w:w="28" w:type="dxa"/>
          <w:right w:w="28" w:type="dxa"/>
        </w:tblCellMar>
      </w:tblPr>
      <w:tblGrid>
        <w:gridCol w:w="1184"/>
        <w:gridCol w:w="1041"/>
        <w:gridCol w:w="1044"/>
        <w:gridCol w:w="109"/>
        <w:gridCol w:w="109"/>
        <w:gridCol w:w="109"/>
        <w:gridCol w:w="562"/>
        <w:gridCol w:w="564"/>
        <w:gridCol w:w="201"/>
        <w:gridCol w:w="109"/>
        <w:gridCol w:w="109"/>
        <w:gridCol w:w="109"/>
        <w:gridCol w:w="427"/>
        <w:gridCol w:w="1336"/>
        <w:gridCol w:w="292"/>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Weighted average</w:t>
              <w:br/>
              <w:t>grant-date fair value</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Non-vested as of August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639,015 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36.14 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904,045 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17.00 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(328,160)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32.88 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(93,600)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31.54 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Non-vested as of 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1,121,300 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22.04 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As of May 30, 2026, the Company had $16.6 million of total unrecognized compensation cost related to restricted stock units that will be recognized over a weighted average period of 2.1 years.</w:t>
      </w:r>
    </w:p>
    <w:p>
      <w:pPr>
        <w:pStyle w:val="TextBody"/>
        <w:bidi w:val="0"/>
        <w:spacing w:before="0" w:after="0"/>
        <w:jc w:val="both"/>
        <w:rPr/>
      </w:pPr>
      <w:r>
        <w:rPr/>
      </w:r>
    </w:p>
    <w:p>
      <w:pPr>
        <w:pStyle w:val="TextBody"/>
        <w:bidi w:val="0"/>
        <w:spacing w:lineRule="auto" w:line="288" w:before="0" w:after="0"/>
        <w:jc w:val="left"/>
        <w:rPr>
          <w:rFonts w:ascii="Garamond;serif" w:hAnsi="Garamond;serif"/>
          <w:b/>
          <w:i/>
          <w:color w:val="000000"/>
          <w:sz w:val="20"/>
        </w:rPr>
      </w:pPr>
      <w:r>
        <w:rPr>
          <w:rFonts w:ascii="Garamond;serif" w:hAnsi="Garamond;serif"/>
          <w:b/>
          <w:i/>
          <w:color w:val="000000"/>
          <w:sz w:val="20"/>
        </w:rPr>
        <w:t>Performance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During the thirty-nine weeks ended May 30, 2026, the Board of Directors granted performance stock units under the Company’s Incentive Plan and Prior Plan. The number of shares issuable as a result of grants of performance stock units is determined based on market-based criteria, performance-based criteria, or a combination of market-based criteria and performance-based criteria. The number of shares may be increased or decreased based on the results of these metrics in accordance with the terms established at the date of grant.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For market-based criteria awards, the Company’s relative total shareholder return, or relative TSR, is measured for the Company and each company in the Russell 3000 Food &amp; Beverage index using the immediately preceding 30-day average share price at the beginning and end of the applicable three-year performance period. The percentile rank of the Company’s TSR relative to that of the peer group determines the percent of the target award earned, ranging between 0% and 200%. The related compensation expense is recognized ratably over the term regardless of whether or not the market condition is satisfied, provided the requisite service is rendered. These units are valued using a Monte Carlo simulation.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For Company financial performance-based criteria awards, we estimate the probability that the Company’s internally established performance criteria will be achieved at each reporting period and adjust compensation expense accordingly. The performance metrics achieved determines the percent of the target award earned, ranging between 0% and 200%. These units are valued using the closing market price of the Company’s common stock on the date of grant.</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For market-based criteria and Company financial performance-based criteria awards, the Company’s TSR within the peer group and the performance metrics achieved determines the percent of the target award earned, ranging between 0% and 275%. We estimate the probability that the performance criteria will be achieved at each reporting period and adjust compensation expense accordingly. Should the performance-based criteria not be probable of being achieved, the compensation expense for the value of the award incorporating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9"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based criteria is recognized ratably over the term, provided the requisite service is rendered. These units are valued using a Monte Carlo simulation.</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following table summarizes performance stock unit activity for the thirty-nine weeks ended May 30, 2026:</w:t>
      </w:r>
    </w:p>
    <w:p>
      <w:pPr>
        <w:pStyle w:val="TextBody"/>
        <w:bidi w:val="0"/>
        <w:spacing w:before="0" w:after="0"/>
        <w:ind w:left="0" w:right="0" w:firstLine="720"/>
        <w:jc w:val="both"/>
        <w:rPr/>
      </w:pPr>
      <w:r>
        <w:rPr/>
      </w:r>
    </w:p>
    <w:tbl>
      <w:tblPr>
        <w:tblW w:w="7214" w:type="dxa"/>
        <w:jc w:val="center"/>
        <w:tblInd w:w="0" w:type="dxa"/>
        <w:tblLayout w:type="fixed"/>
        <w:tblCellMar>
          <w:top w:w="28" w:type="dxa"/>
          <w:left w:w="28" w:type="dxa"/>
          <w:bottom w:w="28" w:type="dxa"/>
          <w:right w:w="28" w:type="dxa"/>
        </w:tblCellMar>
      </w:tblPr>
      <w:tblGrid>
        <w:gridCol w:w="1184"/>
        <w:gridCol w:w="1041"/>
        <w:gridCol w:w="1044"/>
        <w:gridCol w:w="109"/>
        <w:gridCol w:w="109"/>
        <w:gridCol w:w="109"/>
        <w:gridCol w:w="517"/>
        <w:gridCol w:w="518"/>
        <w:gridCol w:w="201"/>
        <w:gridCol w:w="109"/>
        <w:gridCol w:w="109"/>
        <w:gridCol w:w="109"/>
        <w:gridCol w:w="427"/>
        <w:gridCol w:w="1336"/>
        <w:gridCol w:w="292"/>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Weighted average</w:t>
              <w:br/>
              <w:t>grant-date fair value</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Non-vested as of August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278,193 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52.66 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290,348 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23.92 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(56,651)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62.55 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(158,851)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37.37 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Non-vested as of 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353,039 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34.32 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Performance stock units are generally granted to employees as a part of the annual grant in November of the associated fiscal year, although the Board of Directors reserves the right to administer mid-year grants from time to time as they see fit. The fair value of each performance stock unit grant with a market-based TSR component is estimated on the date of grant using a Monte-Carlo simulation based on the following assumptions presented below which are associated with each year’s annual grant:</w:t>
      </w:r>
    </w:p>
    <w:p>
      <w:pPr>
        <w:pStyle w:val="TextBody"/>
        <w:bidi w:val="0"/>
        <w:spacing w:before="0" w:after="0"/>
        <w:jc w:val="both"/>
        <w:rPr/>
      </w:pPr>
      <w:r>
        <w:rPr/>
      </w:r>
    </w:p>
    <w:tbl>
      <w:tblPr>
        <w:tblW w:w="8391" w:type="dxa"/>
        <w:jc w:val="center"/>
        <w:tblInd w:w="0" w:type="dxa"/>
        <w:tblLayout w:type="fixed"/>
        <w:tblCellMar>
          <w:top w:w="28" w:type="dxa"/>
          <w:left w:w="28" w:type="dxa"/>
          <w:bottom w:w="28" w:type="dxa"/>
          <w:right w:w="28" w:type="dxa"/>
        </w:tblCellMar>
      </w:tblPr>
      <w:tblGrid>
        <w:gridCol w:w="984"/>
        <w:gridCol w:w="862"/>
        <w:gridCol w:w="868"/>
        <w:gridCol w:w="109"/>
        <w:gridCol w:w="109"/>
        <w:gridCol w:w="109"/>
        <w:gridCol w:w="829"/>
        <w:gridCol w:w="829"/>
        <w:gridCol w:w="831"/>
        <w:gridCol w:w="109"/>
        <w:gridCol w:w="109"/>
        <w:gridCol w:w="109"/>
        <w:gridCol w:w="741"/>
        <w:gridCol w:w="741"/>
        <w:gridCol w:w="1052"/>
      </w:tblGrid>
      <w:tr>
        <w:trPr/>
        <w:tc>
          <w:tcPr>
            <w:tcW w:w="98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29.96%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31.38%</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Garamond;serif" w:hAnsi="Garamond;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Garamond;serif" w:hAnsi="Garamond;serif"/>
                <w:b w:val="false"/>
                <w:color w:val="000000"/>
                <w:sz w:val="18"/>
              </w:rPr>
              <w:t>%</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Expected performance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2.93</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Risk-free rate of return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4.14%</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$22.22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$54.41</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As of May 30, 2026, the Company had $4.9 million of total unrecognized compensation cost related to performance stock units that will be recognized over an expected weighted average period of 2.0 years.</w:t>
      </w:r>
    </w:p>
    <w:p>
      <w:pPr>
        <w:pStyle w:val="TextBody"/>
        <w:bidi w:val="0"/>
        <w:spacing w:before="0" w:after="0"/>
        <w:jc w:val="both"/>
        <w:rPr/>
      </w:pPr>
      <w:r>
        <w:rPr/>
      </w:r>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Stock Appreciation Rights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Stock appreciation rights (“SARs”) permit the holder to participate in the appreciation of the Company’s common stock price and are awarded to non-employee consultants of the Company. The SARs settle in shares of its common stock once the applicable vesting criteria have been met. The SARs outstanding as of May 30, 2026, cliff vested two years from the date of grant and must be exercised within five years from the date of grant.</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following table summarizes SARs activity for the thirty-nine weeks ended May 30, 2026:</w:t>
      </w:r>
    </w:p>
    <w:p>
      <w:pPr>
        <w:pStyle w:val="TextBody"/>
        <w:bidi w:val="0"/>
        <w:spacing w:before="0" w:after="0"/>
        <w:jc w:val="center"/>
        <w:rPr/>
      </w:pPr>
      <w:r>
        <w:rPr/>
      </w:r>
    </w:p>
    <w:tbl>
      <w:tblPr>
        <w:tblW w:w="8431" w:type="dxa"/>
        <w:jc w:val="center"/>
        <w:tblInd w:w="0" w:type="dxa"/>
        <w:tblLayout w:type="fixed"/>
        <w:tblCellMar>
          <w:top w:w="28" w:type="dxa"/>
          <w:left w:w="28" w:type="dxa"/>
          <w:bottom w:w="28" w:type="dxa"/>
          <w:right w:w="28" w:type="dxa"/>
        </w:tblCellMar>
      </w:tblPr>
      <w:tblGrid>
        <w:gridCol w:w="1222"/>
        <w:gridCol w:w="1074"/>
        <w:gridCol w:w="1079"/>
        <w:gridCol w:w="109"/>
        <w:gridCol w:w="109"/>
        <w:gridCol w:w="109"/>
        <w:gridCol w:w="784"/>
        <w:gridCol w:w="784"/>
        <w:gridCol w:w="786"/>
        <w:gridCol w:w="109"/>
        <w:gridCol w:w="109"/>
        <w:gridCol w:w="109"/>
        <w:gridCol w:w="387"/>
        <w:gridCol w:w="1211"/>
        <w:gridCol w:w="187"/>
        <w:gridCol w:w="109"/>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Shares underlying SARs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Weighted average</w:t>
              <w:br/>
              <w:t>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Outstanding as of August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150,000 </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37.67 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Outstanding as of 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150,000 </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37.67 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Vested as of 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150,000 </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37.67 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Exercisable as of 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150,000 </w:t>
            </w:r>
          </w:p>
        </w:tc>
        <w:tc>
          <w:tcPr>
            <w:tcW w:w="7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37.67 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Garamond;serif" w:hAnsi="Garamond;serif"/>
          <w:b w:val="false"/>
          <w:color w:val="000000"/>
          <w:sz w:val="20"/>
        </w:rPr>
      </w:pPr>
      <w:r>
        <w:rPr>
          <w:rFonts w:ascii="Garamond;serif" w:hAnsi="Garamond;serif"/>
          <w:b w:val="false"/>
          <w:color w:val="000000"/>
          <w:sz w:val="20"/>
        </w:rPr>
        <w:t>The SARs outstanding as of the thirty-nine weeks ended May 30, 2026, are liability-classified; therefore, the related stock-based compensation expense is based on the vesting provisions and the fair value of the awards.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20"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13. Segment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As of May 30, 2026, the Company determined its operations are organized into one consolidated operating segment and reportable segment, represented by the Company’s consolidated financial statements. Previously, as of May 31, 2025, the Company’s operations were organized into two operating segments, Quest and Atkins, and OWYN, which were aggregated into one reportable segment due to similar financial, economic and operating characteristics.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Chief Operating Decision Maker (“CODM”) is the President and Chief Executive Officer (“CEO”). The CODM regularly reviews consolidated segment performance including net sales, significant expenses, net income, Adjusted EBITDA, budget to actual variance analysis, as well as other key metrics. The CODM uses net income as the measure of profitability to assess segment performance and allocate resources. The accounting policies of the segment are the same as those described in Note 2, Summary of Significant Accounting Policies.</w:t>
      </w:r>
    </w:p>
    <w:p>
      <w:pPr>
        <w:pStyle w:val="TextBody"/>
        <w:bidi w:val="0"/>
        <w:spacing w:before="0" w:after="0"/>
        <w:ind w:left="0" w:right="0" w:firstLine="72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The following table summarizes our segment net sales, significant expenses, and net income for the thirteen and thirty-nine week periods ended May 30, 2026, and May 31, 2025:</w:t>
      </w:r>
    </w:p>
    <w:tbl>
      <w:tblPr>
        <w:tblW w:w="10003" w:type="dxa"/>
        <w:jc w:val="center"/>
        <w:tblInd w:w="0" w:type="dxa"/>
        <w:tblLayout w:type="fixed"/>
        <w:tblCellMar>
          <w:top w:w="28" w:type="dxa"/>
          <w:left w:w="28" w:type="dxa"/>
          <w:bottom w:w="28" w:type="dxa"/>
          <w:right w:w="28" w:type="dxa"/>
        </w:tblCellMar>
      </w:tblPr>
      <w:tblGrid>
        <w:gridCol w:w="1066"/>
        <w:gridCol w:w="931"/>
        <w:gridCol w:w="943"/>
        <w:gridCol w:w="109"/>
        <w:gridCol w:w="109"/>
        <w:gridCol w:w="109"/>
        <w:gridCol w:w="246"/>
        <w:gridCol w:w="1030"/>
        <w:gridCol w:w="118"/>
        <w:gridCol w:w="109"/>
        <w:gridCol w:w="109"/>
        <w:gridCol w:w="109"/>
        <w:gridCol w:w="246"/>
        <w:gridCol w:w="1030"/>
        <w:gridCol w:w="118"/>
        <w:gridCol w:w="109"/>
        <w:gridCol w:w="109"/>
        <w:gridCol w:w="109"/>
        <w:gridCol w:w="226"/>
        <w:gridCol w:w="1126"/>
        <w:gridCol w:w="109"/>
        <w:gridCol w:w="109"/>
        <w:gridCol w:w="109"/>
        <w:gridCol w:w="109"/>
        <w:gridCol w:w="226"/>
        <w:gridCol w:w="1126"/>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356,983 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380,956 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1,023,194 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1,081,879 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240,884 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242,437 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694,162 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682,737 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39,173 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33,799 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101,871 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40,453 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41,229 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113,334 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4,337 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Business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on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82,000 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(5,071)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(4,578)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(2,963)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13,640 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(52,739)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(51,972)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41,102 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(186,401)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115,971 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14. Restructuring and Other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val="false"/>
          <w:color w:val="000000"/>
          <w:sz w:val="20"/>
        </w:rPr>
        <w:t xml:space="preserve">For the thirteen and thirty-nine week periods ended May 30, 2026, the Company incurred $13.5 million and $18.1 million of costs for restructuring activities, of which $6.2 million and $6.2 million have been included within </w:t>
      </w:r>
      <w:r>
        <w:rPr>
          <w:rFonts w:ascii="Garamond;serif" w:hAnsi="Garamond;serif"/>
          <w:b w:val="false"/>
          <w:i/>
          <w:color w:val="000000"/>
          <w:sz w:val="20"/>
        </w:rPr>
        <w:t xml:space="preserve">Cost of goods sold, </w:t>
      </w:r>
      <w:r>
        <w:rPr>
          <w:rFonts w:ascii="Garamond;serif" w:hAnsi="Garamond;serif"/>
          <w:b w:val="false"/>
          <w:color w:val="000000"/>
          <w:sz w:val="20"/>
        </w:rPr>
        <w:t xml:space="preserve">$1.1 million and $1.1 million have been included within </w:t>
      </w:r>
      <w:r>
        <w:rPr>
          <w:rFonts w:ascii="Garamond;serif" w:hAnsi="Garamond;serif"/>
          <w:b w:val="false"/>
          <w:i/>
          <w:color w:val="000000"/>
          <w:sz w:val="20"/>
        </w:rPr>
        <w:t>Selling and Marketing</w:t>
      </w:r>
      <w:r>
        <w:rPr>
          <w:rFonts w:ascii="Garamond;serif" w:hAnsi="Garamond;serif"/>
          <w:b w:val="false"/>
          <w:color w:val="000000"/>
          <w:sz w:val="20"/>
        </w:rPr>
        <w:t xml:space="preserve">, and $6.2 million and $10.8 million have been included within </w:t>
      </w:r>
      <w:r>
        <w:rPr>
          <w:rFonts w:ascii="Garamond;serif" w:hAnsi="Garamond;serif"/>
          <w:b w:val="false"/>
          <w:i/>
          <w:color w:val="000000"/>
          <w:sz w:val="20"/>
        </w:rPr>
        <w:t>General and administrative</w:t>
      </w:r>
      <w:r>
        <w:rPr>
          <w:color w:val="000000"/>
        </w:rPr>
        <w:t xml:space="preserve"> </w:t>
      </w:r>
      <w:r>
        <w:rPr>
          <w:rFonts w:ascii="Garamond;serif" w:hAnsi="Garamond;serif"/>
          <w:b w:val="false"/>
          <w:color w:val="000000"/>
          <w:sz w:val="20"/>
        </w:rPr>
        <w:t>on the Consolidated Statements of Operations and Comprehensive Income (Loss),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Changes to the restructuring liability during thirty-nine weeks ended May 30, 2026 were as follows:</w:t>
      </w:r>
    </w:p>
    <w:p>
      <w:pPr>
        <w:pStyle w:val="TextBody"/>
        <w:bidi w:val="0"/>
        <w:spacing w:before="0" w:after="0"/>
        <w:ind w:left="0" w:right="0" w:firstLine="720"/>
        <w:jc w:val="both"/>
        <w:rPr/>
      </w:pPr>
      <w:r>
        <w:rPr/>
      </w:r>
    </w:p>
    <w:tbl>
      <w:tblPr>
        <w:tblW w:w="9682" w:type="dxa"/>
        <w:jc w:val="center"/>
        <w:tblInd w:w="0" w:type="dxa"/>
        <w:tblLayout w:type="fixed"/>
        <w:tblCellMar>
          <w:top w:w="28" w:type="dxa"/>
          <w:left w:w="28" w:type="dxa"/>
          <w:bottom w:w="28" w:type="dxa"/>
          <w:right w:w="28" w:type="dxa"/>
        </w:tblCellMar>
      </w:tblPr>
      <w:tblGrid>
        <w:gridCol w:w="1288"/>
        <w:gridCol w:w="1132"/>
        <w:gridCol w:w="1134"/>
        <w:gridCol w:w="109"/>
        <w:gridCol w:w="109"/>
        <w:gridCol w:w="109"/>
        <w:gridCol w:w="783"/>
        <w:gridCol w:w="2868"/>
        <w:gridCol w:w="383"/>
        <w:gridCol w:w="109"/>
        <w:gridCol w:w="109"/>
        <w:gridCol w:w="109"/>
        <w:gridCol w:w="270"/>
        <w:gridCol w:w="986"/>
        <w:gridCol w:w="184"/>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Termination benefits, severance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Total Liability</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Balance as of August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2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18,073 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18,073 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(3,938)</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(3,938)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Non-cash settlements or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(1,985)</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(1,985)</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Balance as of 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2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12,150 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12,150 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 xml:space="preserve">During the second quarter of fiscal year 2026, the Company announced certain restructuring activities in conjunction with the implementation of the Company’s modified organization design and actions to streamline its operations, which will create a more efficient organization that will continue to support and build its business. These restructuring plans primarily included workforce reductions, changes in management structure, actions to streamline its operations and other cost savings initiatives. As of May 30, 2026, the Company expects to incur approximately $25.0 million, including the $18.1 million referenced above, in restructuring and other costs, which are to be paid throughout fiscal 2026 and fiscal 2027.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 xml:space="preserve">In connection with the restructuring activities, the Company recorded incremental stock-based compensation expense of $1.0 million in the second quarter of fiscal year 2026 related to the separation of the Company’s prior President and Chief Executive Officer in January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21"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2026. Refer to Note 12, Omnibus Incentive Plan, of our Notes to Unaudited Consolidated Financial Statements in this Report for additional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one-time termination benefits and employee severance costs to be incurred in relation to these restructuring activities are accounted for in accordance with ASC Topic 420, Exit or Disposal Cost Obligations, and ASC Topic 712, Compensation-Nonretirement Postemployment Benefits, respectively. The Company recognizes a liability and the related expense for these restructuring costs when the liability is incurred and can be measured. Restructuring accruals are based upon management estimates at the time and can change depending upon changes in facts and circumstances subsequent to the date the original liability was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2"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 xml:space="preserve">Item 2.     Management’s Discussion and Analysis of Financial Condition and Results of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i/>
          <w:color w:val="000000"/>
          <w:sz w:val="20"/>
        </w:rPr>
      </w:pPr>
      <w:r>
        <w:rPr>
          <w:rFonts w:ascii="Garamond;serif" w:hAnsi="Garamond;serif"/>
          <w:b w:val="false"/>
          <w:i/>
          <w:color w:val="000000"/>
          <w:sz w:val="20"/>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our expectations regarding our supply chain, including but not limited to, raw materials and logistics costs, the effect of price increases, inflationary pressure on us and our contract manufacturers, changes in taxes, tariffs, duties, governmental laws and regulations, our growth, our competitive position, and the unforeseen business disruptions or other effects due to current global geopolitical tension. We disclaim any undertaking to publicly update or revise any forward-looking statements contained herein to reflect any change in our expectations with regard thereto or any change in events, conditions or circumstances on which any such statement is based, except as required by applicable law. These statements reflect our current views with respect to future events and are based on assumptions subject to risks and uncertainties. Such risks and uncertainties include those related to our ability to sell our products.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i/>
          <w:color w:val="000000"/>
          <w:sz w:val="20"/>
        </w:rPr>
      </w:pPr>
      <w:r>
        <w:rPr>
          <w:rFonts w:ascii="Garamond;serif" w:hAnsi="Garamond;serif"/>
          <w:b w:val="false"/>
          <w:i/>
          <w:color w:val="000000"/>
          <w:sz w:val="20"/>
        </w:rPr>
        <w:t>The following discussion and analysis of our financial condition and results of operations should be read in conjunction with our consolidated financial statements and related notes included in our Annual Report on Form 10-K for the fiscal year ended August 30, 2025, (“Annual Report”) and our unaudited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and this Report. The Company assumes no obligation to update any of these 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i/>
          <w:color w:val="000000"/>
          <w:sz w:val="20"/>
        </w:rPr>
      </w:pPr>
      <w:r>
        <w:rPr>
          <w:rFonts w:ascii="Garamond;serif" w:hAnsi="Garamond;serif"/>
          <w:b w:val="false"/>
          <w:i/>
          <w:color w:val="000000"/>
          <w:sz w:val="20"/>
        </w:rPr>
        <w:t>Unless the context requires otherwise in this Report, the terms “we,” “us,” “our,” the “Company” and “Simply Good Foods” refer to The Simply Good Foods Company and its subsidiaries. In context, “Quest” may also refer to the Quest brand, “Atkins” may also refer to the Atkins brand, and “OWYN” may also refer to the OWYN brand. Atkins, Quest, OWYN, and the Simply Good logo are either registered trademarks or trademarks of the Company’s wholly owned subsidiary Simply Good Foods USA, Inc. or one of its affiliates in the United States and elsewhere. All rights are reserved.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 xml:space="preserve">The Simply Good Foods Company, headquartered in Denver, Colorado, is a consumer packaged food and beverage company with ambitious goals to raise the bar on what food can be with trusted brands and innovative nutritious snacking products. Within our portfolio of trusted brands (Quest, Atkins, and OWYN), we offer a wide variety of nutritional snacks and beverages, including high protein chips, bars, ready-to-drink (RTD) shakes, and powders, and low sugar, low carb sweets and baked goods. We are a leader of the nutritious snacking movement, poised to expand our healthy lifestyle platform through innovation-driven organic growth and external investment opportunities.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that also limit sugars and simple carbohydrates. We distribute our products in major retail channels, primarily in North America, including grocery, club, and mass merchandise, and through e-commerce, convenience, specialty, and other channels. Our portfolio of nutritious snacking brands gives us a strong platform with which to introduce new products, expand distribution, and attract new consumers to our products.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Simply Good Foods Company (“Simply Good Foods”) was formed in March 2017 to acquire NCP-ATK Holdings, Inc. (“Atkins”), which was completed in July 2017. As part of Simply Good Foods’ strategy to become an industry-leading snacking platform, we acquired Quest Nutrition, LLC (“Quest”) in November 2019 and we acquired Only What You Need, Inc. in June 2024. We refer to the acquisition of Quest Nutrition, LLC as the “Quest Acquisition” and the acquisition of Only What You Need, Inc. as the “OWYN Acquisition”.</w:t>
      </w:r>
    </w:p>
    <w:p>
      <w:pPr>
        <w:pStyle w:val="TextBody"/>
        <w:bidi w:val="0"/>
        <w:spacing w:before="0" w:after="0"/>
        <w:jc w:val="both"/>
        <w:rPr/>
      </w:pPr>
      <w:r>
        <w:rPr/>
      </w: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Business Trends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During the thirty-nine weeks ended May 30, 2026, our results of operations were primarily driven by continued distribution-related declines for Atkins and velocity-related declines for OWYN, which were partially offset by Quest volume-driven growth. In recent periods, retail distribution for the Atkins brand has been under pressure. The Atkins brand has had, and continues to have, a large retail presence on-shelf, which is being reduced in the current fiscal year and could be reduced in future periods. In response, we have been taking action to bolster the highest performing Atkins products and simultaneously working with retailers to replace lower performing Atkins products with higher performing products. In fiscal year 2026, OWYN experienced poor velocities, including on newly expanded distribution, which has resulted in distribution-related declines in the current fiscal year and could continue to be reduced in future periods. In response, the Company has been taking actions to increase consumer demand to restore velocities and growth for the brand.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 xml:space="preserve">The Company’s gross margin was affected by the unfavorable effects of higher input costs compared to the prior year, with productivity a modest offset in the quarter. Margins are expected to remain under pressure until the Company realizes the benefits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3"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from recently implemented pricing actions, productivity initiatives and other mitigating actions, which are expected to build as the fiscal year progresses. We continue to monitor macroeconomic trends and uncertainties such as consumer and economic uncertainty, key ingredient inflation, supply chain challenges, and the effects of tariffs, which may have adverse effects on net sales and profitability. We are continuing to evaluate these factors and our ability to potentially offset all or a portion of cost increases through pricing actions and cost savings efforts. Economic pressures on customers and consumers, including the challenges of high inflation and the effects of tariffs, may negatively affect our net sales and profitability in the future.</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ongoing conflict in Iran and geopolitical tensions in the region could lead to significant disruption of global energy supplies and increases in global energy prices, adversely affect global supply chains, heighten inflationary pressures on our input costs and supply chain, and adversely affect consumer spending patterns. We are continuing to evaluate the evolving macroeconomic environment, however at this time we do not expect these factors to result in a material negative effect on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 xml:space="preserve">Goodwill and Intangible Assets </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As a result of the sustained decline in the Company’s share price and declines in the Company’s market capitalization assessed during the third quarter of fiscal year 2026, the Company identified a triggering event indicating that it was more likely than not that the fair value of the goodwill reporting unit was less than its carrying amount. The Company conducted a quantitative interim goodwill assessment as of the last day of its third quarter, May 30, 2026, utilizing a weighted combination of the discounted cash flow method under the income approach and the guideline public company method under the market approach to estimate the fair value of the equity of the Company. Based on testing, the carrying value was greater than its fair value, resulting in an impairment of $38.0 million related to goodwill during the thirteen and thirty-nine weeks ended May 30, 2026. There were no impairment charges related to goodwill during the thirty-nine weeks ended May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As a result of the sustained decline in the Company’s stock price and declines in the Company’s market capitalization assessed during the third quarter of fiscal year 2026, the Company identified a triggering event indicating that it was more likely than not that the fair value of both the OWYN and Atkins brands and trademarks indefinite-lived intangible assets were less than their respective carrying amounts. The Company conducted a quantitative assessment as of the last day of its third quarter, May 30, 2026, utilizing an income approach to estimate the fair value of the intangible assets. Based on testing, the respective assets carrying values exceeded their fair values, resulting in a loss on impairment of $13.0 million for OWYN and $31.0 million for Atkins during the thirteen weeks ended May 30, 2026. Impairment charges were $200.0 million for OWYN and $93.0 million for Atkins for the thirty-nine weeks ended May 30, 2026. In addition, the Company included the Quest brand and trademark indefinite-lived intangible asset within the quantitative assessment; utilizing an income approach to estimate the fair value of the intangible asset. Based on testing, its fair value exceeded its carrying value, resulting in no impairment. There were no impairment charges related to the Company’s indefinite-lived intangible assets during the thirty-nine weeks ended May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We believe the estimates and assumptions utilized in our impairment assessments are reasonable and are comparable to those that would be used by other marketplace participants. However, actual events and results could differ substantially from those utilized in our initial valuations. Significant declines of future revenue projections or changes of other assumptions used in estimating fair values versus those utilized at the time of the initial valuations could result in impairment charges that could materially affect the consolidated financial statements. Refer to Note 4, Goodwill and Intangibles, of our Notes to Unaudited Consolidated Financial Statements in this Report for additional information regarding the Company’s impairment assessments.</w:t>
      </w:r>
    </w:p>
    <w:p>
      <w:pPr>
        <w:pStyle w:val="TextBody"/>
        <w:bidi w:val="0"/>
        <w:spacing w:before="0" w:after="0"/>
        <w:jc w:val="both"/>
        <w:rPr/>
      </w:pPr>
      <w:r>
        <w:rPr/>
      </w: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Restructuring and Other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val="false"/>
          <w:color w:val="000000"/>
          <w:sz w:val="20"/>
        </w:rPr>
        <w:t xml:space="preserve">For the thirteen and thirty-nine week periods ended May 30, 2026, the Company incurred $13.5 million and $18.1 million of costs for restructuring activities, of which $6.2 million and $6.2 million have been included within </w:t>
      </w:r>
      <w:r>
        <w:rPr>
          <w:rFonts w:ascii="Garamond;serif" w:hAnsi="Garamond;serif"/>
          <w:b w:val="false"/>
          <w:i/>
          <w:color w:val="000000"/>
          <w:sz w:val="20"/>
        </w:rPr>
        <w:t xml:space="preserve">Cost of goods sold </w:t>
      </w:r>
      <w:r>
        <w:rPr>
          <w:rFonts w:ascii="Garamond;serif" w:hAnsi="Garamond;serif"/>
          <w:b w:val="false"/>
          <w:color w:val="000000"/>
          <w:sz w:val="20"/>
        </w:rPr>
        <w:t xml:space="preserve">and $6.2 million and $10.8 million have been included within </w:t>
      </w:r>
      <w:r>
        <w:rPr>
          <w:rFonts w:ascii="Garamond;serif" w:hAnsi="Garamond;serif"/>
          <w:b w:val="false"/>
          <w:i/>
          <w:color w:val="000000"/>
          <w:sz w:val="20"/>
        </w:rPr>
        <w:t>General and administrative</w:t>
      </w:r>
      <w:r>
        <w:rPr>
          <w:color w:val="000000"/>
        </w:rPr>
        <w:t xml:space="preserve"> </w:t>
      </w:r>
      <w:r>
        <w:rPr>
          <w:rFonts w:ascii="Garamond;serif" w:hAnsi="Garamond;serif"/>
          <w:b w:val="false"/>
          <w:color w:val="000000"/>
          <w:sz w:val="20"/>
        </w:rPr>
        <w:t>on the Consolidated Statements of Operations and Comprehensive Income (Loss), respectively. As of May 30, 2026, the outstanding restructuring liability was $12.2 million. Refer to Note 14, Restructuring and Other, of our Notes to Unaudited Consolidated Financial Statements in this Report for additional information regarding restructuring and other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 xml:space="preserve">During the second quarter of fiscal year 2026 the Company announced certain restructuring activities in conjunction with the implementation of the Company’s modified organization design and actions to streamline its operations, which will create a more efficient organization that will continue to support and build its business. These restructuring plans primarily included workforce reductions, changes in management structure, actions to streamline its operations and other cost savings initiatives. As of May 30, 2026, the Company expects to incur approximately $25.0 million, including the $18.1 million referenced above, in restructuring and other costs, which are to be paid throughout fiscal 2026 and fiscal 2027.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In connection with the restructuring activities, the Company recorded incremental stock-based compensation expense of $1.0 million in the second quarter of fiscal year 2026 related to the separation of the Company’s prior President and Chief Executive Officer in January 2026. Refer to Note 12, Omnibus Incentive Plan, of our Notes to Unaudited Consolidated Financial Statements in this Report for additional information.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4"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Key Financial Definitions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color w:val="000000"/>
          <w:sz w:val="20"/>
        </w:rPr>
        <w:t>Net sales.</w:t>
      </w:r>
      <w:r>
        <w:rPr>
          <w:color w:val="000000"/>
        </w:rPr>
        <w:t xml:space="preserve"> </w:t>
      </w:r>
      <w:r>
        <w:rPr>
          <w:rFonts w:ascii="Garamond;serif" w:hAnsi="Garamond;serif"/>
          <w:b w:val="false"/>
          <w:color w:val="000000"/>
          <w:sz w:val="20"/>
        </w:rPr>
        <w:t>Net sales consist primarily of product sales less the cost of promotional activities, slotting fees and other sales credits and adjustments, including product returns.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color w:val="000000"/>
          <w:sz w:val="20"/>
        </w:rPr>
        <w:t>Cost of goods sold.</w:t>
      </w:r>
      <w:r>
        <w:rPr>
          <w:color w:val="000000"/>
        </w:rPr>
        <w:t xml:space="preserve"> </w:t>
      </w:r>
      <w:r>
        <w:rPr>
          <w:rFonts w:ascii="Garamond;serif" w:hAnsi="Garamond;serif"/>
          <w:b w:val="false"/>
          <w:color w:val="000000"/>
          <w:sz w:val="20"/>
        </w:rPr>
        <w:t>Cost of goods sold consists primarily of the costs we pay to our contract manufacturing partners to produce the products sold. These 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color w:val="000000"/>
          <w:sz w:val="20"/>
        </w:rPr>
        <w:t>Operating expenses.</w:t>
      </w:r>
      <w:r>
        <w:rPr>
          <w:color w:val="000000"/>
        </w:rPr>
        <w:t xml:space="preserve"> </w:t>
      </w:r>
      <w:r>
        <w:rPr>
          <w:rFonts w:ascii="Garamond;serif" w:hAnsi="Garamond;serif"/>
          <w:b w:val="false"/>
          <w:color w:val="000000"/>
          <w:sz w:val="20"/>
        </w:rPr>
        <w:t>Operating expenses consist primarily of selling and marketing, general and administrative, depreciation and amortization, and business transaction costs. The following is a brief description of the components of operating expenses: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Garamond;serif" w:hAnsi="Garamond;serif"/>
          <w:b w:val="false"/>
          <w:i/>
          <w:color w:val="000000"/>
          <w:sz w:val="20"/>
        </w:rPr>
        <w:t>Selling and marketing.</w:t>
      </w:r>
      <w:r>
        <w:rPr>
          <w:color w:val="000000"/>
        </w:rPr>
        <w:t xml:space="preserve"> </w:t>
      </w:r>
      <w:r>
        <w:rPr>
          <w:rFonts w:ascii="Garamond;serif" w:hAnsi="Garamond;serif"/>
          <w:b w:val="false"/>
          <w:color w:val="000000"/>
          <w:sz w:val="20"/>
        </w:rPr>
        <w:t>Selling and marketing expenses are comprised of broker commissions, customer marketing, media and other marketing costs.</w:t>
      </w:r>
    </w:p>
    <w:p>
      <w:pPr>
        <w:pStyle w:val="TextBody"/>
        <w:bidi w:val="0"/>
        <w:spacing w:lineRule="auto" w:line="288" w:before="0" w:after="120"/>
        <w:ind w:left="0" w:right="0" w:hanging="360"/>
        <w:jc w:val="both"/>
        <w:rPr/>
      </w:pPr>
      <w:r>
        <w:rPr>
          <w:color w:val="000000"/>
        </w:rPr>
        <w:t>•</w:t>
      </w:r>
      <w:r>
        <w:rPr>
          <w:rFonts w:ascii="Garamond;serif" w:hAnsi="Garamond;serif"/>
          <w:b w:val="false"/>
          <w:i/>
          <w:color w:val="000000"/>
          <w:sz w:val="20"/>
        </w:rPr>
        <w:t>General and administrative.</w:t>
      </w:r>
      <w:r>
        <w:rPr>
          <w:color w:val="000000"/>
        </w:rPr>
        <w:t xml:space="preserve"> </w:t>
      </w:r>
      <w:r>
        <w:rPr>
          <w:rFonts w:ascii="Garamond;serif" w:hAnsi="Garamond;serif"/>
          <w:b w:val="false"/>
          <w:color w:val="000000"/>
          <w:sz w:val="20"/>
        </w:rPr>
        <w:t>General and administrative expenses are comprised of expenses associated with corporate and administrative functions that support our business, including employee compensation, stock-based compensation, professional services, integration expense, restructuring costs, insurance and other general corporate expenses.</w:t>
      </w:r>
    </w:p>
    <w:p>
      <w:pPr>
        <w:pStyle w:val="TextBody"/>
        <w:bidi w:val="0"/>
        <w:spacing w:lineRule="auto" w:line="288" w:before="0" w:after="120"/>
        <w:ind w:left="0" w:right="0" w:hanging="360"/>
        <w:jc w:val="both"/>
        <w:rPr/>
      </w:pPr>
      <w:r>
        <w:rPr>
          <w:color w:val="000000"/>
        </w:rPr>
        <w:t>•</w:t>
      </w:r>
      <w:r>
        <w:rPr>
          <w:rFonts w:ascii="Garamond;serif" w:hAnsi="Garamond;serif"/>
          <w:b w:val="false"/>
          <w:i/>
          <w:color w:val="000000"/>
          <w:sz w:val="20"/>
        </w:rPr>
        <w:t>Depreciation and amortization.</w:t>
      </w:r>
      <w:r>
        <w:rPr>
          <w:color w:val="000000"/>
        </w:rPr>
        <w:t xml:space="preserve"> </w:t>
      </w:r>
      <w:r>
        <w:rPr>
          <w:rFonts w:ascii="Garamond;serif" w:hAnsi="Garamond;serif"/>
          <w:b w:val="false"/>
          <w:color w:val="000000"/>
          <w:sz w:val="20"/>
        </w:rPr>
        <w:t>Depreciation and amortization expenses consist of expenses associated with the depreciation of fixed assets and capitalized leasehold improvements and amortization of intangible assets.</w:t>
      </w:r>
    </w:p>
    <w:p>
      <w:pPr>
        <w:pStyle w:val="TextBody"/>
        <w:bidi w:val="0"/>
        <w:spacing w:lineRule="auto" w:line="288" w:before="0" w:after="120"/>
        <w:ind w:left="0" w:right="0" w:hanging="360"/>
        <w:jc w:val="both"/>
        <w:rPr/>
      </w:pPr>
      <w:r>
        <w:rPr>
          <w:color w:val="000000"/>
        </w:rPr>
        <w:t>•</w:t>
      </w:r>
      <w:r>
        <w:rPr>
          <w:rFonts w:ascii="Garamond;serif" w:hAnsi="Garamond;serif"/>
          <w:b w:val="false"/>
          <w:i/>
          <w:color w:val="000000"/>
          <w:sz w:val="20"/>
        </w:rPr>
        <w:t>Business Transaction Costs.</w:t>
      </w:r>
      <w:r>
        <w:rPr>
          <w:color w:val="000000"/>
        </w:rPr>
        <w:t xml:space="preserve"> </w:t>
      </w:r>
      <w:r>
        <w:rPr>
          <w:rFonts w:ascii="Garamond;serif" w:hAnsi="Garamond;serif"/>
          <w:b w:val="false"/>
          <w:color w:val="000000"/>
          <w:sz w:val="20"/>
        </w:rPr>
        <w:t>Business transaction costs are comprised of transaction advisory fees, non-deferrable debt issuance costs, legal, due diligence, consulting, and accounting expenses associated with the OWYN Acquisition.</w:t>
      </w:r>
    </w:p>
    <w:p>
      <w:pPr>
        <w:pStyle w:val="TextBody"/>
        <w:bidi w:val="0"/>
        <w:spacing w:lineRule="auto" w:line="288" w:before="0" w:after="240"/>
        <w:ind w:left="0" w:right="0" w:hanging="360"/>
        <w:jc w:val="both"/>
        <w:rPr/>
      </w:pPr>
      <w:r>
        <w:rPr>
          <w:color w:val="000000"/>
        </w:rPr>
        <w:t>•</w:t>
      </w:r>
      <w:r>
        <w:rPr>
          <w:rFonts w:ascii="Garamond;serif" w:hAnsi="Garamond;serif"/>
          <w:b w:val="false"/>
          <w:i/>
          <w:color w:val="000000"/>
          <w:sz w:val="20"/>
        </w:rPr>
        <w:t xml:space="preserve">Loss on impairment. </w:t>
      </w:r>
      <w:r>
        <w:rPr>
          <w:rFonts w:ascii="Garamond;serif" w:hAnsi="Garamond;serif"/>
          <w:b w:val="false"/>
          <w:color w:val="000000"/>
          <w:sz w:val="20"/>
        </w:rPr>
        <w:t>Loss on impairment is comprised of impairment charges related to goodwill and our brands and trademarks indefinite-lived intangible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During the thirteen weeks ended May 30, 2026, our net sales decreased 6.3% to $357.0 million compared to $381.0 million for the thirteen weeks ended May 31, 2025, driven by distribution-related declines for Atkins which were partially offset by Quest and OWYN volume-driven growth.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Gross profit decreased and gross profit margin decreased 390 basis points, primarily as a result of higher input costs and current period restructuring costs compared to the prior period. We expect to continue building on our existing capabilities and strengthening the position of our brands in the marketplace, and will continue to invest in our business and improve our operating efficiencies.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val="false"/>
          <w:color w:val="000000"/>
          <w:sz w:val="20"/>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w:t>
      </w:r>
      <w:r>
        <w:rPr>
          <w:rFonts w:ascii="Garamond;serif" w:hAnsi="Garamond;serif"/>
          <w:b w:val="false"/>
          <w:i/>
          <w:color w:val="000000"/>
          <w:sz w:val="20"/>
        </w:rPr>
        <w:t>Reconciliation of EBITDA and Adjusted EBITDA</w:t>
      </w:r>
      <w:r>
        <w:rPr>
          <w:color w:val="000000"/>
        </w:rPr>
        <w:t xml:space="preserve">” </w:t>
      </w:r>
      <w:r>
        <w:rPr>
          <w:rFonts w:ascii="Garamond;serif" w:hAnsi="Garamond;serif"/>
          <w:b w:val="false"/>
          <w:color w:val="000000"/>
          <w:sz w:val="20"/>
        </w:rPr>
        <w:t>below for a reconciliation of EBITDA and Adjusted EBITDA to net income for each applicable period.</w:t>
      </w:r>
    </w:p>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5"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0"/>
        <w:jc w:val="left"/>
        <w:rPr>
          <w:rFonts w:ascii="Garamond;serif" w:hAnsi="Garamond;serif"/>
          <w:b/>
          <w:i/>
          <w:color w:val="000000"/>
          <w:sz w:val="20"/>
        </w:rPr>
      </w:pPr>
      <w:r>
        <w:rPr>
          <w:rFonts w:ascii="Garamond;serif" w:hAnsi="Garamond;serif"/>
          <w:b/>
          <w:i/>
          <w:color w:val="000000"/>
          <w:sz w:val="20"/>
        </w:rPr>
        <w:t>Comparison of Unaudited Results for the Thirteen Weeks Ended May 30, 2026, and the Thirteen Weeks Ended May 31, 2025</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following unaudited table presents, for the periods indicated, selected information from our Consolidated Statements of Operations and Comprehensive Income (Loss), including information presented as a percentage of net sales: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122"/>
        <w:gridCol w:w="721"/>
        <w:gridCol w:w="725"/>
        <w:gridCol w:w="121"/>
        <w:gridCol w:w="121"/>
        <w:gridCol w:w="121"/>
        <w:gridCol w:w="307"/>
        <w:gridCol w:w="1288"/>
        <w:gridCol w:w="148"/>
        <w:gridCol w:w="121"/>
        <w:gridCol w:w="121"/>
        <w:gridCol w:w="121"/>
        <w:gridCol w:w="393"/>
        <w:gridCol w:w="393"/>
        <w:gridCol w:w="526"/>
        <w:gridCol w:w="121"/>
        <w:gridCol w:w="121"/>
        <w:gridCol w:w="121"/>
        <w:gridCol w:w="307"/>
        <w:gridCol w:w="1288"/>
        <w:gridCol w:w="148"/>
        <w:gridCol w:w="121"/>
        <w:gridCol w:w="121"/>
        <w:gridCol w:w="121"/>
        <w:gridCol w:w="393"/>
        <w:gridCol w:w="393"/>
        <w:gridCol w:w="601"/>
      </w:tblGrid>
      <w:tr>
        <w:trPr/>
        <w:tc>
          <w:tcPr>
            <w:tcW w:w="112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Thirteen Weeks Ended</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Thirteen Weeks Ended</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aramond;serif" w:hAnsi="Garamond;serif"/>
                <w:b w:val="false"/>
                <w:color w:val="000000"/>
                <w:sz w:val="18"/>
              </w:rPr>
            </w:pPr>
            <w:r>
              <w:rPr>
                <w:rFonts w:ascii="Garamond;serif" w:hAnsi="Garamond;serif"/>
                <w:b w:val="false"/>
                <w:color w:val="000000"/>
                <w:sz w:val="18"/>
              </w:rPr>
              <w:t>% of Net Sales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aramond;serif" w:hAnsi="Garamond;serif"/>
                <w:b w:val="false"/>
                <w:color w:val="000000"/>
                <w:sz w:val="18"/>
              </w:rPr>
            </w:pPr>
            <w:r>
              <w:rPr>
                <w:rFonts w:ascii="Garamond;serif" w:hAnsi="Garamond;serif"/>
                <w:b w:val="false"/>
                <w:color w:val="000000"/>
                <w:sz w:val="18"/>
              </w:rPr>
              <w:t>% of Net Sales</w:t>
            </w:r>
          </w:p>
        </w:tc>
      </w:tr>
      <w:tr>
        <w:trPr/>
        <w:tc>
          <w:tcPr>
            <w:tcW w:w="25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sales</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356,983 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380,956 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100.0 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Cost of goods sold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240,884 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67.5 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242,437 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63.6 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Gross profit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116,099 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32.5 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138,519 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36.4 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Operating expenses:</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Selling and marketing</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39,173 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33,799 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8.9 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General and administrative</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40,453 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41,229 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10.8 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Depreciation and amortization</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4,337 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4,171 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on impairment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82,000 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operating expenses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165,963 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46.5 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79,199 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20.8 </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income from operations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(49,864)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(14.0)</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59,320 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15.6 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income (expense):</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Interest income</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689 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673 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0.2 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Interest expense</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(5,776)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(4,900)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Gain (loss) on foreign currency transactions</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income</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other (expense)</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(5,071)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(4,578)</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income before income taxes</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(54,935)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(15.4)</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54,742 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14.4 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Income tax (benefit) expense</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(2,963)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(0.8)</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13,640 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3.6 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(loss) income</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(51,972)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(14.6)</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41,102 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10.8 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financial data:</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 xml:space="preserve">Adjusted EBITDA </w:t>
            </w:r>
            <w:r>
              <w:rPr>
                <w:rFonts w:ascii="Garamond;serif" w:hAnsi="Garamond;serif"/>
                <w:b w:val="false"/>
                <w:color w:val="000000"/>
                <w:sz w:val="12"/>
              </w:rPr>
              <w:t>(1)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57,241 </w:t>
            </w:r>
          </w:p>
        </w:tc>
        <w:tc>
          <w:tcPr>
            <w:tcW w:w="14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16.0 </w:t>
            </w:r>
          </w:p>
        </w:tc>
        <w:tc>
          <w:tcPr>
            <w:tcW w:w="5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73,854 </w:t>
            </w:r>
          </w:p>
        </w:tc>
        <w:tc>
          <w:tcPr>
            <w:tcW w:w="14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19.4 </w:t>
            </w:r>
          </w:p>
        </w:tc>
        <w:tc>
          <w:tcPr>
            <w:tcW w:w="6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Garamond;serif" w:hAnsi="Garamond;serif"/>
                <w:b w:val="false"/>
                <w:color w:val="000000"/>
                <w:sz w:val="12"/>
              </w:rPr>
              <w:t xml:space="preserve">(1) </w:t>
            </w:r>
            <w:r>
              <w:rPr>
                <w:rFonts w:ascii="Garamond;serif" w:hAnsi="Garamond;serif"/>
                <w:b w:val="false"/>
                <w:color w:val="000000"/>
                <w:sz w:val="18"/>
              </w:rPr>
              <w:t>Adjusted EBITDA is a non-GAAP financial metric. See “Reconciliation of EBITDA and Adjusted EBITDA” below for a reconciliation of net income to EBITDA and Adjusted EBITDA for each applicable period.</w:t>
            </w:r>
          </w:p>
        </w:tc>
      </w:tr>
    </w:tbl>
    <w:p>
      <w:pPr>
        <w:pStyle w:val="TextBody"/>
        <w:bidi w:val="0"/>
        <w:spacing w:before="0" w:after="0"/>
        <w:ind w:left="0" w:right="0" w:hanging="36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Net sales</w:t>
      </w:r>
      <w:r>
        <w:rPr>
          <w:rFonts w:ascii="Garamond;serif" w:hAnsi="Garamond;serif"/>
          <w:b w:val="false"/>
          <w:color w:val="000000"/>
          <w:sz w:val="20"/>
        </w:rPr>
        <w:t>. Net sales were $357.0 million for the thirteen weeks ended May 30, 2026, compared to $381.0 million for the thirteen weeks ended May 31, 2025, representing a decrease of $24.0 million, or 6.3%, driven by distribution-related declines for Atkins which were partially offset by Quest and OWYN volume-driven growth.</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Cost of goods sold</w:t>
      </w:r>
      <w:r>
        <w:rPr>
          <w:rFonts w:ascii="Garamond;serif" w:hAnsi="Garamond;serif"/>
          <w:b w:val="false"/>
          <w:i/>
          <w:color w:val="000000"/>
          <w:sz w:val="20"/>
        </w:rPr>
        <w:t xml:space="preserve">. </w:t>
      </w:r>
      <w:r>
        <w:rPr>
          <w:rFonts w:ascii="Garamond;serif" w:hAnsi="Garamond;serif"/>
          <w:b w:val="false"/>
          <w:color w:val="000000"/>
          <w:sz w:val="20"/>
        </w:rPr>
        <w:t>Cost of goods sold decreased $1.6 million, or 0.6%, for the thirteen weeks ended May 30, 2026, compared to the thirteen weeks ended May 31, 2025. The cost of goods sold decrease was driven primarily by the decrease of net sales compared to the prior year period and partially offset by higher input costs and restructuring costs compared to the prior year period.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 xml:space="preserve">Gross profit. </w:t>
      </w:r>
      <w:r>
        <w:rPr>
          <w:rFonts w:ascii="Garamond;serif" w:hAnsi="Garamond;serif"/>
          <w:b w:val="false"/>
          <w:color w:val="000000"/>
          <w:sz w:val="20"/>
        </w:rPr>
        <w:t>Gross profit decreased $22.4 million, or 16.2%, to $116.1 million for the thirteen weeks ended May 30, 2026, compared to the thirteen weeks ended May 31, 2025. Gross profit margin was 32.5% of net sales for the thirteen weeks ended May 30, 2026, a decrease of 390 basis points from 36.4% of net sales for the thirteen weeks ended May 31, 2025. The decrease in gross profit margin was primarily driven by volume declines, higher input costs, and restructuring costs compared to the prior year period.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Operating expenses</w:t>
      </w:r>
      <w:r>
        <w:rPr>
          <w:rFonts w:ascii="Garamond;serif" w:hAnsi="Garamond;serif"/>
          <w:b w:val="false"/>
          <w:color w:val="000000"/>
          <w:sz w:val="20"/>
        </w:rPr>
        <w:t>. Operating expenses increased $86.8 million, or 109.6%, for the thirteen weeks ended May 30, 2026, compared to the thirteen weeks ended May 31, 2025, due to the following:</w:t>
      </w:r>
    </w:p>
    <w:p>
      <w:pPr>
        <w:pStyle w:val="TextBody"/>
        <w:bidi w:val="0"/>
        <w:spacing w:before="0" w:after="0"/>
        <w:jc w:val="both"/>
        <w:rPr/>
      </w:pPr>
      <w:r>
        <w:rPr/>
      </w:r>
    </w:p>
    <w:p>
      <w:pPr>
        <w:pStyle w:val="TextBody"/>
        <w:bidi w:val="0"/>
        <w:spacing w:lineRule="auto" w:line="288" w:before="0" w:after="120"/>
        <w:ind w:left="0" w:right="0" w:hanging="270"/>
        <w:jc w:val="both"/>
        <w:rPr/>
      </w:pPr>
      <w:r>
        <w:rPr>
          <w:color w:val="000000"/>
        </w:rPr>
        <w:t>•</w:t>
      </w:r>
      <w:r>
        <w:rPr>
          <w:rFonts w:ascii="Garamond;serif" w:hAnsi="Garamond;serif"/>
          <w:b w:val="false"/>
          <w:i/>
          <w:color w:val="000000"/>
          <w:sz w:val="20"/>
        </w:rPr>
        <w:t xml:space="preserve">Selling and marketing. </w:t>
      </w:r>
      <w:r>
        <w:rPr>
          <w:rFonts w:ascii="Garamond;serif" w:hAnsi="Garamond;serif"/>
          <w:b w:val="false"/>
          <w:color w:val="000000"/>
          <w:sz w:val="20"/>
        </w:rPr>
        <w:t>Selling and marketing</w:t>
      </w:r>
      <w:r>
        <w:rPr>
          <w:color w:val="000000"/>
        </w:rPr>
        <w:t xml:space="preserve"> </w:t>
      </w:r>
      <w:r>
        <w:rPr>
          <w:rFonts w:ascii="Garamond;serif" w:hAnsi="Garamond;serif"/>
          <w:b w:val="false"/>
          <w:color w:val="000000"/>
          <w:sz w:val="20"/>
        </w:rPr>
        <w:t>expenses increased $5.4 million, or 15.9%, for the thirteen weeks ended May 30, 2026, compared to the thirteen weeks ended May 31, 2025. The increase was primarily driven by investments in our selling capability and increased marketing spend to support longer-term brand growth and restructuring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6"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120"/>
        <w:ind w:left="0" w:right="0" w:hanging="270"/>
        <w:jc w:val="both"/>
        <w:rPr/>
      </w:pPr>
      <w:r>
        <w:rPr>
          <w:color w:val="000000"/>
        </w:rPr>
        <w:t>•</w:t>
      </w:r>
      <w:r>
        <w:rPr>
          <w:rFonts w:ascii="Garamond;serif" w:hAnsi="Garamond;serif"/>
          <w:b w:val="false"/>
          <w:i/>
          <w:color w:val="000000"/>
          <w:sz w:val="20"/>
        </w:rPr>
        <w:t xml:space="preserve">General and administrative. </w:t>
      </w:r>
      <w:r>
        <w:rPr>
          <w:rFonts w:ascii="Garamond;serif" w:hAnsi="Garamond;serif"/>
          <w:b w:val="false"/>
          <w:color w:val="000000"/>
          <w:sz w:val="20"/>
        </w:rPr>
        <w:t>General and administrative expenses decreased $0.8 million, or 1.9%, for the thirteen weeks ended May 30, 2026, compared to the thirteen weeks ended May 31, 2025. The decrease was primarily attributable to a decrease of $5.2 million in integration expenses related to the OWYN Acquisition, a decrease of $1.8 million in employee-related costs, and lower general corporate expenses, partially offset by an increase of $6.2 million in restructuring costs.</w:t>
      </w:r>
    </w:p>
    <w:p>
      <w:pPr>
        <w:pStyle w:val="TextBody"/>
        <w:bidi w:val="0"/>
        <w:spacing w:lineRule="auto" w:line="288" w:before="0" w:after="120"/>
        <w:ind w:left="0" w:right="0" w:hanging="270"/>
        <w:jc w:val="both"/>
        <w:rPr/>
      </w:pPr>
      <w:r>
        <w:rPr>
          <w:color w:val="000000"/>
        </w:rPr>
        <w:t>•</w:t>
      </w:r>
      <w:r>
        <w:rPr>
          <w:rFonts w:ascii="Garamond;serif" w:hAnsi="Garamond;serif"/>
          <w:b w:val="false"/>
          <w:i/>
          <w:color w:val="000000"/>
          <w:sz w:val="20"/>
        </w:rPr>
        <w:t xml:space="preserve">Depreciation and amortization. </w:t>
      </w:r>
      <w:r>
        <w:rPr>
          <w:rFonts w:ascii="Garamond;serif" w:hAnsi="Garamond;serif"/>
          <w:b w:val="false"/>
          <w:color w:val="000000"/>
          <w:sz w:val="20"/>
        </w:rPr>
        <w:t>Depreciation and amortization expense was $4.3 million for the thirteen weeks ended May 30, 2026, and $4.2 million for the thirteen weeks ended May 31, 2025, respectively.</w:t>
      </w:r>
    </w:p>
    <w:p>
      <w:pPr>
        <w:pStyle w:val="TextBody"/>
        <w:bidi w:val="0"/>
        <w:spacing w:lineRule="auto" w:line="288" w:before="0" w:after="240"/>
        <w:ind w:left="0" w:right="0" w:hanging="270"/>
        <w:jc w:val="both"/>
        <w:rPr/>
      </w:pPr>
      <w:r>
        <w:rPr>
          <w:color w:val="000000"/>
        </w:rPr>
        <w:t>•</w:t>
      </w:r>
      <w:r>
        <w:rPr>
          <w:rFonts w:ascii="Garamond;serif" w:hAnsi="Garamond;serif"/>
          <w:b w:val="false"/>
          <w:i/>
          <w:color w:val="000000"/>
          <w:sz w:val="20"/>
        </w:rPr>
        <w:t xml:space="preserve">Loss on impairment. </w:t>
      </w:r>
      <w:r>
        <w:rPr>
          <w:rFonts w:ascii="Garamond;serif" w:hAnsi="Garamond;serif"/>
          <w:b w:val="false"/>
          <w:color w:val="000000"/>
          <w:sz w:val="20"/>
        </w:rPr>
        <w:t>Loss on impairment charges were $82.0 million for the thirteen weeks ended May 30, 2026 and zero for the thirteen weeks ended May 31, 2025. Refer to Note 4, Goodwill and Intangibles, for additional information regarding the Company’s impairment assessments.</w:t>
      </w:r>
    </w:p>
    <w:p>
      <w:pPr>
        <w:pStyle w:val="TextBody"/>
        <w:bidi w:val="0"/>
        <w:spacing w:lineRule="auto" w:line="288" w:before="0" w:after="0"/>
        <w:ind w:left="0" w:right="0" w:firstLine="720"/>
        <w:jc w:val="both"/>
        <w:rPr/>
      </w:pPr>
      <w:r>
        <w:rPr>
          <w:rFonts w:ascii="Garamond;serif" w:hAnsi="Garamond;serif"/>
          <w:b/>
          <w:i/>
          <w:color w:val="000000"/>
          <w:sz w:val="20"/>
        </w:rPr>
        <w:t xml:space="preserve">Interest income. </w:t>
      </w:r>
      <w:r>
        <w:rPr>
          <w:rFonts w:ascii="Garamond;serif" w:hAnsi="Garamond;serif"/>
          <w:b w:val="false"/>
          <w:color w:val="000000"/>
          <w:sz w:val="20"/>
        </w:rPr>
        <w:t>Interest income was $0.7 million for both the thirteen weeks ended May 30, 2026 and May 31, 2025.</w:t>
      </w:r>
    </w:p>
    <w:p>
      <w:pPr>
        <w:pStyle w:val="TextBody"/>
        <w:bidi w:val="0"/>
        <w:spacing w:before="0" w:after="0"/>
        <w:ind w:left="0" w:right="0" w:firstLine="9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Interest expense</w:t>
      </w:r>
      <w:r>
        <w:rPr>
          <w:rFonts w:ascii="Garamond;serif" w:hAnsi="Garamond;serif"/>
          <w:b w:val="false"/>
          <w:i/>
          <w:color w:val="000000"/>
          <w:sz w:val="20"/>
        </w:rPr>
        <w:t xml:space="preserve">. </w:t>
      </w:r>
      <w:r>
        <w:rPr>
          <w:rFonts w:ascii="Garamond;serif" w:hAnsi="Garamond;serif"/>
          <w:b w:val="false"/>
          <w:color w:val="000000"/>
          <w:sz w:val="20"/>
        </w:rPr>
        <w:t>Interest expense of $5.8 million increased $0.9 million for the thirteen weeks ended May 30, 2026, compared to the thirteen weeks ended May 31, 2025, primarily due to a higher term loan balance.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 xml:space="preserve">Gain (loss) on foreign currency transactions. </w:t>
      </w:r>
      <w:r>
        <w:rPr>
          <w:rFonts w:ascii="Garamond;serif" w:hAnsi="Garamond;serif"/>
          <w:b w:val="false"/>
          <w:color w:val="000000"/>
          <w:sz w:val="20"/>
        </w:rPr>
        <w:t>Foreign currency transactions resulted in an immaterial gain for the thirteen weeks ended May 30, 2026, and a $0.3 million loss for the thirteen weeks ended May 31, 2025.</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 xml:space="preserve">Income tax (benefit) expense. </w:t>
      </w:r>
      <w:r>
        <w:rPr>
          <w:rFonts w:ascii="Garamond;serif" w:hAnsi="Garamond;serif"/>
          <w:b w:val="false"/>
          <w:color w:val="000000"/>
          <w:sz w:val="20"/>
        </w:rPr>
        <w:t>Income tax benefit was $3.0 million for the thirteen weeks ended May 30, 2026, compared to income tax expense of $13.6 million during the thirteen weeks ended May 31, 2025. The change in our income tax (benefit) expense was primarily driven by lower income from operations and changes in permanent differences, primarily the non-deductible goodwill impairment.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Net (loss) income</w:t>
      </w:r>
      <w:r>
        <w:rPr>
          <w:rFonts w:ascii="Garamond;serif" w:hAnsi="Garamond;serif"/>
          <w:b w:val="false"/>
          <w:color w:val="000000"/>
          <w:sz w:val="20"/>
        </w:rPr>
        <w:t>. Net loss was $52.0 million for the thirteen weeks ended May 30, 2026, a decrease of $93.1 million, compared to net income of $41.1 million for the thirteen weeks ended May 31, 2025. Net loss was primarily driven by higher operating expenses, primarily the loss on impairment, and was partially offset by lower income tax (benefit)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 xml:space="preserve">Adjusted EBITDA. </w:t>
      </w:r>
      <w:r>
        <w:rPr>
          <w:rFonts w:ascii="Garamond;serif" w:hAnsi="Garamond;serif"/>
          <w:b w:val="false"/>
          <w:color w:val="000000"/>
          <w:sz w:val="20"/>
        </w:rPr>
        <w:t>Adjusted EBITDA decreased $16.6 million, or 22.5%, for the thirteen weeks ended May 30, 2026, compared to the thirteen weeks ended May 31, 2025, driven primarily by lower gross profit. For a reconciliation of Adjusted EBITDA to its most directly comparable GAAP measure, see “Reconciliation of EBITDA and Adjusted EBITDA” below.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7"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0"/>
        <w:jc w:val="left"/>
        <w:rPr>
          <w:rFonts w:ascii="Garamond;serif" w:hAnsi="Garamond;serif"/>
          <w:b/>
          <w:i/>
          <w:color w:val="000000"/>
          <w:sz w:val="20"/>
        </w:rPr>
      </w:pPr>
      <w:r>
        <w:rPr>
          <w:rFonts w:ascii="Garamond;serif" w:hAnsi="Garamond;serif"/>
          <w:b/>
          <w:i/>
          <w:color w:val="000000"/>
          <w:sz w:val="20"/>
        </w:rPr>
        <w:t>Comparison of Unaudited Results for the Thirty-Nine Weeks Ended May 30, 2026, and the Thirty-Nine Weeks Ended May 31, 2025</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following unaudited table presents, for the periods indicated, selected information from our Consolidated Statements of Operations and Comprehensive Income (Loss), including information presented as a percentage of net sales:</w:t>
      </w:r>
    </w:p>
    <w:tbl>
      <w:tblPr>
        <w:tblW w:w="10205" w:type="dxa"/>
        <w:jc w:val="center"/>
        <w:tblInd w:w="0" w:type="dxa"/>
        <w:tblLayout w:type="fixed"/>
        <w:tblCellMar>
          <w:top w:w="28" w:type="dxa"/>
          <w:left w:w="28" w:type="dxa"/>
          <w:bottom w:w="28" w:type="dxa"/>
          <w:right w:w="28" w:type="dxa"/>
        </w:tblCellMar>
      </w:tblPr>
      <w:tblGrid>
        <w:gridCol w:w="1076"/>
        <w:gridCol w:w="673"/>
        <w:gridCol w:w="649"/>
        <w:gridCol w:w="118"/>
        <w:gridCol w:w="118"/>
        <w:gridCol w:w="118"/>
        <w:gridCol w:w="293"/>
        <w:gridCol w:w="1460"/>
        <w:gridCol w:w="140"/>
        <w:gridCol w:w="118"/>
        <w:gridCol w:w="118"/>
        <w:gridCol w:w="118"/>
        <w:gridCol w:w="384"/>
        <w:gridCol w:w="384"/>
        <w:gridCol w:w="495"/>
        <w:gridCol w:w="118"/>
        <w:gridCol w:w="118"/>
        <w:gridCol w:w="118"/>
        <w:gridCol w:w="293"/>
        <w:gridCol w:w="1460"/>
        <w:gridCol w:w="140"/>
        <w:gridCol w:w="118"/>
        <w:gridCol w:w="118"/>
        <w:gridCol w:w="118"/>
        <w:gridCol w:w="384"/>
        <w:gridCol w:w="384"/>
        <w:gridCol w:w="574"/>
      </w:tblGrid>
      <w:tr>
        <w:trPr/>
        <w:tc>
          <w:tcPr>
            <w:tcW w:w="107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6"/>
              </w:rPr>
            </w:pPr>
            <w:r>
              <w:rPr>
                <w:rFonts w:ascii="Garamond;serif" w:hAnsi="Garamond;serif"/>
                <w:b w:val="false"/>
                <w:i/>
                <w:color w:val="000000"/>
                <w:sz w:val="16"/>
              </w:rPr>
              <w:t>(In thousands)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aramond;serif" w:hAnsi="Garamond;serif"/>
                <w:b w:val="false"/>
                <w:color w:val="000000"/>
                <w:sz w:val="18"/>
              </w:rPr>
            </w:pPr>
            <w:r>
              <w:rPr>
                <w:rFonts w:ascii="Garamond;serif" w:hAnsi="Garamond;serif"/>
                <w:b w:val="false"/>
                <w:color w:val="000000"/>
                <w:sz w:val="18"/>
              </w:rPr>
              <w:t>% of Net Sales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aramond;serif" w:hAnsi="Garamond;serif"/>
                <w:b w:val="false"/>
                <w:color w:val="000000"/>
                <w:sz w:val="18"/>
              </w:rPr>
            </w:pPr>
            <w:r>
              <w:rPr>
                <w:rFonts w:ascii="Garamond;serif" w:hAnsi="Garamond;serif"/>
                <w:b w:val="false"/>
                <w:color w:val="000000"/>
                <w:sz w:val="18"/>
              </w:rPr>
              <w:t>% of Net Sales</w:t>
            </w:r>
          </w:p>
        </w:tc>
      </w:tr>
      <w:tr>
        <w:trPr/>
        <w:tc>
          <w:tcPr>
            <w:tcW w:w="23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sales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1,023,194 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100.0 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1,081,879 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100.0 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Cost of goods sold</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694,162 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67.8 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682,737 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63.1 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Gross profit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329,032 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32.2 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399,142 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36.9 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Operating expenses: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Selling and marketing</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97,017 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9.5 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101,871 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9.4 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General and administrative</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113,334 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11.1 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115,306 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10.7 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Depreciation and amortization</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13,279 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12,479 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Business transaction costs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on impairment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331,000 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32.3 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operating expenses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554,630 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54.2 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230,476 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21.3 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income from operations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(225,598)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(22.0)</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168,666 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15.6 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income (expense):</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Interest income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2,068 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0.2 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2,150 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0.2 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Interest expense</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(15,895)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(19,099)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Gain (loss) on foreign currency transactions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income</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other (expense)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(13,542)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(17,271)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Income before income taxes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(239,140)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(23.4)</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151,395 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14.0 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Income tax (benefit) expense</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(52,739)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(5.2)</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35,424 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(loss) income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(186,401)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(18.2)</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115,971 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10.7 </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financial data:</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 xml:space="preserve">Adjusted EBITDA </w:t>
            </w:r>
            <w:r>
              <w:rPr>
                <w:rFonts w:ascii="Garamond;serif" w:hAnsi="Garamond;serif"/>
                <w:b w:val="false"/>
                <w:color w:val="000000"/>
                <w:sz w:val="12"/>
              </w:rPr>
              <w:t>(1)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4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168,375 </w:t>
            </w:r>
          </w:p>
        </w:tc>
        <w:tc>
          <w:tcPr>
            <w:tcW w:w="1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16.5 </w:t>
            </w:r>
          </w:p>
        </w:tc>
        <w:tc>
          <w:tcPr>
            <w:tcW w:w="4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4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211,923 </w:t>
            </w:r>
          </w:p>
        </w:tc>
        <w:tc>
          <w:tcPr>
            <w:tcW w:w="1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19.6 </w:t>
            </w:r>
          </w:p>
        </w:tc>
        <w:tc>
          <w:tcPr>
            <w:tcW w:w="5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Garamond;serif" w:hAnsi="Garamond;serif"/>
                <w:b w:val="false"/>
                <w:color w:val="000000"/>
                <w:sz w:val="12"/>
              </w:rPr>
              <w:t xml:space="preserve">(1) </w:t>
            </w:r>
            <w:r>
              <w:rPr>
                <w:rFonts w:ascii="Garamond;serif" w:hAnsi="Garamond;serif"/>
                <w:b w:val="false"/>
                <w:color w:val="000000"/>
                <w:sz w:val="18"/>
              </w:rPr>
              <w:t>Adjusted EBITDA is a non-GAAP financial metric. See “Reconciliation of EBITDA and Adjusted EBITDA” below for a reconciliation of net income to EBITDA and Adjusted EBITDA for each applicable period.</w:t>
            </w:r>
          </w:p>
        </w:tc>
      </w:tr>
    </w:tbl>
    <w:p>
      <w:pPr>
        <w:pStyle w:val="TextBody"/>
        <w:bidi w:val="0"/>
        <w:spacing w:before="0" w:after="0"/>
        <w:ind w:left="0" w:right="0" w:hanging="9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 xml:space="preserve">Net sales. </w:t>
      </w:r>
      <w:r>
        <w:rPr>
          <w:rFonts w:ascii="Garamond;serif" w:hAnsi="Garamond;serif"/>
          <w:b w:val="false"/>
          <w:color w:val="000000"/>
          <w:sz w:val="20"/>
        </w:rPr>
        <w:t>Net sales were $1,023.2 million for the thirty-nine weeks ended May 30, 2026, compared to $1,081.9 million for the thirty-nine weeks ended May 31, 2025, representing a decrease of $58.7 million, or 5.4%, driven by the distribution-related declines for Atkins and velocity-related declines for OWYN, which were partially offset by Quest volume-driven growth.</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Cost of goods sold</w:t>
      </w:r>
      <w:r>
        <w:rPr>
          <w:rFonts w:ascii="Garamond;serif" w:hAnsi="Garamond;serif"/>
          <w:b w:val="false"/>
          <w:i/>
          <w:color w:val="000000"/>
          <w:sz w:val="20"/>
        </w:rPr>
        <w:t xml:space="preserve">. </w:t>
      </w:r>
      <w:r>
        <w:rPr>
          <w:rFonts w:ascii="Garamond;serif" w:hAnsi="Garamond;serif"/>
          <w:b w:val="false"/>
          <w:color w:val="000000"/>
          <w:sz w:val="20"/>
        </w:rPr>
        <w:t>Cost of goods sold increased $11.4 million, or 1.7%, for the thirty-nine weeks ended May 30, 2026, compared to the thirty-nine weeks ended May 31, 2025. The cost of goods sold increase was driven primarily by higher input costs and restructuring costs compared to the prior year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 xml:space="preserve">Gross profit. </w:t>
      </w:r>
      <w:r>
        <w:rPr>
          <w:rFonts w:ascii="Garamond;serif" w:hAnsi="Garamond;serif"/>
          <w:b w:val="false"/>
          <w:color w:val="000000"/>
          <w:sz w:val="20"/>
        </w:rPr>
        <w:t>Gross profit decreased $70.1 million, or 17.6%, to $329.0 million for the thirty-nine weeks ended May 30, 2026, compared to the thirty-nine weeks ended May 31, 2025. Gross profit margin was 32.2% of net sales for the thirty-nine weeks ended May 30, 2026, a decrease of 470 basis points from 36.9% of net sales for the thirty-nine weeks ended May 31, 2025. The decrease in gross profit margin was primarily driven by higher input costs and restructuring costs compared to the prior year period.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Operating expenses</w:t>
      </w:r>
      <w:r>
        <w:rPr>
          <w:rFonts w:ascii="Garamond;serif" w:hAnsi="Garamond;serif"/>
          <w:b w:val="false"/>
          <w:color w:val="000000"/>
          <w:sz w:val="20"/>
        </w:rPr>
        <w:t>. Operating expenses increased $324.2 million, or 140.6%, for the thirty-nine weeks ended May 30, 2026, compared to the thirty-nine weeks ended May 31, 2025, due to the following:</w:t>
      </w:r>
    </w:p>
    <w:p>
      <w:pPr>
        <w:pStyle w:val="TextBody"/>
        <w:bidi w:val="0"/>
        <w:spacing w:before="0" w:after="0"/>
        <w:jc w:val="both"/>
        <w:rPr/>
      </w:pPr>
      <w:r>
        <w:rPr/>
      </w:r>
    </w:p>
    <w:p>
      <w:pPr>
        <w:pStyle w:val="TextBody"/>
        <w:bidi w:val="0"/>
        <w:spacing w:lineRule="auto" w:line="288" w:before="0" w:after="120"/>
        <w:ind w:left="0" w:right="0" w:hanging="270"/>
        <w:jc w:val="both"/>
        <w:rPr/>
      </w:pPr>
      <w:r>
        <w:rPr>
          <w:color w:val="000000"/>
        </w:rPr>
        <w:t>•</w:t>
      </w:r>
      <w:r>
        <w:rPr>
          <w:rFonts w:ascii="Garamond;serif" w:hAnsi="Garamond;serif"/>
          <w:b w:val="false"/>
          <w:i/>
          <w:color w:val="000000"/>
          <w:sz w:val="20"/>
        </w:rPr>
        <w:t xml:space="preserve">Selling and marketing. </w:t>
      </w:r>
      <w:r>
        <w:rPr>
          <w:rFonts w:ascii="Garamond;serif" w:hAnsi="Garamond;serif"/>
          <w:b w:val="false"/>
          <w:color w:val="000000"/>
          <w:sz w:val="20"/>
        </w:rPr>
        <w:t>Selling and marketing</w:t>
      </w:r>
      <w:r>
        <w:rPr>
          <w:color w:val="000000"/>
        </w:rPr>
        <w:t xml:space="preserve"> </w:t>
      </w:r>
      <w:r>
        <w:rPr>
          <w:rFonts w:ascii="Garamond;serif" w:hAnsi="Garamond;serif"/>
          <w:b w:val="false"/>
          <w:color w:val="000000"/>
          <w:sz w:val="20"/>
        </w:rPr>
        <w:t>expenses decreased $4.9 million, or 4.8%, for the thirty-nine weeks ended May 30, 2026, compared to the thirty-nine weeks ended May 31, 2025 The decrease was primarily related to a planned decrease in Atkins marketing spend partially offset by increases for Quest and OWYN.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8"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120"/>
        <w:ind w:left="0" w:right="0" w:hanging="270"/>
        <w:jc w:val="both"/>
        <w:rPr/>
      </w:pPr>
      <w:r>
        <w:rPr>
          <w:color w:val="000000"/>
        </w:rPr>
        <w:t>•</w:t>
      </w:r>
      <w:r>
        <w:rPr>
          <w:rFonts w:ascii="Garamond;serif" w:hAnsi="Garamond;serif"/>
          <w:b w:val="false"/>
          <w:i/>
          <w:color w:val="000000"/>
          <w:sz w:val="20"/>
        </w:rPr>
        <w:t xml:space="preserve">General and administrative. </w:t>
      </w:r>
      <w:r>
        <w:rPr>
          <w:rFonts w:ascii="Garamond;serif" w:hAnsi="Garamond;serif"/>
          <w:b w:val="false"/>
          <w:color w:val="000000"/>
          <w:sz w:val="20"/>
        </w:rPr>
        <w:t>General and administrative expenses decreased $2.0 million, or 1.7%, for the thirty-nine weeks ended May 30, 2026, compared to the thirty-nine weeks ended May 31, 2025. The decrease was primarily attributable to a decrease of $8.0 million in integration expenses related to the OWYN Acquisition, a decrease of $5.4 million in employee-related costs, and lower general corporate expenses, partially offset by an increase of $10.8 million in restructuring costs, and an increase of $2.3 million in term loan transaction fees.</w:t>
      </w:r>
    </w:p>
    <w:p>
      <w:pPr>
        <w:pStyle w:val="TextBody"/>
        <w:bidi w:val="0"/>
        <w:spacing w:lineRule="auto" w:line="288" w:before="0" w:after="120"/>
        <w:ind w:left="0" w:right="0" w:hanging="270"/>
        <w:jc w:val="both"/>
        <w:rPr/>
      </w:pPr>
      <w:r>
        <w:rPr>
          <w:color w:val="000000"/>
        </w:rPr>
        <w:t>•</w:t>
      </w:r>
      <w:r>
        <w:rPr>
          <w:rFonts w:ascii="Garamond;serif" w:hAnsi="Garamond;serif"/>
          <w:b w:val="false"/>
          <w:i/>
          <w:color w:val="000000"/>
          <w:sz w:val="20"/>
        </w:rPr>
        <w:t xml:space="preserve">Depreciation and amortization. </w:t>
      </w:r>
      <w:r>
        <w:rPr>
          <w:rFonts w:ascii="Garamond;serif" w:hAnsi="Garamond;serif"/>
          <w:b w:val="false"/>
          <w:color w:val="000000"/>
          <w:sz w:val="20"/>
        </w:rPr>
        <w:t>Depreciation and amortization expense was $13.3 million and $12.5 million for the thirty-nine weeks ended May 30, 2026, compared to the thirty-nine weeks ended May 31, 2025, respectively.</w:t>
      </w:r>
    </w:p>
    <w:p>
      <w:pPr>
        <w:pStyle w:val="TextBody"/>
        <w:bidi w:val="0"/>
        <w:spacing w:lineRule="auto" w:line="288" w:before="0" w:after="120"/>
        <w:ind w:left="0" w:right="0" w:hanging="270"/>
        <w:jc w:val="both"/>
        <w:rPr/>
      </w:pPr>
      <w:r>
        <w:rPr>
          <w:color w:val="000000"/>
        </w:rPr>
        <w:t>•</w:t>
      </w:r>
      <w:r>
        <w:rPr>
          <w:rFonts w:ascii="Garamond;serif" w:hAnsi="Garamond;serif"/>
          <w:b w:val="false"/>
          <w:i/>
          <w:color w:val="000000"/>
          <w:sz w:val="20"/>
        </w:rPr>
        <w:t xml:space="preserve">Business transaction costs. </w:t>
      </w:r>
      <w:r>
        <w:rPr>
          <w:rFonts w:ascii="Garamond;serif" w:hAnsi="Garamond;serif"/>
          <w:b w:val="false"/>
          <w:color w:val="000000"/>
          <w:sz w:val="20"/>
        </w:rPr>
        <w:t>Business transaction costs were zero for the thirty-nine weeks ended May 30, 2026, compared to $0.8 million for the thirty-nine weeks ended May 31, 2025.</w:t>
      </w:r>
    </w:p>
    <w:p>
      <w:pPr>
        <w:pStyle w:val="TextBody"/>
        <w:bidi w:val="0"/>
        <w:spacing w:lineRule="auto" w:line="288" w:before="0" w:after="240"/>
        <w:ind w:left="0" w:right="0" w:hanging="270"/>
        <w:jc w:val="both"/>
        <w:rPr/>
      </w:pPr>
      <w:r>
        <w:rPr>
          <w:color w:val="000000"/>
        </w:rPr>
        <w:t>•</w:t>
      </w:r>
      <w:r>
        <w:rPr>
          <w:rFonts w:ascii="Garamond;serif" w:hAnsi="Garamond;serif"/>
          <w:b w:val="false"/>
          <w:i/>
          <w:color w:val="000000"/>
          <w:sz w:val="20"/>
        </w:rPr>
        <w:t>Loss on impairment.</w:t>
      </w:r>
      <w:r>
        <w:rPr>
          <w:color w:val="000000"/>
        </w:rPr>
        <w:t xml:space="preserve"> </w:t>
      </w:r>
      <w:r>
        <w:rPr>
          <w:rFonts w:ascii="Garamond;serif" w:hAnsi="Garamond;serif"/>
          <w:b w:val="false"/>
          <w:color w:val="000000"/>
          <w:sz w:val="20"/>
        </w:rPr>
        <w:t>Loss on impairment charges were $331.0 million for the thirty-nine weeks ended May 30, 2026 and zero for the thirty-nine weeks ended May 31, 2025. Refer to Note 4, Goodwill and Intangibles, for additional information regarding the Company’s impairment assessments.</w:t>
      </w:r>
    </w:p>
    <w:p>
      <w:pPr>
        <w:pStyle w:val="TextBody"/>
        <w:bidi w:val="0"/>
        <w:spacing w:lineRule="auto" w:line="288" w:before="0" w:after="0"/>
        <w:ind w:left="0" w:right="0" w:firstLine="720"/>
        <w:jc w:val="both"/>
        <w:rPr/>
      </w:pPr>
      <w:r>
        <w:rPr>
          <w:rFonts w:ascii="Garamond;serif" w:hAnsi="Garamond;serif"/>
          <w:b/>
          <w:i/>
          <w:color w:val="000000"/>
          <w:sz w:val="20"/>
        </w:rPr>
        <w:t xml:space="preserve">Interest income. </w:t>
      </w:r>
      <w:r>
        <w:rPr>
          <w:rFonts w:ascii="Garamond;serif" w:hAnsi="Garamond;serif"/>
          <w:b w:val="false"/>
          <w:color w:val="000000"/>
          <w:sz w:val="20"/>
        </w:rPr>
        <w:t>Interest income of $2.1 million decreased $0.1 million for the thirty-nine weeks ended May 30, 2026, compared to the thirty-nine weeks ended May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Interest expense</w:t>
      </w:r>
      <w:r>
        <w:rPr>
          <w:rFonts w:ascii="Garamond;serif" w:hAnsi="Garamond;serif"/>
          <w:b w:val="false"/>
          <w:i/>
          <w:color w:val="000000"/>
          <w:sz w:val="20"/>
        </w:rPr>
        <w:t xml:space="preserve">. </w:t>
      </w:r>
      <w:r>
        <w:rPr>
          <w:rFonts w:ascii="Garamond;serif" w:hAnsi="Garamond;serif"/>
          <w:b w:val="false"/>
          <w:color w:val="000000"/>
          <w:sz w:val="20"/>
        </w:rPr>
        <w:t>Interest expense of $15.9 million decreased $3.2 million for the thirty-nine weeks ended May 30, 2026, compared to the thirty-nine weeks ended May 31, 2025, primarily due to the decrease in interest rates on our Term Facility to 5.7% as of May 30, 2026 from 6.3% as of May 31, 2025.</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 xml:space="preserve">Gain (loss) on foreign currency transactions. </w:t>
      </w:r>
      <w:r>
        <w:rPr>
          <w:rFonts w:ascii="Garamond;serif" w:hAnsi="Garamond;serif"/>
          <w:b w:val="false"/>
          <w:color w:val="000000"/>
          <w:sz w:val="20"/>
        </w:rPr>
        <w:t>Foreign currency transactions resulted in a $0.1 million gain and an $0.3 million loss for the thirty-nine weeks ended May 30, 2026, and May 31, 2025, respectively.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 xml:space="preserve">Income tax (benefit) expense. </w:t>
      </w:r>
      <w:r>
        <w:rPr>
          <w:rFonts w:ascii="Garamond;serif" w:hAnsi="Garamond;serif"/>
          <w:b w:val="false"/>
          <w:color w:val="000000"/>
          <w:sz w:val="20"/>
        </w:rPr>
        <w:t>Income tax benefit was $52.7 million for the thirty-nine weeks ended May 30, 2026, compared to income tax expense of $35.4 million during the thirty-nine weeks ended May 31, 2025. The change in our income tax (benefit) expense was primarily driven by lower income from operations and changes in permanent differences, primarily the non-deductible goodwill impairment.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Net (loss) income</w:t>
      </w:r>
      <w:r>
        <w:rPr>
          <w:rFonts w:ascii="Garamond;serif" w:hAnsi="Garamond;serif"/>
          <w:b/>
          <w:color w:val="000000"/>
          <w:sz w:val="20"/>
        </w:rPr>
        <w:t>.</w:t>
      </w:r>
      <w:r>
        <w:rPr>
          <w:color w:val="000000"/>
        </w:rPr>
        <w:t xml:space="preserve"> </w:t>
      </w:r>
      <w:r>
        <w:rPr>
          <w:rFonts w:ascii="Garamond;serif" w:hAnsi="Garamond;serif"/>
          <w:b w:val="false"/>
          <w:color w:val="000000"/>
          <w:sz w:val="20"/>
        </w:rPr>
        <w:t>Net loss was $186.4 million for the thirty-nine weeks ended May 30, 2026, a decrease of $302.4 million compared to net income of $116.0 million for the thirty-nine weeks ended May 31, 2025. Net loss was primarily driven by higher operating expenses, primarily the loss on impairment, and was partially offset by lower income tax (benefit) expense and other expense.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 xml:space="preserve">Adjusted EBITDA. </w:t>
      </w:r>
      <w:r>
        <w:rPr>
          <w:rFonts w:ascii="Garamond;serif" w:hAnsi="Garamond;serif"/>
          <w:b w:val="false"/>
          <w:color w:val="000000"/>
          <w:sz w:val="20"/>
        </w:rPr>
        <w:t>Adjusted EBITDA decreased $43.5 million, or 20.5% for the thirty-nine weeks ended May 30, 2026, compared to the thirty-nine weeks ended May 31, 2025, driven primarily by lower gross profit. For a reconciliation of Adjusted EBITDA to its most directly comparable GAAP measure, see “Reconciliation of EBITDA and Adjusted EBITDA”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9"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 xml:space="preserve">Reconciliation of EBITDA and Adjusted EBITDA </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The Company defines EBITDA as net income or loss before interest income, interest expense, income tax (benefit) expense, depreciation and amortization, and Adjusted EBITDA as further adjusted to exclude the following items: loss on impairment, stock-based compensation expense, business transaction costs, purchase price accounting inventory step-up, integration expenses, term loan transaction fees, restructuring,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following unaudited table provides a reconciliation of EBITDA and Adjusted EBITDA to its most directly comparable GAAP measure, which is net income, for the thirteen and thirty-nine weeks ended May 30, 2026, and May 31, 2025:</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203"/>
        <w:gridCol w:w="1043"/>
        <w:gridCol w:w="1051"/>
        <w:gridCol w:w="109"/>
        <w:gridCol w:w="109"/>
        <w:gridCol w:w="109"/>
        <w:gridCol w:w="250"/>
        <w:gridCol w:w="1015"/>
        <w:gridCol w:w="120"/>
        <w:gridCol w:w="109"/>
        <w:gridCol w:w="109"/>
        <w:gridCol w:w="109"/>
        <w:gridCol w:w="269"/>
        <w:gridCol w:w="986"/>
        <w:gridCol w:w="130"/>
        <w:gridCol w:w="109"/>
        <w:gridCol w:w="109"/>
        <w:gridCol w:w="109"/>
        <w:gridCol w:w="229"/>
        <w:gridCol w:w="1050"/>
        <w:gridCol w:w="109"/>
        <w:gridCol w:w="109"/>
        <w:gridCol w:w="109"/>
        <w:gridCol w:w="109"/>
        <w:gridCol w:w="244"/>
        <w:gridCol w:w="1024"/>
        <w:gridCol w:w="174"/>
      </w:tblGrid>
      <w:tr>
        <w:trPr/>
        <w:tc>
          <w:tcPr>
            <w:tcW w:w="120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2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32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3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(51,972)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41,102 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(186,401)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115,971 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(689)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(673)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(2,150)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5,776 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19,099 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(2,963)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13,640 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(52,739)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35,424 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6,027 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5,345 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15,480 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(43,821)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64,314 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(207,217)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183,824 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on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82,000 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5,559 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4,027 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12,819 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Business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Inventory step-up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1,412 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Integration expense</w:t>
            </w:r>
            <w:r>
              <w:rPr>
                <w:color w:val="000000"/>
              </w:rPr>
              <w:t xml:space="preserve"> </w:t>
            </w:r>
            <w:r>
              <w:rPr>
                <w:rFonts w:ascii="Garamond;serif" w:hAnsi="Garamond;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5,226 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12,112 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Term loan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Restructuring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13,549 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 xml:space="preserve">Other </w:t>
            </w:r>
            <w:r>
              <w:rPr>
                <w:rFonts w:ascii="Garamond;serif" w:hAnsi="Garamond;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57,241 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73,854 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168,375 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211,923 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60" w:after="283"/>
              <w:ind w:left="0" w:right="0" w:hanging="90"/>
              <w:jc w:val="left"/>
              <w:rPr/>
            </w:pPr>
            <w:r>
              <w:rPr>
                <w:rFonts w:ascii="Garamond;serif" w:hAnsi="Garamond;serif"/>
                <w:b w:val="false"/>
                <w:color w:val="000000"/>
                <w:sz w:val="12"/>
              </w:rPr>
              <w:t>(1)</w:t>
            </w:r>
            <w:r>
              <w:rPr>
                <w:color w:val="000000"/>
              </w:rPr>
              <w:t xml:space="preserve"> </w:t>
            </w:r>
            <w:r>
              <w:rPr>
                <w:rFonts w:ascii="Garamond;serif" w:hAnsi="Garamond;serif"/>
                <w:b w:val="false"/>
                <w:color w:val="000000"/>
                <w:sz w:val="18"/>
              </w:rPr>
              <w:t>Includes one-time effects from actions taken to mitigate OWYN product quality issues.</w:t>
            </w:r>
          </w:p>
          <w:p>
            <w:pPr>
              <w:pStyle w:val="TableContents"/>
              <w:bidi w:val="0"/>
              <w:spacing w:lineRule="auto" w:line="240" w:before="60" w:after="283"/>
              <w:ind w:left="0" w:right="0" w:hanging="90"/>
              <w:jc w:val="left"/>
              <w:rPr/>
            </w:pPr>
            <w:r>
              <w:rPr>
                <w:rFonts w:ascii="Garamond;serif" w:hAnsi="Garamond;serif"/>
                <w:b w:val="false"/>
                <w:color w:val="000000"/>
                <w:sz w:val="12"/>
              </w:rPr>
              <w:t xml:space="preserve">(2) </w:t>
            </w:r>
            <w:r>
              <w:rPr>
                <w:rFonts w:ascii="Garamond;serif" w:hAnsi="Garamond;serif"/>
                <w:b w:val="false"/>
                <w:color w:val="000000"/>
                <w:sz w:val="18"/>
              </w:rPr>
              <w:t>Other items consist principally of exchange impact of foreign currency transactions and other expenses.</w:t>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30"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Overview</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We had $123.9 million in cash as of May 30, 2026.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Our material future cash requirements from contractual and other obligations relate primarily to our principal and interest payments for our Term Facility, as defined and discussed below, and our operating leases. Refer to Note 5, Long-Term Debt and Line of Credit, and Note 8, Leases, of the Notes to Unaudited Consolidated Financial Statements in this Report for additional information related to the expected timing and amount of payments related to our contractual and other obligations.</w:t>
      </w:r>
    </w:p>
    <w:p>
      <w:pPr>
        <w:pStyle w:val="TextBody"/>
        <w:bidi w:val="0"/>
        <w:spacing w:before="0" w:after="0"/>
        <w:jc w:val="both"/>
        <w:rPr/>
      </w:pPr>
      <w:r>
        <w:rPr/>
      </w:r>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Debt and Credit Facilities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On July 7, 2017, the Company (through certain of its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On January 21, 2022, we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 xml:space="preserve">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 </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On January 31, 2025, the Company entered into a seventh amendment (the “2025 Repricing Amendment”) to the Credit Agreement to reduce the interest rate per annum applicable to the Initial Term Loans outstanding under the Credit Agreement immediately prior to the effective date of the 2025 Repricing Amendment.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 xml:space="preserve">On November 19, 2025, the Company entered into an eighth amendment (the “2026 Incremental Facility Amendment”) to the Credit Agreement to increase the principal borrowed on the Term Facility by $150.0 million and provided for an extension of the maturity date from March 17, 2027 to March 17, 2030. The 2026 Incremental Facility Amendment also provided for an extension of the stated maturity date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31"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Revolving Commitments and Revolving Loans (each as defined in the Credit Agreement) from December 16, 2026, to the earlier of (i) 91 days prior to the then-effective maturity date of the Term Facility and (ii) December 16, 2029. The terms of the incremental borrowing are substantially the same as the terms of the outstanding borrowings under the Term Facility. No amounts of the Term Facility were repaid as a result of the execution of the 2026 Incremental Facility Amendment.</w:t>
      </w:r>
    </w:p>
    <w:p>
      <w:pPr>
        <w:pStyle w:val="TextBody"/>
        <w:bidi w:val="0"/>
        <w:spacing w:before="0" w:after="0"/>
        <w:ind w:left="0" w:right="0" w:firstLine="720"/>
        <w:jc w:val="both"/>
        <w:rPr/>
      </w:pPr>
      <w:r>
        <w:rPr/>
      </w:r>
    </w:p>
    <w:p>
      <w:pPr>
        <w:pStyle w:val="TextBody"/>
        <w:bidi w:val="0"/>
        <w:spacing w:lineRule="auto" w:line="288" w:before="0" w:after="100"/>
        <w:ind w:left="0" w:right="0" w:firstLine="720"/>
        <w:jc w:val="both"/>
        <w:rPr>
          <w:rFonts w:ascii="Garamond;serif" w:hAnsi="Garamond;serif"/>
          <w:b w:val="false"/>
          <w:color w:val="000000"/>
          <w:sz w:val="20"/>
        </w:rPr>
      </w:pPr>
      <w:r>
        <w:rPr>
          <w:rFonts w:ascii="Garamond;serif" w:hAnsi="Garamond;serif"/>
          <w:b w:val="false"/>
          <w:color w:val="000000"/>
          <w:sz w:val="20"/>
        </w:rPr>
        <w:t>Effective as of the 2026 Incremental Facility Amendment, the interest rate per annum for the Initial Term Loans is based on either:</w:t>
      </w:r>
    </w:p>
    <w:p>
      <w:pPr>
        <w:pStyle w:val="TextBody"/>
        <w:bidi w:val="0"/>
        <w:spacing w:lineRule="auto" w:line="288" w:before="0" w:after="100"/>
        <w:ind w:left="0" w:right="0" w:hanging="360"/>
        <w:jc w:val="both"/>
        <w:rPr>
          <w:rFonts w:ascii="Garamond;serif" w:hAnsi="Garamond;serif"/>
          <w:b w:val="false"/>
          <w:color w:val="000000"/>
          <w:sz w:val="20"/>
        </w:rPr>
      </w:pPr>
      <w:r>
        <w:rPr>
          <w:rFonts w:ascii="Garamond;serif" w:hAnsi="Garamond;serif"/>
          <w:b w:val="false"/>
          <w:color w:val="000000"/>
          <w:sz w:val="20"/>
        </w:rPr>
        <w:t xml:space="preserve">i.A base rate equaling the higher of (a) the “prime rate,” (b) the federal funds effective rate plus 0.50%, or (c) the Adjusted Term SOFR Rate (as defined in the Credit Agreement) applicable for an interest period of one month plus 1.00% plus (x) 1.00% margin for the Term Loan or (y) 1.00% margin for the Revolving Credit Facility; or </w:t>
      </w:r>
    </w:p>
    <w:p>
      <w:pPr>
        <w:pStyle w:val="TextBody"/>
        <w:bidi w:val="0"/>
        <w:spacing w:lineRule="auto" w:line="288" w:before="0" w:after="0"/>
        <w:ind w:left="0" w:right="0" w:hanging="360"/>
        <w:jc w:val="both"/>
        <w:rPr>
          <w:rFonts w:ascii="Garamond;serif" w:hAnsi="Garamond;serif"/>
          <w:b w:val="false"/>
          <w:color w:val="000000"/>
          <w:sz w:val="20"/>
        </w:rPr>
      </w:pPr>
      <w:r>
        <w:rPr>
          <w:rFonts w:ascii="Garamond;serif" w:hAnsi="Garamond;serif"/>
          <w:b w:val="false"/>
          <w:color w:val="000000"/>
          <w:sz w:val="20"/>
        </w:rPr>
        <w:t>ii.SOFR, subject to a floor of 0.00%, plus (x) 2.00% margin for the Term Loan or (y) 2.00% margin for the Revolving Credit Facility.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val="false"/>
          <w:color w:val="000000"/>
          <w:sz w:val="20"/>
        </w:rPr>
        <w:t xml:space="preserve">In connection with the closing of the 2026 Incremental Facility Amendment, the Company expensed $2.7 million of non-deferrable third-party costs through </w:t>
      </w:r>
      <w:r>
        <w:rPr>
          <w:rFonts w:ascii="Garamond;serif" w:hAnsi="Garamond;serif"/>
          <w:b w:val="false"/>
          <w:i/>
          <w:color w:val="000000"/>
          <w:sz w:val="20"/>
        </w:rPr>
        <w:t xml:space="preserve">General and administrative </w:t>
      </w:r>
      <w:r>
        <w:rPr>
          <w:rFonts w:ascii="Garamond;serif" w:hAnsi="Garamond;serif"/>
          <w:b w:val="false"/>
          <w:color w:val="000000"/>
          <w:sz w:val="20"/>
        </w:rPr>
        <w:t>within the</w:t>
      </w:r>
      <w:r>
        <w:rPr>
          <w:color w:val="000000"/>
        </w:rPr>
        <w:t xml:space="preserve"> </w:t>
      </w:r>
      <w:r>
        <w:rPr>
          <w:rFonts w:ascii="Garamond;serif" w:hAnsi="Garamond;serif"/>
          <w:b w:val="false"/>
          <w:color w:val="000000"/>
          <w:sz w:val="20"/>
        </w:rPr>
        <w:t>Consolidated Statements of Operations and Comprehensive Income (Loss) and capitalized $2.6 million of upfront lender fees (original issue discount) and third-party financing costs.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covenants as of May 30, 2026, and August 30, 2025,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As of May 30, 2026, the outstanding balance of the Term Facility was $400.0 million. We are not required to make principal payments on the Term Facility over the twelve months following the period ended May 30, 2026. The outstanding balance of the Term Facility is due upon its maturity in March 2030. As of May 30, 2026, there were no amounts drawn against the Revolving Credit Facility.</w:t>
      </w:r>
    </w:p>
    <w:p>
      <w:pPr>
        <w:pStyle w:val="TextBody"/>
        <w:bidi w:val="0"/>
        <w:spacing w:before="0" w:after="0"/>
        <w:jc w:val="both"/>
        <w:rPr/>
      </w:pPr>
      <w:r>
        <w:rPr/>
      </w:r>
    </w:p>
    <w:p>
      <w:pPr>
        <w:pStyle w:val="TextBody"/>
        <w:bidi w:val="0"/>
        <w:spacing w:lineRule="auto" w:line="288" w:before="0" w:after="0"/>
        <w:jc w:val="left"/>
        <w:rPr>
          <w:rFonts w:ascii="Garamond;serif" w:hAnsi="Garamond;serif"/>
          <w:b/>
          <w:i/>
          <w:color w:val="000000"/>
          <w:sz w:val="20"/>
        </w:rPr>
      </w:pPr>
      <w:r>
        <w:rPr>
          <w:rFonts w:ascii="Garamond;serif" w:hAnsi="Garamond;serif"/>
          <w:b/>
          <w:i/>
          <w:color w:val="000000"/>
          <w:sz w:val="20"/>
        </w:rPr>
        <w:t>Stock Repurchase Program</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Company adopted a stock repurchase program in November 2018. On January 6, 2026, the Company announced that its Board of Directors approved a $200.0 million increase in its repurchase authorization under its stock repurchase program (the “Current Authorization”).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During the thirteen and thirty-nine weeks ended May 30, 2026, the Company repurchased 2,061,263 and 11,651,767 shares of common stock at an average price of $12.14 and $18.29 per share, respectively, inclusive of commissions and exclusive of accrued excise tax. During the thirteen and thirty-nine weeks ended May 31, 2025, the Company repurchased 693,375 shares of common stock at an average price of $35.10 per share, inclusive of commissions and exclusive of accrued excise tax. The U.S. Inflation Reduction Act of 2022 requires a 1% excise tax on the net amount of share repurchases. As of May 30, 2026, approximately $157.5 million remained available under the Current Authorization.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2"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Cash Flows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following table sets forth the major sources and uses of cash for each of the periods set forth below (in thousands):</w:t>
      </w:r>
    </w:p>
    <w:tbl>
      <w:tblPr>
        <w:tblW w:w="7462" w:type="dxa"/>
        <w:jc w:val="center"/>
        <w:tblInd w:w="0" w:type="dxa"/>
        <w:tblLayout w:type="fixed"/>
        <w:tblCellMar>
          <w:top w:w="28" w:type="dxa"/>
          <w:left w:w="28" w:type="dxa"/>
          <w:bottom w:w="28" w:type="dxa"/>
          <w:right w:w="28" w:type="dxa"/>
        </w:tblCellMar>
      </w:tblPr>
      <w:tblGrid>
        <w:gridCol w:w="1437"/>
        <w:gridCol w:w="1267"/>
        <w:gridCol w:w="1271"/>
        <w:gridCol w:w="109"/>
        <w:gridCol w:w="109"/>
        <w:gridCol w:w="109"/>
        <w:gridCol w:w="246"/>
        <w:gridCol w:w="1030"/>
        <w:gridCol w:w="118"/>
        <w:gridCol w:w="109"/>
        <w:gridCol w:w="109"/>
        <w:gridCol w:w="109"/>
        <w:gridCol w:w="229"/>
        <w:gridCol w:w="1054"/>
        <w:gridCol w:w="156"/>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Thirty-Nine Weeks Ended</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May 31, 2025</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102,170 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133,087 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(10,090)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Garamond;serif" w:hAnsi="Garamond;serif"/>
                <w:b w:val="false"/>
                <w:color w:val="000000"/>
                <w:sz w:val="18"/>
              </w:rPr>
            </w:pPr>
            <w:r>
              <w:rPr>
                <w:rFonts w:ascii="Garamond;serif" w:hAnsi="Garamond;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(66,947)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(165,206)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Garamond;serif" w:hAnsi="Garamond;serif"/>
          <w:b w:val="false"/>
          <w:i/>
          <w:color w:val="000000"/>
          <w:sz w:val="20"/>
        </w:rPr>
        <w:t xml:space="preserve">Operating activities. </w:t>
      </w:r>
      <w:r>
        <w:rPr>
          <w:rFonts w:ascii="Garamond;serif" w:hAnsi="Garamond;serif"/>
          <w:b w:val="false"/>
          <w:color w:val="000000"/>
          <w:sz w:val="20"/>
        </w:rPr>
        <w:t>Our net cash provided by operating activities decreased $30.9 million to $102.2 million for the thirty-nine weeks ended May 30, 2026, compared to $133.1 million for the thirty-nine weeks ended May 31, 2025. The decrease in cash provided by operating activities was primarily attributable to changes in working capital for the thirty-nine weeks ended May 30, 2026, as compared to the thirty-nine weeks ended May 31, 2025. Changes in working capital, comprised of changes in accounts receivable, net, inventories, net, prepaid expenses, other current assets, accounts payable, accrued interest, accrued expenses and other current liabilities, and other assets and liabilities, were driven by the timing of payments and receipts, which was $24.4 million of cash used in the thirty-nine weeks ended May 30, 2026, compared to $29.9 million of cash used in the thirty-nine weeks ended May 31, 2025, a difference of $5.5 million. Loss from operations was $225.6 million for the thirty-nine weeks ended May 30, 2026, as compared to income from operations of $168.7 million for the thirty-nine weeks ended May 31, 2025. The decrease was driven by higher operating expenses, primarily the loss on impairment. Additionally, cash paid for interest was $15.4 million in the thirty-nine weeks ended May 30, 2026, which was a decrease of $2.6 million as compared to the $18.0 million paid for interest in the thirty-nine weeks ended May 31, 2025.</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val="false"/>
          <w:i/>
          <w:color w:val="000000"/>
          <w:sz w:val="20"/>
        </w:rPr>
        <w:t>Investing activities</w:t>
      </w:r>
      <w:r>
        <w:rPr>
          <w:rFonts w:ascii="Garamond;serif" w:hAnsi="Garamond;serif"/>
          <w:b w:val="false"/>
          <w:color w:val="000000"/>
          <w:sz w:val="20"/>
        </w:rPr>
        <w:t>. Our net cash used in investing activities was $10.1 million for the thirty-nine weeks ended May 30, 2026, compared to $2.2 million for the thirty-nine weeks ended May 31, 2025. Our net cash used in investing activities for the thirty-nine weeks ended May 30, 2026, was primarily comprised of $10.1 million of purchases of property and equipment. The $2.2 million of net cash used in investing activities for the thirty-nine weeks ended May 31, 2025, was primarily comprised of $2.5 million of purchases of property and equipment and $1.4 million of investments in intangible and other assets, and was offset by $1.7 million of cash proceeds received from escrow related to net working capital adjustments related to the OWYN Acquisition.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val="false"/>
          <w:i/>
          <w:color w:val="000000"/>
          <w:sz w:val="20"/>
        </w:rPr>
        <w:t>Financing activities</w:t>
      </w:r>
      <w:r>
        <w:rPr>
          <w:rFonts w:ascii="Garamond;serif" w:hAnsi="Garamond;serif"/>
          <w:b w:val="false"/>
          <w:color w:val="000000"/>
          <w:sz w:val="20"/>
        </w:rPr>
        <w:t>. Our net cash used in financing activities was $66.9 million for the thirty-nine weeks ended May 30, 2026, compared to $165.2 million for the thirty-nine weeks ended May 31, 2025. Net cash used in financing activities for the thirty-nine weeks ended May 30, 2026, primarily consisted of $213.2 million in repurchases of common stock, inclusive of commissions and exclusive of accrued excise tax, and $2.2 million in tax payments related to the issuance of restricted stock units and performance stock units, partially offset by $150.0 million in proceeds from issuance of long-term debt and $1.1 million of cash proceeds received from option exercises. Net cash used in financing activities for the thirty-nine weeks ended May 31, 2025, primarily consisted of $150.0 million in principal payments on the Term Facility, $24.3 million in repurchases of common stock, inclusive of commissions and exclusive of accrued excise tax, and $2.8 million in tax payments related to issuance of restricted stock units and performance stock units, partially offset by $12.0 million of cash proceeds received from option exercises.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New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val="false"/>
          <w:color w:val="000000"/>
          <w:sz w:val="20"/>
        </w:rPr>
        <w:t>For a description of critical accounting policies that affect our significant judgments and estimates used in the preparation of our consolidated financial statements, refer to our Annual Report. Refer to Note 2, Summary of Significant Accounting Policies</w:t>
      </w:r>
      <w:r>
        <w:rPr>
          <w:rFonts w:ascii="Garamond;serif" w:hAnsi="Garamond;serif"/>
          <w:b w:val="false"/>
          <w:color w:val="000000"/>
          <w:sz w:val="18"/>
        </w:rPr>
        <w:t xml:space="preserve">, </w:t>
      </w:r>
      <w:r>
        <w:rPr>
          <w:rFonts w:ascii="Garamond;serif" w:hAnsi="Garamond;serif"/>
          <w:b w:val="false"/>
          <w:color w:val="000000"/>
          <w:sz w:val="20"/>
        </w:rPr>
        <w:t>of our unaudited interim consolidated financial statements in this Report for further information regarding recently issued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3"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There were no material changes in our market risk exposure during the thirteen-week period ended May 30, 2026. For a discussion of our market risks, see “Quantitative and Qualitative Disclosures About Market Risk” in Part II, Item 7A of our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Item 4.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We maintain disclosure controls and procedures, as such term is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May 30, 2026, the Company’s disclosure controls and procedures were effective.</w:t>
      </w:r>
    </w:p>
    <w:p>
      <w:pPr>
        <w:pStyle w:val="TextBody"/>
        <w:bidi w:val="0"/>
        <w:spacing w:before="0" w:after="0"/>
        <w:jc w:val="both"/>
        <w:rPr/>
      </w:pPr>
      <w:r>
        <w:rPr/>
      </w: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There were no changes in our internal control over financial reporting during the quarter ended May 30, 2026,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Inherent Limitations on Effectiveness of Controls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4"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Item 1A. Risk Factors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Readers should carefully consider the factors discussed in Part I, Item 1A. “Risk Factors” in our Annual Report, which could materially affect our business, financial condition, cash flows or future results. There have been no material changes in our risk factors included in our Annual Report. The risks described in our Annual Report are not the only risks facing our Company. Additional risks and uncertainties not currently known to us or that we currently deem to be immaterial may also materially adversely affect our business, financial condition or future results.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5"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Issuer Purchases of Equity Securities</w:t>
      </w:r>
    </w:p>
    <w:tbl>
      <w:tblPr>
        <w:tblW w:w="10205" w:type="dxa"/>
        <w:jc w:val="center"/>
        <w:tblInd w:w="0" w:type="dxa"/>
        <w:tblLayout w:type="fixed"/>
        <w:tblCellMar>
          <w:top w:w="28" w:type="dxa"/>
          <w:left w:w="28" w:type="dxa"/>
          <w:bottom w:w="28" w:type="dxa"/>
          <w:right w:w="28" w:type="dxa"/>
        </w:tblCellMar>
      </w:tblPr>
      <w:tblGrid>
        <w:gridCol w:w="401"/>
        <w:gridCol w:w="352"/>
        <w:gridCol w:w="356"/>
        <w:gridCol w:w="115"/>
        <w:gridCol w:w="115"/>
        <w:gridCol w:w="115"/>
        <w:gridCol w:w="842"/>
        <w:gridCol w:w="449"/>
        <w:gridCol w:w="450"/>
        <w:gridCol w:w="115"/>
        <w:gridCol w:w="115"/>
        <w:gridCol w:w="115"/>
        <w:gridCol w:w="278"/>
        <w:gridCol w:w="871"/>
        <w:gridCol w:w="134"/>
        <w:gridCol w:w="115"/>
        <w:gridCol w:w="115"/>
        <w:gridCol w:w="115"/>
        <w:gridCol w:w="974"/>
        <w:gridCol w:w="611"/>
        <w:gridCol w:w="612"/>
        <w:gridCol w:w="115"/>
        <w:gridCol w:w="115"/>
        <w:gridCol w:w="115"/>
        <w:gridCol w:w="321"/>
        <w:gridCol w:w="1942"/>
        <w:gridCol w:w="232"/>
      </w:tblGrid>
      <w:tr>
        <w:trPr/>
        <w:tc>
          <w:tcPr>
            <w:tcW w:w="4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Period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Total number of shares purchased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Garamond;serif" w:hAnsi="Garamond;serif"/>
                <w:b w:val="false"/>
                <w:color w:val="000000"/>
                <w:sz w:val="18"/>
              </w:rPr>
              <w:t>Average price paid per share</w:t>
            </w:r>
            <w:r>
              <w:rPr>
                <w:rFonts w:ascii="Garamond;serif" w:hAnsi="Garamond;serif"/>
                <w:b w:val="false"/>
                <w:color w:val="000000"/>
                <w:sz w:val="12"/>
              </w:rPr>
              <w:t>(2)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Garamond;serif" w:hAnsi="Garamond;serif"/>
                <w:b w:val="false"/>
                <w:color w:val="000000"/>
                <w:sz w:val="18"/>
              </w:rPr>
              <w:t>Total number of shares purchased as part of publicly announced plans or programs</w:t>
            </w:r>
            <w:r>
              <w:rPr>
                <w:rFonts w:ascii="Garamond;serif" w:hAnsi="Garamond;serif"/>
                <w:b w:val="false"/>
                <w:color w:val="000000"/>
                <w:sz w:val="12"/>
              </w:rPr>
              <w:t>(1)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Garamond;serif" w:hAnsi="Garamond;serif"/>
                <w:b w:val="false"/>
                <w:color w:val="000000"/>
                <w:sz w:val="18"/>
              </w:rPr>
              <w:t>Maximum dollar value of shares that may yet be purchased under the plans or programs</w:t>
            </w:r>
            <w:r>
              <w:rPr>
                <w:rFonts w:ascii="Garamond;serif" w:hAnsi="Garamond;serif"/>
                <w:b w:val="false"/>
                <w:color w:val="000000"/>
                <w:sz w:val="12"/>
              </w:rPr>
              <w:t>(1)</w:t>
            </w:r>
          </w:p>
        </w:tc>
      </w:tr>
      <w:tr>
        <w:trPr/>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March 1, 2026 - March 28, 2026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182,536,578 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March 29, 2026 - April 25, 2026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344,519 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344,519 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178,529,697 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April 26, 2026 - May 30, 2026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1,716,744 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1,716,744 </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157,513,691 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2,061,263 </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12.14 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2,061,263 </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157,513,691 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40"/>
              <w:jc w:val="both"/>
              <w:rPr/>
            </w:pPr>
            <w:r>
              <w:rPr>
                <w:rFonts w:ascii="Garamond;serif" w:hAnsi="Garamond;serif"/>
                <w:b w:val="false"/>
                <w:color w:val="000000"/>
                <w:sz w:val="12"/>
              </w:rPr>
              <w:t xml:space="preserve">(1) </w:t>
            </w:r>
            <w:r>
              <w:rPr>
                <w:rFonts w:ascii="Garamond;serif" w:hAnsi="Garamond;serif"/>
                <w:b w:val="false"/>
                <w:color w:val="000000"/>
                <w:sz w:val="18"/>
              </w:rPr>
              <w:t>Represents shares repurchased under our stock repurchase program adopted in November 2018. On January 6, 2026, the Company announced that its Board of Directors approved a $200.0 million increase in its repurchase authorization under its stock repurchase program (the “Current Authorization”). As of May 30, 2026, approximately $157.5 million remained available under the Current Authorization. Under the stock repurchase program, we may repurchase shares from time to time in the open market or in privately negotiated transactions. The stock repurchase program does not obligate us to acquire any specific number of shares over any specific period of time. We may suspend or discontinue the stock repurchase program at any time, and the stock repurchase program does not have an expiration date.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Garamond;serif" w:hAnsi="Garamond;serif"/>
                <w:b w:val="false"/>
                <w:color w:val="000000"/>
                <w:sz w:val="12"/>
              </w:rPr>
              <w:t>(2)</w:t>
            </w:r>
            <w:r>
              <w:rPr>
                <w:color w:val="000000"/>
              </w:rPr>
              <w:t xml:space="preserve"> </w:t>
            </w:r>
            <w:r>
              <w:rPr>
                <w:rFonts w:ascii="Garamond;serif" w:hAnsi="Garamond;serif"/>
                <w:b w:val="false"/>
                <w:color w:val="000000"/>
                <w:sz w:val="18"/>
              </w:rPr>
              <w:t>Average price paid per share includes commissions, but excludes our liability under the 1% excise tax on the net amount of share repurchases required by the Inflation Reduction Act of 2022.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6"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Pr>
          <w:t>Table</w:t>
        </w:r>
      </w:hyperlink>
      <w:hyperlink w:anchor="iaa87601e606e474ea6980bffad9d2b24_7">
        <w:r>
          <w:rPr>
            <w:rStyle w:val="InternetLink"/>
          </w:rPr>
          <w:t xml:space="preserve"> of Contents </w:t>
        </w:r>
      </w:hyperlink>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Item 5.    Other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In the three months ended May 30, 2026, no directors or officers adopted or terminated a “Rule 10b5-1 trading arrangement” or a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7"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0"/>
        <w:jc w:val="left"/>
        <w:rPr>
          <w:rFonts w:ascii="Garamond;serif" w:hAnsi="Garamond;serif"/>
          <w:b/>
          <w:color w:val="000000"/>
          <w:sz w:val="20"/>
        </w:rPr>
      </w:pPr>
      <w:r>
        <w:rPr>
          <w:rFonts w:ascii="Garamond;serif" w:hAnsi="Garamond;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52"/>
        <w:gridCol w:w="308"/>
        <w:gridCol w:w="311"/>
        <w:gridCol w:w="109"/>
        <w:gridCol w:w="109"/>
        <w:gridCol w:w="109"/>
        <w:gridCol w:w="2620"/>
        <w:gridCol w:w="2588"/>
        <w:gridCol w:w="3699"/>
      </w:tblGrid>
      <w:tr>
        <w:trPr/>
        <w:tc>
          <w:tcPr>
            <w:tcW w:w="3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color w:val="000000"/>
                <w:sz w:val="18"/>
              </w:rPr>
            </w:pPr>
            <w:r>
              <w:rPr>
                <w:rFonts w:ascii="Garamond;serif" w:hAnsi="Garamond;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color w:val="000000"/>
                <w:sz w:val="18"/>
              </w:rPr>
            </w:pPr>
            <w:r>
              <w:rPr>
                <w:rFonts w:ascii="Garamond;serif" w:hAnsi="Garamond;serif"/>
                <w:b/>
                <w:color w:val="000000"/>
                <w:sz w:val="18"/>
              </w:rPr>
              <w:t>Document</w:t>
            </w:r>
          </w:p>
        </w:tc>
      </w:tr>
      <w:tr>
        <w:trPr/>
        <w:tc>
          <w:tcPr>
            <w:tcW w:w="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Garamond;serif" w:hAnsi="Garamond;serif"/>
                  <w:b w:val="false"/>
                  <w:color w:val="0000FF"/>
                  <w:sz w:val="18"/>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Garamond;serif" w:hAnsi="Garamond;serif"/>
                  <w:b w:val="false"/>
                  <w:color w:val="0000FF"/>
                  <w:sz w:val="18"/>
                  <w:u w:val="single"/>
                </w:rPr>
                <w:t>Employment Agreement, dated January 19, 2026, between The Simply Good Foods Company and Joseph E. Scalzo (incorporated by reference to Exhibit 10.1 to our Form 8-K filed on January 21, 2026).</w:t>
              </w:r>
            </w:hyperlink>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Garamond;serif" w:hAnsi="Garamond;serif"/>
                  <w:b w:val="false"/>
                  <w:color w:val="0000FF"/>
                  <w:sz w:val="18"/>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Garamond;serif" w:hAnsi="Garamond;serif"/>
                  <w:b w:val="false"/>
                  <w:color w:val="0000FF"/>
                  <w:sz w:val="18"/>
                  <w:u w:val="single"/>
                </w:rPr>
                <w:t>The Simply Good Foods Company Stand-Alone Inducement Award - Nonqualified Stock Option Grant Notice and Agreement with Joseph E. Scalzo (incorporated by reference to Exhibit 10.2 to our Form 8-K filed on January 21, 2026).</w:t>
              </w:r>
            </w:hyperlink>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Garamond;serif" w:hAnsi="Garamond;serif"/>
                  <w:b w:val="false"/>
                  <w:color w:val="0000FF"/>
                  <w:sz w:val="18"/>
                  <w:u w:val="single"/>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Garamond;serif" w:hAnsi="Garamond;serif"/>
                  <w:b w:val="false"/>
                  <w:color w:val="0000FF"/>
                  <w:sz w:val="18"/>
                  <w:u w:val="single"/>
                </w:rPr>
                <w:t>Separation Agreement and General Release, dated January 18, 2026, by and between Geoff E. Tanner and Simply Good Foods USA, Inc., and for certain purposes therein, The Simply Good Foods Company (incorporated by reference to Exhibit 10.3 to our Form 8-K filed on January 21, 2026).</w:t>
              </w:r>
            </w:hyperlink>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Garamond;serif" w:hAnsi="Garamond;serif"/>
                  <w:b w:val="false"/>
                  <w:color w:val="0000FF"/>
                  <w:sz w:val="18"/>
                  <w:u w:val="single"/>
                </w:rPr>
                <w:t>10.4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Garamond;serif" w:hAnsi="Garamond;serif"/>
                  <w:b w:val="false"/>
                  <w:color w:val="0000FF"/>
                  <w:sz w:val="18"/>
                  <w:u w:val="single"/>
                </w:rPr>
                <w:t>The Simply Good Foods Company Incentive Plan (dated as of January 28, 2026) (incorporated by reference to Exhibit 99.1 to our Registration Statement on Form S-8, File Number 333-293244, filed on February 6, 2026).</w:t>
              </w:r>
            </w:hyperlink>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11-q326.htm">
              <w:r>
                <w:rPr>
                  <w:rStyle w:val="InternetLink"/>
                  <w:rFonts w:ascii="Garamond;serif" w:hAnsi="Garamond;serif"/>
                  <w:b w:val="false"/>
                  <w:color w:val="0000FF"/>
                  <w:sz w:val="18"/>
                  <w:u w:val="single"/>
                </w:rPr>
                <w:t>31.1</w:t>
              </w:r>
            </w:hyperlink>
            <w:r>
              <w:rPr>
                <w:rFonts w:ascii="Garamond;serif" w:hAnsi="Garamond;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11-q326.htm">
              <w:r>
                <w:rPr>
                  <w:rStyle w:val="InternetLink"/>
                  <w:rFonts w:ascii="Garamond;serif" w:hAnsi="Garamond;serif"/>
                  <w:b w:val="false"/>
                  <w:color w:val="0000FF"/>
                  <w:sz w:val="18"/>
                  <w:u w:val="single"/>
                </w:rPr>
                <w:t>Certification of Principal Executive Officer pursuant to Section 302 of the Sarbanes Oxley Act of 2002.</w:t>
              </w:r>
            </w:hyperlink>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312-q326.htm">
              <w:r>
                <w:rPr>
                  <w:rStyle w:val="InternetLink"/>
                  <w:rFonts w:ascii="Garamond;serif" w:hAnsi="Garamond;serif"/>
                  <w:b w:val="false"/>
                  <w:color w:val="0000FF"/>
                  <w:sz w:val="18"/>
                  <w:u w:val="single"/>
                </w:rPr>
                <w:t>31.2</w:t>
              </w:r>
            </w:hyperlink>
            <w:r>
              <w:rPr>
                <w:rFonts w:ascii="Garamond;serif" w:hAnsi="Garamond;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312-q326.htm">
              <w:r>
                <w:rPr>
                  <w:rStyle w:val="InternetLink"/>
                  <w:rFonts w:ascii="Garamond;serif" w:hAnsi="Garamond;serif"/>
                  <w:b w:val="false"/>
                  <w:color w:val="0000FF"/>
                  <w:sz w:val="18"/>
                  <w:u w:val="single"/>
                </w:rPr>
                <w:t>Certification of Principal Financial Officer pursuant to Section 302 of the Sarbanes Oxley Act of 2002.</w:t>
              </w:r>
            </w:hyperlink>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21-q326.htm">
              <w:r>
                <w:rPr>
                  <w:rStyle w:val="InternetLink"/>
                  <w:rFonts w:ascii="Garamond;serif" w:hAnsi="Garamond;serif"/>
                  <w:b w:val="false"/>
                  <w:color w:val="0000FF"/>
                  <w:sz w:val="18"/>
                  <w:u w:val="single"/>
                </w:rPr>
                <w:t>32.1</w:t>
              </w:r>
            </w:hyperlink>
            <w:r>
              <w:rPr>
                <w:rFonts w:ascii="Garamond;serif" w:hAnsi="Garamond;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21-q326.htm">
              <w:r>
                <w:rPr>
                  <w:rStyle w:val="InternetLink"/>
                  <w:rFonts w:ascii="Garamond;serif" w:hAnsi="Garamond;serif"/>
                  <w:b w:val="false"/>
                  <w:color w:val="0000FF"/>
                  <w:sz w:val="18"/>
                  <w:u w:val="single"/>
                </w:rPr>
                <w:t>Certification of Principal Executive Officer and Principal Financial Officer pursuant to Section 906 of the Sarbanes Oxley Act.</w:t>
              </w:r>
            </w:hyperlink>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val="false"/>
                <w:color w:val="000000"/>
                <w:sz w:val="18"/>
              </w:rPr>
            </w:pPr>
            <w:r>
              <w:rPr>
                <w:rFonts w:ascii="Garamond;serif" w:hAnsi="Garamond;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val="false"/>
                <w:color w:val="000000"/>
                <w:sz w:val="18"/>
              </w:rPr>
            </w:pPr>
            <w:r>
              <w:rPr>
                <w:rFonts w:ascii="Garamond;serif" w:hAnsi="Garamond;serif"/>
                <w:b w:val="false"/>
                <w:color w:val="000000"/>
                <w:sz w:val="18"/>
              </w:rPr>
              <w:t>XBRL Instance Document (the instance document does not appear on the Interactive Data File because the XBRL tags are embedded within the Inline XBRL document)</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val="false"/>
                <w:color w:val="000000"/>
                <w:sz w:val="18"/>
              </w:rPr>
            </w:pPr>
            <w:r>
              <w:rPr>
                <w:rFonts w:ascii="Garamond;serif" w:hAnsi="Garamond;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val="false"/>
                <w:color w:val="000000"/>
                <w:sz w:val="18"/>
              </w:rPr>
            </w:pPr>
            <w:r>
              <w:rPr>
                <w:rFonts w:ascii="Garamond;serif" w:hAnsi="Garamond;serif"/>
                <w:b w:val="false"/>
                <w:color w:val="000000"/>
                <w:sz w:val="18"/>
              </w:rPr>
              <w:t>XBRL Taxonomy Extension Schema Document</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val="false"/>
                <w:color w:val="000000"/>
                <w:sz w:val="18"/>
              </w:rPr>
            </w:pPr>
            <w:r>
              <w:rPr>
                <w:rFonts w:ascii="Garamond;serif" w:hAnsi="Garamond;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val="false"/>
                <w:color w:val="000000"/>
                <w:sz w:val="18"/>
              </w:rPr>
            </w:pPr>
            <w:r>
              <w:rPr>
                <w:rFonts w:ascii="Garamond;serif" w:hAnsi="Garamond;serif"/>
                <w:b w:val="false"/>
                <w:color w:val="000000"/>
                <w:sz w:val="18"/>
              </w:rPr>
              <w:t>XBRL Taxonomy Extension Calculation Linkbase Document</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val="false"/>
                <w:color w:val="000000"/>
                <w:sz w:val="18"/>
              </w:rPr>
            </w:pPr>
            <w:r>
              <w:rPr>
                <w:rFonts w:ascii="Garamond;serif" w:hAnsi="Garamond;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val="false"/>
                <w:color w:val="000000"/>
                <w:sz w:val="18"/>
              </w:rPr>
            </w:pPr>
            <w:r>
              <w:rPr>
                <w:rFonts w:ascii="Garamond;serif" w:hAnsi="Garamond;serif"/>
                <w:b w:val="false"/>
                <w:color w:val="000000"/>
                <w:sz w:val="18"/>
              </w:rPr>
              <w:t>XBRL Taxonomy Extension Definition Linkbase Document</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val="false"/>
                <w:color w:val="000000"/>
                <w:sz w:val="18"/>
              </w:rPr>
            </w:pPr>
            <w:r>
              <w:rPr>
                <w:rFonts w:ascii="Garamond;serif" w:hAnsi="Garamond;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val="false"/>
                <w:color w:val="000000"/>
                <w:sz w:val="18"/>
              </w:rPr>
            </w:pPr>
            <w:r>
              <w:rPr>
                <w:rFonts w:ascii="Garamond;serif" w:hAnsi="Garamond;serif"/>
                <w:b w:val="false"/>
                <w:color w:val="000000"/>
                <w:sz w:val="18"/>
              </w:rPr>
              <w:t>XBRL Taxonomy Extension Label Linkbase Document</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val="false"/>
                <w:color w:val="000000"/>
                <w:sz w:val="18"/>
              </w:rPr>
            </w:pPr>
            <w:r>
              <w:rPr>
                <w:rFonts w:ascii="Garamond;serif" w:hAnsi="Garamond;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val="false"/>
                <w:color w:val="000000"/>
                <w:sz w:val="18"/>
              </w:rPr>
            </w:pPr>
            <w:r>
              <w:rPr>
                <w:rFonts w:ascii="Garamond;serif" w:hAnsi="Garamond;serif"/>
                <w:b w:val="false"/>
                <w:color w:val="000000"/>
                <w:sz w:val="18"/>
              </w:rPr>
              <w:t>XBRL Taxonomy Extension Presentation Linkbase Document</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val="false"/>
                <w:color w:val="000000"/>
                <w:sz w:val="18"/>
              </w:rPr>
            </w:pPr>
            <w:r>
              <w:rPr>
                <w:rFonts w:ascii="Garamond;serif" w:hAnsi="Garamond;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val="false"/>
                <w:color w:val="000000"/>
                <w:sz w:val="18"/>
              </w:rPr>
            </w:pPr>
            <w:r>
              <w:rPr>
                <w:rFonts w:ascii="Garamond;serif" w:hAnsi="Garamond;serif"/>
                <w:b w:val="false"/>
                <w:color w:val="000000"/>
                <w:sz w:val="18"/>
              </w:rPr>
              <w:t>Cover Page Interactive Data File (embedded within the Inline XBRL document and contained in Exhibit 101).</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val="false"/>
                <w:color w:val="000000"/>
                <w:sz w:val="18"/>
              </w:rPr>
            </w:pPr>
            <w:r>
              <w:rPr>
                <w:rFonts w:ascii="Garamond;serif" w:hAnsi="Garamond;serif"/>
                <w:b w:val="false"/>
                <w:color w:val="000000"/>
                <w:sz w:val="18"/>
              </w:rPr>
              <w:t>* Filed herewith.</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Garamond;serif" w:hAnsi="Garamond;serif"/>
                <w:b w:val="false"/>
                <w:color w:val="000000"/>
                <w:sz w:val="18"/>
              </w:rPr>
            </w:pPr>
            <w:r>
              <w:rPr>
                <w:rFonts w:ascii="Garamond;serif" w:hAnsi="Garamond;serif"/>
                <w:b w:val="false"/>
                <w:color w:val="000000"/>
                <w:sz w:val="18"/>
              </w:rPr>
              <w:t>** Furnished herewith.</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8"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aa87601e606e474ea6980bffad9d2b24_7">
        <w:r>
          <w:rPr>
            <w:rStyle w:val="InternetLink"/>
            <w:rFonts w:ascii="Garamond;serif" w:hAnsi="Garamond;serif"/>
            <w:b w:val="false"/>
            <w:color w:val="0000FF"/>
            <w:sz w:val="20"/>
            <w:u w:val="single"/>
          </w:rPr>
          <w:t xml:space="preserve">Table of Contents </w:t>
        </w:r>
      </w:hyperlink>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SIGNATURES</w:t>
      </w:r>
    </w:p>
    <w:p>
      <w:pPr>
        <w:pStyle w:val="TextBody"/>
        <w:bidi w:val="0"/>
        <w:spacing w:before="0" w:after="0"/>
        <w:jc w:val="center"/>
        <w:rPr/>
      </w:pPr>
      <w:r>
        <w:rPr/>
      </w:r>
    </w:p>
    <w:p>
      <w:pPr>
        <w:pStyle w:val="TextBody"/>
        <w:bidi w:val="0"/>
        <w:spacing w:lineRule="auto" w:line="276" w:before="0" w:after="0"/>
        <w:ind w:left="0" w:right="0" w:firstLine="720"/>
        <w:jc w:val="left"/>
        <w:rPr>
          <w:rFonts w:ascii="Garamond;serif" w:hAnsi="Garamond;serif"/>
          <w:b w:val="false"/>
          <w:color w:val="000000"/>
          <w:sz w:val="20"/>
        </w:rPr>
      </w:pPr>
      <w:r>
        <w:rPr>
          <w:rFonts w:ascii="Garamond;serif" w:hAnsi="Garamond;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180" w:type="dxa"/>
        <w:jc w:val="center"/>
        <w:tblInd w:w="0" w:type="dxa"/>
        <w:tblLayout w:type="fixed"/>
        <w:tblCellMar>
          <w:top w:w="28" w:type="dxa"/>
          <w:left w:w="28" w:type="dxa"/>
          <w:bottom w:w="28" w:type="dxa"/>
          <w:right w:w="28" w:type="dxa"/>
        </w:tblCellMar>
      </w:tblPr>
      <w:tblGrid>
        <w:gridCol w:w="222"/>
        <w:gridCol w:w="196"/>
        <w:gridCol w:w="197"/>
        <w:gridCol w:w="414"/>
        <w:gridCol w:w="414"/>
        <w:gridCol w:w="417"/>
        <w:gridCol w:w="109"/>
        <w:gridCol w:w="109"/>
        <w:gridCol w:w="109"/>
        <w:gridCol w:w="233"/>
        <w:gridCol w:w="233"/>
        <w:gridCol w:w="238"/>
        <w:gridCol w:w="1255"/>
        <w:gridCol w:w="1255"/>
        <w:gridCol w:w="177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r>
      <w:tr>
        <w:trPr/>
        <w:tc>
          <w:tcPr>
            <w:tcW w:w="718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Garamond;serif" w:hAnsi="Garamond;serif"/>
                <w:b w:val="false"/>
                <w:color w:val="000000"/>
                <w:sz w:val="18"/>
              </w:rPr>
              <w:t>By:</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color w:val="000000"/>
                <w:sz w:val="18"/>
              </w:rPr>
            </w:pPr>
            <w:r>
              <w:rPr>
                <w:rFonts w:ascii="Garamond;serif" w:hAnsi="Garamond;serif"/>
                <w:b/>
                <w:color w:val="000000"/>
                <w:sz w:val="18"/>
              </w:rPr>
              <w:t>THE SIMPLY GOOD FOODS COMPANY</w:t>
            </w:r>
          </w:p>
          <w:p>
            <w:pPr>
              <w:pStyle w:val="TableContents"/>
              <w:bidi w:val="0"/>
              <w:spacing w:before="0" w:after="0"/>
              <w:jc w:val="left"/>
              <w:rPr/>
            </w:pPr>
            <w:r>
              <w:rPr/>
            </w:r>
          </w:p>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/s/ Christopher J. Bealer</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July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Name:</w:t>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Christopher J. Bealer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Title:</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Chief Financial Officer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(Principal Financial and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9"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U.S.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Joseph E. Scalzo,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1.  I have reviewed this Quarterly Report on Form 10-Q of The Simply Good Foods Company (the "registrant");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563" w:type="dxa"/>
        <w:jc w:val="left"/>
        <w:tblInd w:w="0" w:type="dxa"/>
        <w:tblLayout w:type="fixed"/>
        <w:tblCellMar>
          <w:top w:w="28" w:type="dxa"/>
          <w:left w:w="28" w:type="dxa"/>
          <w:bottom w:w="28" w:type="dxa"/>
          <w:right w:w="28" w:type="dxa"/>
        </w:tblCellMar>
      </w:tblPr>
      <w:tblGrid>
        <w:gridCol w:w="179"/>
        <w:gridCol w:w="157"/>
        <w:gridCol w:w="159"/>
        <w:gridCol w:w="329"/>
        <w:gridCol w:w="329"/>
        <w:gridCol w:w="331"/>
        <w:gridCol w:w="189"/>
        <w:gridCol w:w="189"/>
        <w:gridCol w:w="191"/>
        <w:gridCol w:w="1026"/>
        <w:gridCol w:w="1026"/>
        <w:gridCol w:w="1458"/>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Date:</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9, 2026</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510"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/s/ Joseph E. Scalzo</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E. Scalzo</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 President and Director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U.S.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Christopher Bealer,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1.  I have reviewed this Quarterly Report on Form 10-Q of The Simply Good Foods Company (the "registrant");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5398" w:type="dxa"/>
        <w:jc w:val="left"/>
        <w:tblInd w:w="0" w:type="dxa"/>
        <w:tblLayout w:type="fixed"/>
        <w:tblCellMar>
          <w:top w:w="28" w:type="dxa"/>
          <w:left w:w="28" w:type="dxa"/>
          <w:bottom w:w="28" w:type="dxa"/>
          <w:right w:w="28" w:type="dxa"/>
        </w:tblCellMar>
      </w:tblPr>
      <w:tblGrid>
        <w:gridCol w:w="179"/>
        <w:gridCol w:w="157"/>
        <w:gridCol w:w="159"/>
        <w:gridCol w:w="329"/>
        <w:gridCol w:w="329"/>
        <w:gridCol w:w="331"/>
        <w:gridCol w:w="189"/>
        <w:gridCol w:w="189"/>
        <w:gridCol w:w="191"/>
        <w:gridCol w:w="979"/>
        <w:gridCol w:w="979"/>
        <w:gridCol w:w="1387"/>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Date:</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9, 2026</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Christopher J. Bealer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Christopher J. Bealer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In connection with the Quarterly Report of The Simply Good Foods Company (the “Company”) on Form 10-Q for the fiscal period ended May 30, 2026,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2. The information contained in the Report fairly presents, in all material respects, the financial condition and results of operations of the Company covered by the Report.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This certificate is being furnished solely for the purposes of 18 U.S.C. Section 1350 and is not being filed as part of the Report or as a separate disclosure document.</w:t>
      </w:r>
    </w:p>
    <w:p>
      <w:pPr>
        <w:pStyle w:val="TextBody"/>
        <w:bidi w:val="0"/>
        <w:spacing w:before="0" w:after="0"/>
        <w:jc w:val="left"/>
        <w:rPr/>
      </w:pPr>
      <w:r>
        <w:rPr/>
      </w:r>
    </w:p>
    <w:tbl>
      <w:tblPr>
        <w:tblW w:w="5672" w:type="dxa"/>
        <w:jc w:val="left"/>
        <w:tblInd w:w="0" w:type="dxa"/>
        <w:tblLayout w:type="fixed"/>
        <w:tblCellMar>
          <w:top w:w="28" w:type="dxa"/>
          <w:left w:w="28" w:type="dxa"/>
          <w:bottom w:w="28" w:type="dxa"/>
          <w:right w:w="28" w:type="dxa"/>
        </w:tblCellMar>
      </w:tblPr>
      <w:tblGrid>
        <w:gridCol w:w="179"/>
        <w:gridCol w:w="157"/>
        <w:gridCol w:w="159"/>
        <w:gridCol w:w="329"/>
        <w:gridCol w:w="329"/>
        <w:gridCol w:w="331"/>
        <w:gridCol w:w="189"/>
        <w:gridCol w:w="189"/>
        <w:gridCol w:w="191"/>
        <w:gridCol w:w="1153"/>
        <w:gridCol w:w="1153"/>
        <w:gridCol w:w="1159"/>
        <w:gridCol w:w="154"/>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Date:</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9, 2026</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/s/ Joseph E. Scalzo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E. Scalzo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 President and Director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Date:</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9, 2026</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Christopher J. Bealer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Christopher J. Bealer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Financial and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Garamond">
    <w:altName w:val="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02744/000110465926005379/tm263640d1_ex10-1.htm" TargetMode="External"/><Relationship Id="rId4" Type="http://schemas.openxmlformats.org/officeDocument/2006/relationships/hyperlink" Target="https://www.sec.gov/Archives/edgar/data/1702744/000110465926005379/tm263640d1_ex10-1.htm" TargetMode="External"/><Relationship Id="rId5" Type="http://schemas.openxmlformats.org/officeDocument/2006/relationships/hyperlink" Target="https://www.sec.gov/Archives/edgar/data/1702744/000110465926005379/tm263640d1_ex10-2.htm" TargetMode="External"/><Relationship Id="rId6" Type="http://schemas.openxmlformats.org/officeDocument/2006/relationships/hyperlink" Target="https://www.sec.gov/Archives/edgar/data/1702744/000110465926005379/tm263640d1_ex10-2.htm" TargetMode="External"/><Relationship Id="rId7" Type="http://schemas.openxmlformats.org/officeDocument/2006/relationships/hyperlink" Target="https://www.sec.gov/Archives/edgar/data/1702744/000110465926005379/tm263640d1_ex10-3.htm" TargetMode="External"/><Relationship Id="rId8" Type="http://schemas.openxmlformats.org/officeDocument/2006/relationships/hyperlink" Target="https://www.sec.gov/Archives/edgar/data/1702744/000110465926005379/tm263640d1_ex10-3.htm" TargetMode="External"/><Relationship Id="rId9" Type="http://schemas.openxmlformats.org/officeDocument/2006/relationships/hyperlink" Target="https://www.sec.gov/Archives/edgar/data/1702744/000110465926011163/tm265046d1_ex99-1.htm" TargetMode="External"/><Relationship Id="rId10" Type="http://schemas.openxmlformats.org/officeDocument/2006/relationships/hyperlink" Target="https://www.sec.gov/Archives/edgar/data/1702744/000110465926011163/tm265046d1_ex99-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18731</Words>
  <Characters>104665</Characters>
  <CharactersWithSpaces>122328</CharactersWithSpaces>
  <Paragraphs>2460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