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30" w:lineRule="exact"/>
        <w:rPr>
          <w:sz w:val="24"/>
          <w:szCs w:val="24"/>
          <w:color w:val="auto"/>
        </w:rPr>
      </w:pPr>
    </w:p>
    <w:p>
      <w:pPr>
        <w:ind w:left="1160"/>
        <w:spacing w:after="0"/>
        <w:rPr>
          <w:sz w:val="20"/>
          <w:szCs w:val="20"/>
          <w:color w:val="auto"/>
        </w:rPr>
      </w:pPr>
      <w:r>
        <w:rPr>
          <w:rFonts w:ascii="Arial" w:cs="Arial" w:eastAsia="Arial" w:hAnsi="Arial"/>
          <w:sz w:val="14"/>
          <w:szCs w:val="14"/>
          <w:b w:val="1"/>
          <w:bCs w:val="1"/>
          <w:color w:val="auto"/>
        </w:rPr>
        <w:t>(Mark One)</w:t>
      </w:r>
    </w:p>
    <w:p>
      <w:pPr>
        <w:spacing w:after="0" w:line="109" w:lineRule="exact"/>
        <w:rPr>
          <w:sz w:val="24"/>
          <w:szCs w:val="24"/>
          <w:color w:val="auto"/>
        </w:rPr>
      </w:pPr>
    </w:p>
    <w:p>
      <w:pPr>
        <w:ind w:left="2240" w:right="860" w:hanging="785"/>
        <w:spacing w:after="0" w:line="232" w:lineRule="auto"/>
        <w:tabs>
          <w:tab w:leader="none" w:pos="2240" w:val="left"/>
        </w:tabs>
        <w:numPr>
          <w:ilvl w:val="0"/>
          <w:numId w:val="1"/>
        </w:numPr>
        <w:rPr>
          <w:rFonts w:ascii="MS PGothic" w:cs="MS PGothic" w:eastAsia="MS PGothic" w:hAnsi="MS PGothic"/>
          <w:sz w:val="16"/>
          <w:szCs w:val="16"/>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May 27, 2023</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82" w:lineRule="exact"/>
        <w:rPr>
          <w:sz w:val="24"/>
          <w:szCs w:val="24"/>
          <w:color w:val="auto"/>
        </w:rPr>
      </w:pPr>
    </w:p>
    <w:p>
      <w:pPr>
        <w:ind w:left="2220" w:right="860" w:hanging="738"/>
        <w:spacing w:after="0" w:line="239" w:lineRule="auto"/>
        <w:tabs>
          <w:tab w:leader="none" w:pos="2220" w:val="left"/>
        </w:tabs>
        <w:numPr>
          <w:ilvl w:val="0"/>
          <w:numId w:val="2"/>
        </w:numPr>
        <w:rPr>
          <w:rFonts w:ascii="Arial" w:cs="Arial" w:eastAsia="Arial" w:hAnsi="Arial"/>
          <w:sz w:val="16"/>
          <w:szCs w:val="16"/>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5"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001-38115</w:t>
      </w:r>
    </w:p>
    <w:p>
      <w:pPr>
        <w:spacing w:after="0" w:line="26"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Simply Good Foods Company</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83185</wp:posOffset>
            </wp:positionV>
            <wp:extent cx="268287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87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ectPr>
          <w:pgSz w:w="11900" w:h="16838" w:orient="portrait"/>
          <w:cols w:equalWidth="0" w:num="1">
            <w:col w:w="11240"/>
          </w:cols>
          <w:pgMar w:left="320" w:top="701" w:right="339" w:bottom="0" w:gutter="0" w:footer="0" w:header="0"/>
        </w:sectPr>
      </w:pPr>
    </w:p>
    <w:p>
      <w:pPr>
        <w:spacing w:after="0" w:line="135" w:lineRule="exact"/>
        <w:rPr>
          <w:sz w:val="24"/>
          <w:szCs w:val="24"/>
          <w:color w:val="auto"/>
        </w:rPr>
      </w:pPr>
    </w:p>
    <w:p>
      <w:pPr>
        <w:ind w:left="17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82-1038121</w:t>
      </w:r>
    </w:p>
    <w:p>
      <w:pPr>
        <w:spacing w:after="0" w:line="100" w:lineRule="exact"/>
        <w:rPr>
          <w:sz w:val="24"/>
          <w:szCs w:val="24"/>
          <w:color w:val="auto"/>
        </w:rPr>
      </w:pPr>
    </w:p>
    <w:p>
      <w:pPr>
        <w:sectPr>
          <w:pgSz w:w="11900" w:h="16838" w:orient="portrait"/>
          <w:cols w:equalWidth="0" w:num="2">
            <w:col w:w="7860" w:space="720"/>
            <w:col w:w="2660"/>
          </w:cols>
          <w:pgMar w:left="320" w:top="701" w:right="339" w:bottom="0" w:gutter="0" w:footer="0" w:header="0"/>
          <w:type w:val="continuous"/>
        </w:sectPr>
      </w:pPr>
    </w:p>
    <w:tbl>
      <w:tblPr>
        <w:tblLayout w:type="fixed"/>
        <w:tblInd w:w="1100" w:type="dxa"/>
        <w:tblCellMar>
          <w:top w:w="0" w:type="dxa"/>
          <w:left w:w="0" w:type="dxa"/>
          <w:bottom w:w="0" w:type="dxa"/>
          <w:right w:w="0" w:type="dxa"/>
        </w:tblCellMar>
      </w:tblPr>
      <w:tr>
        <w:trPr>
          <w:trHeight w:val="184"/>
        </w:trPr>
        <w:tc>
          <w:tcPr>
            <w:tcW w:w="4360" w:type="dxa"/>
            <w:vAlign w:val="bottom"/>
          </w:tcPr>
          <w:p>
            <w:pPr>
              <w:jc w:val="center"/>
              <w:ind w:right="2319"/>
              <w:spacing w:after="0"/>
              <w:rPr>
                <w:sz w:val="20"/>
                <w:szCs w:val="20"/>
                <w:color w:val="auto"/>
              </w:rPr>
            </w:pPr>
            <w:r>
              <w:rPr>
                <w:rFonts w:ascii="Arial" w:cs="Arial" w:eastAsia="Arial" w:hAnsi="Arial"/>
                <w:sz w:val="16"/>
                <w:szCs w:val="16"/>
                <w:color w:val="auto"/>
                <w:w w:val="93"/>
              </w:rPr>
              <w:t>(State or other jurisdiction of</w:t>
            </w:r>
          </w:p>
        </w:tc>
        <w:tc>
          <w:tcPr>
            <w:tcW w:w="4740" w:type="dxa"/>
            <w:vAlign w:val="bottom"/>
            <w:vMerge w:val="restart"/>
          </w:tcPr>
          <w:p>
            <w:pPr>
              <w:ind w:left="2380"/>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98"/>
        </w:trPr>
        <w:tc>
          <w:tcPr>
            <w:tcW w:w="4360" w:type="dxa"/>
            <w:vAlign w:val="bottom"/>
            <w:vMerge w:val="restart"/>
          </w:tcPr>
          <w:p>
            <w:pPr>
              <w:jc w:val="center"/>
              <w:ind w:right="2319"/>
              <w:spacing w:after="0"/>
              <w:rPr>
                <w:sz w:val="20"/>
                <w:szCs w:val="20"/>
                <w:color w:val="auto"/>
              </w:rPr>
            </w:pPr>
            <w:r>
              <w:rPr>
                <w:rFonts w:ascii="Arial" w:cs="Arial" w:eastAsia="Arial" w:hAnsi="Arial"/>
                <w:sz w:val="16"/>
                <w:szCs w:val="16"/>
                <w:color w:val="auto"/>
                <w:w w:val="94"/>
              </w:rPr>
              <w:t>incorporation or organization)</w:t>
            </w:r>
          </w:p>
        </w:tc>
        <w:tc>
          <w:tcPr>
            <w:tcW w:w="4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60" w:type="dxa"/>
            <w:vAlign w:val="bottom"/>
            <w:vMerge w:val="continue"/>
          </w:tcPr>
          <w:p>
            <w:pPr>
              <w:spacing w:after="0"/>
              <w:rPr>
                <w:sz w:val="9"/>
                <w:szCs w:val="9"/>
                <w:color w:val="auto"/>
              </w:rPr>
            </w:pPr>
          </w:p>
        </w:tc>
        <w:tc>
          <w:tcPr>
            <w:tcW w:w="4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1225 17th Street, Suite 1000</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Denver, CO 80202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and zip code)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(303) 633-2840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3"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4" w:lineRule="exact"/>
        <w:rPr>
          <w:sz w:val="24"/>
          <w:szCs w:val="24"/>
          <w:color w:val="auto"/>
        </w:rPr>
      </w:pPr>
    </w:p>
    <w:tbl>
      <w:tblPr>
        <w:tblLayout w:type="fixed"/>
        <w:tblInd w:w="1000" w:type="dxa"/>
        <w:tblCellMar>
          <w:top w:w="0" w:type="dxa"/>
          <w:left w:w="0" w:type="dxa"/>
          <w:bottom w:w="0" w:type="dxa"/>
          <w:right w:w="0" w:type="dxa"/>
        </w:tblCellMar>
      </w:tblPr>
      <w:tr>
        <w:trPr>
          <w:trHeight w:val="206"/>
        </w:trPr>
        <w:tc>
          <w:tcPr>
            <w:tcW w:w="3080" w:type="dxa"/>
            <w:vAlign w:val="bottom"/>
          </w:tcPr>
          <w:p>
            <w:pPr>
              <w:jc w:val="center"/>
              <w:spacing w:after="0"/>
              <w:rPr>
                <w:sz w:val="20"/>
                <w:szCs w:val="20"/>
                <w:color w:val="auto"/>
              </w:rPr>
            </w:pPr>
            <w:r>
              <w:rPr>
                <w:rFonts w:ascii="Arial" w:cs="Arial" w:eastAsia="Arial" w:hAnsi="Arial"/>
                <w:sz w:val="16"/>
                <w:szCs w:val="16"/>
                <w:color w:val="auto"/>
                <w:w w:val="90"/>
              </w:rPr>
              <w:t>Title of each class</w:t>
            </w:r>
          </w:p>
        </w:tc>
        <w:tc>
          <w:tcPr>
            <w:tcW w:w="140" w:type="dxa"/>
            <w:vAlign w:val="bottom"/>
          </w:tcPr>
          <w:p>
            <w:pPr>
              <w:spacing w:after="0"/>
              <w:rPr>
                <w:sz w:val="17"/>
                <w:szCs w:val="17"/>
                <w:color w:val="auto"/>
              </w:rPr>
            </w:pPr>
          </w:p>
        </w:tc>
        <w:tc>
          <w:tcPr>
            <w:tcW w:w="2580" w:type="dxa"/>
            <w:vAlign w:val="bottom"/>
          </w:tcPr>
          <w:p>
            <w:pPr>
              <w:jc w:val="center"/>
              <w:spacing w:after="0"/>
              <w:rPr>
                <w:sz w:val="20"/>
                <w:szCs w:val="20"/>
                <w:color w:val="auto"/>
              </w:rPr>
            </w:pPr>
            <w:r>
              <w:rPr>
                <w:rFonts w:ascii="Arial" w:cs="Arial" w:eastAsia="Arial" w:hAnsi="Arial"/>
                <w:sz w:val="16"/>
                <w:szCs w:val="16"/>
                <w:color w:val="auto"/>
                <w:w w:val="93"/>
              </w:rPr>
              <w:t>Trading symbol</w:t>
            </w:r>
          </w:p>
        </w:tc>
        <w:tc>
          <w:tcPr>
            <w:tcW w:w="140" w:type="dxa"/>
            <w:vAlign w:val="bottom"/>
          </w:tcPr>
          <w:p>
            <w:pPr>
              <w:spacing w:after="0"/>
              <w:rPr>
                <w:sz w:val="17"/>
                <w:szCs w:val="17"/>
                <w:color w:val="auto"/>
              </w:rPr>
            </w:pPr>
          </w:p>
        </w:tc>
        <w:tc>
          <w:tcPr>
            <w:tcW w:w="328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3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03"/>
        </w:trPr>
        <w:tc>
          <w:tcPr>
            <w:tcW w:w="3080" w:type="dxa"/>
            <w:vAlign w:val="bottom"/>
          </w:tcPr>
          <w:p>
            <w:pPr>
              <w:jc w:val="center"/>
              <w:spacing w:after="0"/>
              <w:rPr>
                <w:sz w:val="20"/>
                <w:szCs w:val="20"/>
                <w:color w:val="auto"/>
              </w:rPr>
            </w:pPr>
            <w:r>
              <w:rPr>
                <w:rFonts w:ascii="Arial" w:cs="Arial" w:eastAsia="Arial" w:hAnsi="Arial"/>
                <w:sz w:val="16"/>
                <w:szCs w:val="16"/>
                <w:color w:val="auto"/>
                <w:w w:val="90"/>
              </w:rPr>
              <w:t>Common Stock, par value $0.01 per share</w:t>
            </w:r>
          </w:p>
        </w:tc>
        <w:tc>
          <w:tcPr>
            <w:tcW w:w="140" w:type="dxa"/>
            <w:vAlign w:val="bottom"/>
          </w:tcPr>
          <w:p>
            <w:pPr>
              <w:spacing w:after="0"/>
              <w:rPr>
                <w:sz w:val="17"/>
                <w:szCs w:val="17"/>
                <w:color w:val="auto"/>
              </w:rPr>
            </w:pPr>
          </w:p>
        </w:tc>
        <w:tc>
          <w:tcPr>
            <w:tcW w:w="2580" w:type="dxa"/>
            <w:vAlign w:val="bottom"/>
          </w:tcPr>
          <w:p>
            <w:pPr>
              <w:jc w:val="center"/>
              <w:spacing w:after="0"/>
              <w:rPr>
                <w:sz w:val="20"/>
                <w:szCs w:val="20"/>
                <w:color w:val="auto"/>
              </w:rPr>
            </w:pPr>
            <w:r>
              <w:rPr>
                <w:rFonts w:ascii="Arial" w:cs="Arial" w:eastAsia="Arial" w:hAnsi="Arial"/>
                <w:sz w:val="16"/>
                <w:szCs w:val="16"/>
                <w:color w:val="auto"/>
                <w:w w:val="96"/>
              </w:rPr>
              <w:t>SMPL</w:t>
            </w:r>
          </w:p>
        </w:tc>
        <w:tc>
          <w:tcPr>
            <w:tcW w:w="140" w:type="dxa"/>
            <w:vAlign w:val="bottom"/>
          </w:tcPr>
          <w:p>
            <w:pPr>
              <w:spacing w:after="0"/>
              <w:rPr>
                <w:sz w:val="17"/>
                <w:szCs w:val="17"/>
                <w:color w:val="auto"/>
              </w:rPr>
            </w:pPr>
          </w:p>
        </w:tc>
        <w:tc>
          <w:tcPr>
            <w:tcW w:w="3280" w:type="dxa"/>
            <w:vAlign w:val="bottom"/>
          </w:tcPr>
          <w:p>
            <w:pPr>
              <w:jc w:val="center"/>
              <w:spacing w:after="0"/>
              <w:rPr>
                <w:sz w:val="20"/>
                <w:szCs w:val="20"/>
                <w:color w:val="auto"/>
              </w:rPr>
            </w:pPr>
            <w:r>
              <w:rPr>
                <w:rFonts w:ascii="Arial" w:cs="Arial" w:eastAsia="Arial" w:hAnsi="Arial"/>
                <w:sz w:val="16"/>
                <w:szCs w:val="16"/>
                <w:color w:val="auto"/>
                <w:w w:val="86"/>
              </w:rPr>
              <w:t>Nasdaq</w:t>
            </w:r>
          </w:p>
        </w:tc>
      </w:tr>
    </w:tbl>
    <w:p>
      <w:pPr>
        <w:spacing w:after="0" w:line="383"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01" w:right="339" w:bottom="0" w:gutter="0" w:footer="0" w:header="0"/>
          <w:type w:val="continuous"/>
        </w:sectPr>
      </w:pPr>
    </w:p>
    <w:p>
      <w:pPr>
        <w:spacing w:after="0" w:line="134" w:lineRule="exact"/>
        <w:rPr>
          <w:sz w:val="24"/>
          <w:szCs w:val="24"/>
          <w:color w:val="auto"/>
        </w:rPr>
      </w:pPr>
    </w:p>
    <w:p>
      <w:pPr>
        <w:ind w:left="2640"/>
        <w:spacing w:after="0"/>
        <w:rPr>
          <w:sz w:val="20"/>
          <w:szCs w:val="20"/>
          <w:color w:val="auto"/>
        </w:rPr>
      </w:pPr>
      <w:r>
        <w:rPr>
          <w:rFonts w:ascii="Arial" w:cs="Arial" w:eastAsia="Arial" w:hAnsi="Arial"/>
          <w:sz w:val="14"/>
          <w:szCs w:val="14"/>
          <w:color w:val="auto"/>
        </w:rPr>
        <w:t>Large accelerated filer</w:t>
      </w:r>
    </w:p>
    <w:p>
      <w:pPr>
        <w:spacing w:after="0" w:line="96" w:lineRule="exact"/>
        <w:rPr>
          <w:sz w:val="24"/>
          <w:szCs w:val="24"/>
          <w:color w:val="auto"/>
        </w:rPr>
      </w:pPr>
    </w:p>
    <w:p>
      <w:pPr>
        <w:ind w:left="264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ind w:left="700"/>
        <w:spacing w:after="0" w:line="18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6"/>
          <w:szCs w:val="16"/>
          <w:color w:val="auto"/>
        </w:rPr>
        <w:t>☐</w:t>
      </w:r>
    </w:p>
    <w:p>
      <w:pPr>
        <w:spacing w:after="0" w:line="119"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5"/>
          <w:szCs w:val="15"/>
          <w:color w:val="auto"/>
        </w:rPr>
        <w:t>☐</w:t>
      </w:r>
    </w:p>
    <w:p>
      <w:pPr>
        <w:spacing w:after="0" w:line="84"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838" w:orient="portrait"/>
          <w:cols w:equalWidth="0" w:num="3">
            <w:col w:w="4080" w:space="560"/>
            <w:col w:w="1040" w:space="720"/>
            <w:col w:w="4840"/>
          </w:cols>
          <w:pgMar w:left="320" w:top="70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color w:val="auto"/>
        </w:rPr>
        <w:t>As of June 26, 2023, there were 99,548,989 shares of common stock, par value $0.01 per share, issued and outstanding.</w:t>
      </w:r>
    </w:p>
    <w:p>
      <w:pPr>
        <w:sectPr>
          <w:pgSz w:w="11900" w:h="16838" w:orient="portrait"/>
          <w:cols w:equalWidth="0" w:num="1">
            <w:col w:w="11240"/>
          </w:cols>
          <w:pgMar w:left="320" w:top="701" w:right="3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80"/>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QUARTER ENDED MAY 27, 2023</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gridSpan w:val="4"/>
          </w:tcPr>
          <w:p>
            <w:pPr>
              <w:ind w:left="480"/>
              <w:spacing w:after="0"/>
              <w:rPr>
                <w:sz w:val="20"/>
                <w:szCs w:val="20"/>
                <w:color w:val="auto"/>
              </w:rPr>
            </w:pPr>
            <w:r>
              <w:rPr>
                <w:rFonts w:ascii="Arial" w:cs="Arial" w:eastAsia="Arial" w:hAnsi="Arial"/>
                <w:sz w:val="16"/>
                <w:szCs w:val="16"/>
                <w:b w:val="1"/>
                <w:bCs w:val="1"/>
                <w:color w:val="auto"/>
                <w:w w:val="83"/>
              </w:rPr>
              <w:t>Page</w:t>
            </w:r>
          </w:p>
        </w:tc>
      </w:tr>
      <w:tr>
        <w:trPr>
          <w:trHeight w:val="412"/>
        </w:trPr>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b w:val="1"/>
                <w:bCs w:val="1"/>
                <w:color w:val="0000FF"/>
                <w:w w:val="94"/>
              </w:rPr>
              <w:t>PART I. Financial Information</w:t>
            </w:r>
          </w:p>
        </w:tc>
        <w:tc>
          <w:tcPr>
            <w:tcW w:w="252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196"/>
        </w:trPr>
        <w:tc>
          <w:tcPr>
            <w:tcW w:w="1920" w:type="dxa"/>
            <w:vAlign w:val="bottom"/>
            <w:gridSpan w:val="2"/>
          </w:tcPr>
          <w:p>
            <w:pPr>
              <w:spacing w:after="0"/>
              <w:rPr>
                <w:sz w:val="20"/>
                <w:szCs w:val="20"/>
                <w:color w:val="auto"/>
              </w:rPr>
            </w:pPr>
            <w:r>
              <w:rPr>
                <w:rFonts w:ascii="Arial" w:cs="Arial" w:eastAsia="Arial" w:hAnsi="Arial"/>
                <w:sz w:val="16"/>
                <w:szCs w:val="16"/>
                <w:color w:val="0000FF"/>
              </w:rPr>
              <w:t>Item 1</w:t>
            </w:r>
            <w:r>
              <w:rPr>
                <w:rFonts w:ascii="Arial" w:cs="Arial" w:eastAsia="Arial" w:hAnsi="Arial"/>
                <w:sz w:val="16"/>
                <w:szCs w:val="16"/>
                <w:color w:val="000000"/>
              </w:rPr>
              <w:t>.</w:t>
            </w:r>
          </w:p>
        </w:tc>
        <w:tc>
          <w:tcPr>
            <w:tcW w:w="6280" w:type="dxa"/>
            <w:vAlign w:val="bottom"/>
            <w:gridSpan w:val="12"/>
          </w:tcPr>
          <w:p>
            <w:pPr>
              <w:spacing w:after="0"/>
              <w:rPr>
                <w:sz w:val="20"/>
                <w:szCs w:val="20"/>
                <w:color w:val="auto"/>
              </w:rPr>
            </w:pPr>
            <w:r>
              <w:rPr>
                <w:rFonts w:ascii="Arial" w:cs="Arial" w:eastAsia="Arial" w:hAnsi="Arial"/>
                <w:sz w:val="16"/>
                <w:szCs w:val="16"/>
                <w:color w:val="0000FF"/>
              </w:rPr>
              <w:t>Financial Statements (Unaudited)</w:t>
            </w:r>
          </w:p>
        </w:tc>
        <w:tc>
          <w:tcPr>
            <w:tcW w:w="700" w:type="dxa"/>
            <w:vAlign w:val="bottom"/>
            <w:gridSpan w:val="3"/>
          </w:tcPr>
          <w:p>
            <w:pPr>
              <w:jc w:val="center"/>
              <w:ind w:left="539"/>
              <w:spacing w:after="0"/>
              <w:rPr>
                <w:sz w:val="20"/>
                <w:szCs w:val="20"/>
                <w:color w:val="auto"/>
              </w:rPr>
            </w:pPr>
            <w:r>
              <w:rPr>
                <w:rFonts w:ascii="Arial" w:cs="Arial" w:eastAsia="Arial" w:hAnsi="Arial"/>
                <w:sz w:val="16"/>
                <w:szCs w:val="16"/>
                <w:color w:val="0000FF"/>
                <w:w w:val="89"/>
              </w:rPr>
              <w:t>3</w:t>
            </w:r>
          </w:p>
        </w:tc>
        <w:tc>
          <w:tcPr>
            <w:tcW w:w="1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Arial" w:cs="Arial" w:eastAsia="Arial" w:hAnsi="Arial"/>
                <w:sz w:val="16"/>
                <w:szCs w:val="16"/>
                <w:color w:val="0000FF"/>
                <w:w w:val="88"/>
              </w:rPr>
              <w:t>Consolidated Balance Sheets</w:t>
            </w:r>
          </w:p>
        </w:tc>
        <w:tc>
          <w:tcPr>
            <w:tcW w:w="280" w:type="dxa"/>
            <w:vAlign w:val="bottom"/>
          </w:tcPr>
          <w:p>
            <w:pPr>
              <w:spacing w:after="0"/>
              <w:rPr>
                <w:sz w:val="20"/>
                <w:szCs w:val="20"/>
                <w:color w:val="auto"/>
              </w:rPr>
            </w:pPr>
          </w:p>
        </w:tc>
        <w:tc>
          <w:tcPr>
            <w:tcW w:w="4120" w:type="dxa"/>
            <w:vAlign w:val="bottom"/>
            <w:gridSpan w:val="8"/>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Arial" w:cs="Arial" w:eastAsia="Arial" w:hAnsi="Arial"/>
                <w:sz w:val="16"/>
                <w:szCs w:val="16"/>
                <w:color w:val="0000FF"/>
                <w:w w:val="89"/>
              </w:rPr>
              <w:t>3</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280" w:type="dxa"/>
            <w:vAlign w:val="bottom"/>
            <w:gridSpan w:val="12"/>
          </w:tcPr>
          <w:p>
            <w:pPr>
              <w:spacing w:after="0"/>
              <w:rPr>
                <w:sz w:val="20"/>
                <w:szCs w:val="20"/>
                <w:color w:val="auto"/>
              </w:rPr>
            </w:pPr>
            <w:r>
              <w:rPr>
                <w:rFonts w:ascii="Arial" w:cs="Arial" w:eastAsia="Arial" w:hAnsi="Arial"/>
                <w:sz w:val="16"/>
                <w:szCs w:val="16"/>
                <w:color w:val="0000FF"/>
              </w:rPr>
              <w:t>Consolidated Statements of Operations and Comprehensive Income</w:t>
            </w:r>
          </w:p>
        </w:tc>
        <w:tc>
          <w:tcPr>
            <w:tcW w:w="700" w:type="dxa"/>
            <w:vAlign w:val="bottom"/>
            <w:gridSpan w:val="3"/>
          </w:tcPr>
          <w:p>
            <w:pPr>
              <w:jc w:val="center"/>
              <w:ind w:left="539"/>
              <w:spacing w:after="0"/>
              <w:rPr>
                <w:sz w:val="20"/>
                <w:szCs w:val="20"/>
                <w:color w:val="auto"/>
              </w:rPr>
            </w:pPr>
            <w:r>
              <w:rPr>
                <w:rFonts w:ascii="Arial" w:cs="Arial" w:eastAsia="Arial" w:hAnsi="Arial"/>
                <w:sz w:val="16"/>
                <w:szCs w:val="16"/>
                <w:color w:val="0000FF"/>
                <w:w w:val="89"/>
              </w:rPr>
              <w:t>4</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580" w:type="dxa"/>
            <w:vAlign w:val="bottom"/>
            <w:gridSpan w:val="5"/>
          </w:tcPr>
          <w:p>
            <w:pPr>
              <w:spacing w:after="0"/>
              <w:rPr>
                <w:sz w:val="20"/>
                <w:szCs w:val="20"/>
                <w:color w:val="auto"/>
              </w:rPr>
            </w:pPr>
            <w:r>
              <w:rPr>
                <w:rFonts w:ascii="Arial" w:cs="Arial" w:eastAsia="Arial" w:hAnsi="Arial"/>
                <w:sz w:val="16"/>
                <w:szCs w:val="16"/>
                <w:color w:val="0000FF"/>
                <w:w w:val="89"/>
              </w:rPr>
              <w:t>Consolidated Statements of Cash Flows</w:t>
            </w:r>
          </w:p>
        </w:tc>
        <w:tc>
          <w:tcPr>
            <w:tcW w:w="1800" w:type="dxa"/>
            <w:vAlign w:val="bottom"/>
            <w:gridSpan w:val="5"/>
          </w:tcPr>
          <w:p>
            <w:pPr>
              <w:spacing w:after="0"/>
              <w:rPr>
                <w:sz w:val="19"/>
                <w:szCs w:val="19"/>
                <w:color w:val="auto"/>
              </w:rPr>
            </w:pPr>
          </w:p>
        </w:tc>
        <w:tc>
          <w:tcPr>
            <w:tcW w:w="1900" w:type="dxa"/>
            <w:vAlign w:val="bottom"/>
            <w:gridSpan w:val="2"/>
          </w:tcPr>
          <w:p>
            <w:pPr>
              <w:spacing w:after="0"/>
              <w:rPr>
                <w:sz w:val="19"/>
                <w:szCs w:val="19"/>
                <w:color w:val="auto"/>
              </w:rPr>
            </w:pPr>
          </w:p>
        </w:tc>
        <w:tc>
          <w:tcPr>
            <w:tcW w:w="700" w:type="dxa"/>
            <w:vAlign w:val="bottom"/>
            <w:gridSpan w:val="3"/>
          </w:tcPr>
          <w:p>
            <w:pPr>
              <w:jc w:val="center"/>
              <w:ind w:left="539"/>
              <w:spacing w:after="0"/>
              <w:rPr>
                <w:sz w:val="20"/>
                <w:szCs w:val="20"/>
                <w:color w:val="auto"/>
              </w:rPr>
            </w:pPr>
            <w:r>
              <w:rPr>
                <w:rFonts w:ascii="Arial" w:cs="Arial" w:eastAsia="Arial" w:hAnsi="Arial"/>
                <w:sz w:val="16"/>
                <w:szCs w:val="16"/>
                <w:color w:val="0000FF"/>
                <w:w w:val="89"/>
              </w:rPr>
              <w:t>5</w:t>
            </w:r>
          </w:p>
        </w:tc>
        <w:tc>
          <w:tcPr>
            <w:tcW w:w="12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180" w:type="dxa"/>
            <w:vAlign w:val="bottom"/>
            <w:gridSpan w:val="6"/>
          </w:tcPr>
          <w:p>
            <w:pPr>
              <w:spacing w:after="0"/>
              <w:rPr>
                <w:sz w:val="20"/>
                <w:szCs w:val="20"/>
                <w:color w:val="auto"/>
              </w:rPr>
            </w:pPr>
            <w:r>
              <w:rPr>
                <w:rFonts w:ascii="Arial" w:cs="Arial" w:eastAsia="Arial" w:hAnsi="Arial"/>
                <w:sz w:val="16"/>
                <w:szCs w:val="16"/>
                <w:color w:val="0000FF"/>
                <w:w w:val="91"/>
              </w:rPr>
              <w:t>Consolidated Statements of Stockholders’ Equity</w:t>
            </w:r>
          </w:p>
        </w:tc>
        <w:tc>
          <w:tcPr>
            <w:tcW w:w="3100" w:type="dxa"/>
            <w:vAlign w:val="bottom"/>
            <w:gridSpan w:val="6"/>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Arial" w:cs="Arial" w:eastAsia="Arial" w:hAnsi="Arial"/>
                <w:sz w:val="16"/>
                <w:szCs w:val="16"/>
                <w:color w:val="0000FF"/>
                <w:w w:val="89"/>
              </w:rPr>
              <w:t>7</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280" w:type="dxa"/>
            <w:vAlign w:val="bottom"/>
            <w:gridSpan w:val="12"/>
          </w:tcPr>
          <w:p>
            <w:pPr>
              <w:spacing w:after="0"/>
              <w:rPr>
                <w:sz w:val="20"/>
                <w:szCs w:val="20"/>
                <w:color w:val="auto"/>
              </w:rPr>
            </w:pPr>
            <w:r>
              <w:rPr>
                <w:rFonts w:ascii="Arial" w:cs="Arial" w:eastAsia="Arial" w:hAnsi="Arial"/>
                <w:sz w:val="16"/>
                <w:szCs w:val="16"/>
                <w:color w:val="0000FF"/>
              </w:rPr>
              <w:t>Notes to Unaudited Consolidated Financial Statements</w:t>
            </w:r>
          </w:p>
        </w:tc>
        <w:tc>
          <w:tcPr>
            <w:tcW w:w="700" w:type="dxa"/>
            <w:vAlign w:val="bottom"/>
            <w:gridSpan w:val="3"/>
          </w:tcPr>
          <w:p>
            <w:pPr>
              <w:jc w:val="center"/>
              <w:ind w:left="539"/>
              <w:spacing w:after="0"/>
              <w:rPr>
                <w:sz w:val="20"/>
                <w:szCs w:val="20"/>
                <w:color w:val="auto"/>
              </w:rPr>
            </w:pPr>
            <w:r>
              <w:rPr>
                <w:rFonts w:ascii="Arial" w:cs="Arial" w:eastAsia="Arial" w:hAnsi="Arial"/>
                <w:sz w:val="16"/>
                <w:szCs w:val="16"/>
                <w:color w:val="0000FF"/>
                <w:w w:val="89"/>
              </w:rPr>
              <w:t>9</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1920" w:type="dxa"/>
            <w:vAlign w:val="bottom"/>
            <w:gridSpan w:val="2"/>
          </w:tcPr>
          <w:p>
            <w:pPr>
              <w:spacing w:after="0"/>
              <w:rPr>
                <w:sz w:val="20"/>
                <w:szCs w:val="20"/>
                <w:color w:val="auto"/>
              </w:rPr>
            </w:pPr>
            <w:r>
              <w:rPr>
                <w:rFonts w:ascii="Arial" w:cs="Arial" w:eastAsia="Arial" w:hAnsi="Arial"/>
                <w:sz w:val="16"/>
                <w:szCs w:val="16"/>
                <w:color w:val="0000FF"/>
              </w:rPr>
              <w:t>Item 2</w:t>
            </w:r>
            <w:r>
              <w:rPr>
                <w:rFonts w:ascii="Arial" w:cs="Arial" w:eastAsia="Arial" w:hAnsi="Arial"/>
                <w:sz w:val="16"/>
                <w:szCs w:val="16"/>
                <w:color w:val="000000"/>
              </w:rPr>
              <w:t>.</w:t>
            </w:r>
          </w:p>
        </w:tc>
        <w:tc>
          <w:tcPr>
            <w:tcW w:w="6280" w:type="dxa"/>
            <w:vAlign w:val="bottom"/>
            <w:gridSpan w:val="12"/>
          </w:tcPr>
          <w:p>
            <w:pPr>
              <w:spacing w:after="0"/>
              <w:rPr>
                <w:sz w:val="20"/>
                <w:szCs w:val="20"/>
                <w:color w:val="auto"/>
              </w:rPr>
            </w:pPr>
            <w:r>
              <w:rPr>
                <w:rFonts w:ascii="Arial" w:cs="Arial" w:eastAsia="Arial" w:hAnsi="Arial"/>
                <w:sz w:val="16"/>
                <w:szCs w:val="16"/>
                <w:color w:val="0000FF"/>
                <w:w w:val="99"/>
              </w:rPr>
              <w:t>Management’s Discussion and Analysis of Financial Condition and Results of Operations</w:t>
            </w:r>
          </w:p>
        </w:tc>
        <w:tc>
          <w:tcPr>
            <w:tcW w:w="700" w:type="dxa"/>
            <w:vAlign w:val="bottom"/>
            <w:gridSpan w:val="3"/>
          </w:tcPr>
          <w:p>
            <w:pPr>
              <w:jc w:val="center"/>
              <w:ind w:left="459"/>
              <w:spacing w:after="0"/>
              <w:rPr>
                <w:sz w:val="20"/>
                <w:szCs w:val="20"/>
                <w:color w:val="auto"/>
              </w:rPr>
            </w:pPr>
            <w:r>
              <w:rPr>
                <w:rFonts w:ascii="Arial" w:cs="Arial" w:eastAsia="Arial" w:hAnsi="Arial"/>
                <w:sz w:val="16"/>
                <w:szCs w:val="16"/>
                <w:color w:val="0000FF"/>
                <w:w w:val="89"/>
              </w:rPr>
              <w:t>20</w:t>
            </w:r>
          </w:p>
        </w:tc>
        <w:tc>
          <w:tcPr>
            <w:tcW w:w="120" w:type="dxa"/>
            <w:vAlign w:val="bottom"/>
          </w:tcPr>
          <w:p>
            <w:pPr>
              <w:spacing w:after="0"/>
              <w:rPr>
                <w:sz w:val="19"/>
                <w:szCs w:val="19"/>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280" w:type="dxa"/>
            <w:vAlign w:val="bottom"/>
            <w:gridSpan w:val="8"/>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7"/>
        </w:trPr>
        <w:tc>
          <w:tcPr>
            <w:tcW w:w="1920" w:type="dxa"/>
            <w:vAlign w:val="bottom"/>
            <w:gridSpan w:val="2"/>
          </w:tcPr>
          <w:p>
            <w:pPr>
              <w:spacing w:after="0"/>
              <w:rPr>
                <w:sz w:val="20"/>
                <w:szCs w:val="20"/>
                <w:color w:val="auto"/>
              </w:rPr>
            </w:pPr>
            <w:r>
              <w:rPr>
                <w:rFonts w:ascii="Arial" w:cs="Arial" w:eastAsia="Arial" w:hAnsi="Arial"/>
                <w:sz w:val="16"/>
                <w:szCs w:val="16"/>
                <w:color w:val="0000FF"/>
              </w:rPr>
              <w:t>Item 3</w:t>
            </w:r>
            <w:r>
              <w:rPr>
                <w:rFonts w:ascii="Arial" w:cs="Arial" w:eastAsia="Arial" w:hAnsi="Arial"/>
                <w:sz w:val="16"/>
                <w:szCs w:val="16"/>
                <w:color w:val="000000"/>
              </w:rPr>
              <w:t>.</w:t>
            </w:r>
          </w:p>
        </w:tc>
        <w:tc>
          <w:tcPr>
            <w:tcW w:w="6280" w:type="dxa"/>
            <w:vAlign w:val="bottom"/>
            <w:gridSpan w:val="12"/>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700" w:type="dxa"/>
            <w:vAlign w:val="bottom"/>
            <w:gridSpan w:val="3"/>
          </w:tcPr>
          <w:p>
            <w:pPr>
              <w:jc w:val="center"/>
              <w:ind w:left="459"/>
              <w:spacing w:after="0"/>
              <w:rPr>
                <w:sz w:val="20"/>
                <w:szCs w:val="20"/>
                <w:color w:val="auto"/>
              </w:rPr>
            </w:pPr>
            <w:r>
              <w:rPr>
                <w:rFonts w:ascii="Arial" w:cs="Arial" w:eastAsia="Arial" w:hAnsi="Arial"/>
                <w:sz w:val="16"/>
                <w:szCs w:val="16"/>
                <w:color w:val="0000FF"/>
                <w:w w:val="89"/>
              </w:rPr>
              <w:t>30</w:t>
            </w:r>
          </w:p>
        </w:tc>
        <w:tc>
          <w:tcPr>
            <w:tcW w:w="120" w:type="dxa"/>
            <w:vAlign w:val="bottom"/>
          </w:tcPr>
          <w:p>
            <w:pPr>
              <w:spacing w:after="0"/>
              <w:rPr>
                <w:sz w:val="20"/>
                <w:szCs w:val="20"/>
                <w:color w:val="auto"/>
              </w:rPr>
            </w:pPr>
          </w:p>
        </w:tc>
      </w:tr>
      <w:tr>
        <w:trPr>
          <w:trHeight w:val="237"/>
        </w:trPr>
        <w:tc>
          <w:tcPr>
            <w:tcW w:w="192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0000FF"/>
              </w:rPr>
              <w:t>Item 4</w:t>
            </w:r>
            <w:r>
              <w:rPr>
                <w:rFonts w:ascii="Arial" w:cs="Arial" w:eastAsia="Arial" w:hAnsi="Arial"/>
                <w:sz w:val="16"/>
                <w:szCs w:val="16"/>
                <w:color w:val="000000"/>
              </w:rPr>
              <w:t>.</w:t>
            </w:r>
          </w:p>
        </w:tc>
        <w:tc>
          <w:tcPr>
            <w:tcW w:w="3860" w:type="dxa"/>
            <w:vAlign w:val="bottom"/>
            <w:tcBorders>
              <w:top w:val="single" w:sz="8" w:color="0000FF"/>
            </w:tcBorders>
            <w:gridSpan w:val="9"/>
          </w:tcPr>
          <w:p>
            <w:pPr>
              <w:spacing w:after="0"/>
              <w:rPr>
                <w:sz w:val="20"/>
                <w:szCs w:val="20"/>
                <w:color w:val="auto"/>
              </w:rPr>
            </w:pPr>
            <w:r>
              <w:rPr>
                <w:rFonts w:ascii="Arial" w:cs="Arial" w:eastAsia="Arial" w:hAnsi="Arial"/>
                <w:sz w:val="16"/>
                <w:szCs w:val="16"/>
                <w:color w:val="0000FF"/>
              </w:rPr>
              <w:t>Controls and Procedures</w:t>
            </w:r>
          </w:p>
        </w:tc>
        <w:tc>
          <w:tcPr>
            <w:tcW w:w="2420" w:type="dxa"/>
            <w:vAlign w:val="bottom"/>
            <w:gridSpan w:val="3"/>
          </w:tcPr>
          <w:p>
            <w:pPr>
              <w:spacing w:after="0"/>
              <w:rPr>
                <w:sz w:val="20"/>
                <w:szCs w:val="20"/>
                <w:color w:val="auto"/>
              </w:rPr>
            </w:pPr>
          </w:p>
        </w:tc>
        <w:tc>
          <w:tcPr>
            <w:tcW w:w="700" w:type="dxa"/>
            <w:vAlign w:val="bottom"/>
            <w:gridSpan w:val="3"/>
          </w:tcPr>
          <w:p>
            <w:pPr>
              <w:jc w:val="center"/>
              <w:ind w:left="459"/>
              <w:spacing w:after="0"/>
              <w:rPr>
                <w:sz w:val="20"/>
                <w:szCs w:val="20"/>
                <w:color w:val="auto"/>
              </w:rPr>
            </w:pPr>
            <w:r>
              <w:rPr>
                <w:rFonts w:ascii="Arial" w:cs="Arial" w:eastAsia="Arial" w:hAnsi="Arial"/>
                <w:sz w:val="16"/>
                <w:szCs w:val="16"/>
                <w:color w:val="0000FF"/>
                <w:w w:val="89"/>
              </w:rPr>
              <w:t>30</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80" w:type="dxa"/>
            <w:vAlign w:val="bottom"/>
            <w:gridSpan w:val="4"/>
          </w:tcPr>
          <w:p>
            <w:pPr>
              <w:spacing w:after="0"/>
              <w:rPr>
                <w:sz w:val="20"/>
                <w:szCs w:val="20"/>
                <w:color w:val="auto"/>
              </w:rPr>
            </w:pPr>
            <w:r>
              <w:rPr>
                <w:rFonts w:ascii="Arial" w:cs="Arial" w:eastAsia="Arial" w:hAnsi="Arial"/>
                <w:sz w:val="16"/>
                <w:szCs w:val="16"/>
                <w:b w:val="1"/>
                <w:bCs w:val="1"/>
                <w:color w:val="0000FF"/>
              </w:rPr>
              <w:t>PART II. Other Information</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1920" w:type="dxa"/>
            <w:vAlign w:val="bottom"/>
            <w:gridSpan w:val="3"/>
          </w:tcPr>
          <w:p>
            <w:pPr>
              <w:spacing w:after="0"/>
              <w:rPr>
                <w:sz w:val="20"/>
                <w:szCs w:val="20"/>
                <w:color w:val="auto"/>
              </w:rPr>
            </w:pPr>
            <w:r>
              <w:rPr>
                <w:rFonts w:ascii="Arial" w:cs="Arial" w:eastAsia="Arial" w:hAnsi="Arial"/>
                <w:sz w:val="16"/>
                <w:szCs w:val="16"/>
                <w:color w:val="0000FF"/>
              </w:rPr>
              <w:t>Item 1</w:t>
            </w:r>
            <w:r>
              <w:rPr>
                <w:rFonts w:ascii="Arial" w:cs="Arial" w:eastAsia="Arial" w:hAnsi="Arial"/>
                <w:sz w:val="16"/>
                <w:szCs w:val="16"/>
                <w:color w:val="000000"/>
              </w:rPr>
              <w:t>.</w:t>
            </w:r>
          </w:p>
        </w:tc>
        <w:tc>
          <w:tcPr>
            <w:tcW w:w="1700" w:type="dxa"/>
            <w:vAlign w:val="bottom"/>
            <w:gridSpan w:val="6"/>
          </w:tcPr>
          <w:p>
            <w:pPr>
              <w:spacing w:after="0"/>
              <w:rPr>
                <w:sz w:val="20"/>
                <w:szCs w:val="20"/>
                <w:color w:val="auto"/>
              </w:rPr>
            </w:pPr>
            <w:r>
              <w:rPr>
                <w:rFonts w:ascii="Arial" w:cs="Arial" w:eastAsia="Arial" w:hAnsi="Arial"/>
                <w:sz w:val="16"/>
                <w:szCs w:val="16"/>
                <w:color w:val="0000FF"/>
              </w:rPr>
              <w:t>Legal Proceedings</w:t>
            </w:r>
          </w:p>
        </w:tc>
        <w:tc>
          <w:tcPr>
            <w:tcW w:w="1960" w:type="dxa"/>
            <w:vAlign w:val="bottom"/>
            <w:tcBorders>
              <w:top w:val="single" w:sz="8" w:color="0000FF"/>
            </w:tcBorders>
            <w:gridSpan w:val="2"/>
          </w:tcPr>
          <w:p>
            <w:pPr>
              <w:spacing w:after="0"/>
              <w:rPr>
                <w:sz w:val="17"/>
                <w:szCs w:val="17"/>
                <w:color w:val="auto"/>
              </w:rPr>
            </w:pPr>
          </w:p>
        </w:tc>
        <w:tc>
          <w:tcPr>
            <w:tcW w:w="1720" w:type="dxa"/>
            <w:vAlign w:val="bottom"/>
            <w:gridSpan w:val="2"/>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color w:val="0000FF"/>
              </w:rPr>
              <w:t>31</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20" w:type="dxa"/>
            <w:vAlign w:val="bottom"/>
            <w:gridSpan w:val="3"/>
          </w:tcPr>
          <w:p>
            <w:pPr>
              <w:spacing w:after="0"/>
              <w:rPr>
                <w:sz w:val="20"/>
                <w:szCs w:val="20"/>
                <w:color w:val="auto"/>
              </w:rPr>
            </w:pPr>
            <w:r>
              <w:rPr>
                <w:rFonts w:ascii="Arial" w:cs="Arial" w:eastAsia="Arial" w:hAnsi="Arial"/>
                <w:sz w:val="16"/>
                <w:szCs w:val="16"/>
                <w:color w:val="0000FF"/>
              </w:rPr>
              <w:t>Item 1A</w:t>
            </w:r>
            <w:r>
              <w:rPr>
                <w:rFonts w:ascii="Arial" w:cs="Arial" w:eastAsia="Arial" w:hAnsi="Arial"/>
                <w:sz w:val="16"/>
                <w:szCs w:val="16"/>
                <w:color w:val="000000"/>
              </w:rPr>
              <w:t>.</w:t>
            </w:r>
          </w:p>
        </w:tc>
        <w:tc>
          <w:tcPr>
            <w:tcW w:w="5380" w:type="dxa"/>
            <w:vAlign w:val="bottom"/>
            <w:gridSpan w:val="10"/>
          </w:tcPr>
          <w:p>
            <w:pPr>
              <w:spacing w:after="0"/>
              <w:rPr>
                <w:sz w:val="20"/>
                <w:szCs w:val="20"/>
                <w:color w:val="auto"/>
              </w:rPr>
            </w:pPr>
            <w:r>
              <w:rPr>
                <w:rFonts w:ascii="Arial" w:cs="Arial" w:eastAsia="Arial" w:hAnsi="Arial"/>
                <w:sz w:val="16"/>
                <w:szCs w:val="16"/>
                <w:color w:val="0000FF"/>
              </w:rPr>
              <w:t>Risk Factors</w:t>
            </w:r>
          </w:p>
        </w:tc>
        <w:tc>
          <w:tcPr>
            <w:tcW w:w="1640" w:type="dxa"/>
            <w:vAlign w:val="bottom"/>
            <w:gridSpan w:val="2"/>
          </w:tcPr>
          <w:p>
            <w:pPr>
              <w:jc w:val="right"/>
              <w:spacing w:after="0"/>
              <w:rPr>
                <w:sz w:val="20"/>
                <w:szCs w:val="20"/>
                <w:color w:val="auto"/>
              </w:rPr>
            </w:pPr>
            <w:r>
              <w:rPr>
                <w:rFonts w:ascii="Arial" w:cs="Arial" w:eastAsia="Arial" w:hAnsi="Arial"/>
                <w:sz w:val="16"/>
                <w:szCs w:val="16"/>
                <w:color w:val="0000FF"/>
              </w:rPr>
              <w:t>31</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540" w:type="dxa"/>
            <w:vAlign w:val="bottom"/>
            <w:gridSpan w:val="2"/>
          </w:tcPr>
          <w:p>
            <w:pPr>
              <w:spacing w:after="0"/>
              <w:rPr>
                <w:sz w:val="20"/>
                <w:szCs w:val="20"/>
                <w:color w:val="auto"/>
              </w:rPr>
            </w:pPr>
            <w:r>
              <w:rPr>
                <w:rFonts w:ascii="Arial" w:cs="Arial" w:eastAsia="Arial" w:hAnsi="Arial"/>
                <w:sz w:val="16"/>
                <w:szCs w:val="16"/>
                <w:color w:val="0000FF"/>
              </w:rPr>
              <w:t>Item 2</w:t>
            </w:r>
            <w:r>
              <w:rPr>
                <w:rFonts w:ascii="Arial" w:cs="Arial" w:eastAsia="Arial" w:hAnsi="Arial"/>
                <w:sz w:val="16"/>
                <w:szCs w:val="16"/>
                <w:color w:val="000000"/>
              </w:rPr>
              <w:t>.</w:t>
            </w:r>
          </w:p>
        </w:tc>
        <w:tc>
          <w:tcPr>
            <w:tcW w:w="1380" w:type="dxa"/>
            <w:vAlign w:val="bottom"/>
          </w:tcPr>
          <w:p>
            <w:pPr>
              <w:spacing w:after="0"/>
              <w:rPr>
                <w:sz w:val="20"/>
                <w:szCs w:val="20"/>
                <w:color w:val="auto"/>
              </w:rPr>
            </w:pPr>
          </w:p>
        </w:tc>
        <w:tc>
          <w:tcPr>
            <w:tcW w:w="5380" w:type="dxa"/>
            <w:vAlign w:val="bottom"/>
            <w:gridSpan w:val="10"/>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1640" w:type="dxa"/>
            <w:vAlign w:val="bottom"/>
            <w:gridSpan w:val="2"/>
          </w:tcPr>
          <w:p>
            <w:pPr>
              <w:jc w:val="right"/>
              <w:spacing w:after="0"/>
              <w:rPr>
                <w:sz w:val="20"/>
                <w:szCs w:val="20"/>
                <w:color w:val="auto"/>
              </w:rPr>
            </w:pPr>
            <w:r>
              <w:rPr>
                <w:rFonts w:ascii="Arial" w:cs="Arial" w:eastAsia="Arial" w:hAnsi="Arial"/>
                <w:sz w:val="16"/>
                <w:szCs w:val="16"/>
                <w:color w:val="0000FF"/>
              </w:rPr>
              <w:t>31</w:t>
            </w:r>
          </w:p>
        </w:tc>
      </w:tr>
      <w:tr>
        <w:trPr>
          <w:trHeight w:val="20"/>
        </w:trPr>
        <w:tc>
          <w:tcPr>
            <w:tcW w:w="42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23"/>
        </w:trPr>
        <w:tc>
          <w:tcPr>
            <w:tcW w:w="1920" w:type="dxa"/>
            <w:vAlign w:val="bottom"/>
            <w:gridSpan w:val="3"/>
          </w:tcPr>
          <w:p>
            <w:pPr>
              <w:spacing w:after="0"/>
              <w:rPr>
                <w:sz w:val="20"/>
                <w:szCs w:val="20"/>
                <w:color w:val="auto"/>
              </w:rPr>
            </w:pPr>
            <w:r>
              <w:rPr>
                <w:rFonts w:ascii="Arial" w:cs="Arial" w:eastAsia="Arial" w:hAnsi="Arial"/>
                <w:sz w:val="16"/>
                <w:szCs w:val="16"/>
                <w:color w:val="0000FF"/>
              </w:rPr>
              <w:t>Item 3</w:t>
            </w:r>
            <w:r>
              <w:rPr>
                <w:rFonts w:ascii="Arial" w:cs="Arial" w:eastAsia="Arial" w:hAnsi="Arial"/>
                <w:sz w:val="16"/>
                <w:szCs w:val="16"/>
                <w:color w:val="000000"/>
              </w:rPr>
              <w:t>.</w:t>
            </w:r>
          </w:p>
        </w:tc>
        <w:tc>
          <w:tcPr>
            <w:tcW w:w="5380" w:type="dxa"/>
            <w:vAlign w:val="bottom"/>
            <w:gridSpan w:val="10"/>
          </w:tcPr>
          <w:p>
            <w:pPr>
              <w:spacing w:after="0"/>
              <w:rPr>
                <w:sz w:val="20"/>
                <w:szCs w:val="20"/>
                <w:color w:val="auto"/>
              </w:rPr>
            </w:pPr>
            <w:r>
              <w:rPr>
                <w:rFonts w:ascii="Arial" w:cs="Arial" w:eastAsia="Arial" w:hAnsi="Arial"/>
                <w:sz w:val="16"/>
                <w:szCs w:val="16"/>
                <w:color w:val="0000FF"/>
              </w:rPr>
              <w:t>Defaults Upon Senior Securities</w:t>
            </w:r>
          </w:p>
        </w:tc>
        <w:tc>
          <w:tcPr>
            <w:tcW w:w="1640" w:type="dxa"/>
            <w:vAlign w:val="bottom"/>
            <w:gridSpan w:val="2"/>
          </w:tcPr>
          <w:p>
            <w:pPr>
              <w:jc w:val="right"/>
              <w:spacing w:after="0"/>
              <w:rPr>
                <w:sz w:val="20"/>
                <w:szCs w:val="20"/>
                <w:color w:val="auto"/>
              </w:rPr>
            </w:pPr>
            <w:r>
              <w:rPr>
                <w:rFonts w:ascii="Arial" w:cs="Arial" w:eastAsia="Arial" w:hAnsi="Arial"/>
                <w:sz w:val="16"/>
                <w:szCs w:val="16"/>
                <w:color w:val="0000FF"/>
              </w:rPr>
              <w:t>31</w:t>
            </w:r>
          </w:p>
        </w:tc>
      </w:tr>
      <w:tr>
        <w:trPr>
          <w:trHeight w:val="20"/>
        </w:trPr>
        <w:tc>
          <w:tcPr>
            <w:tcW w:w="42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20" w:type="dxa"/>
            <w:vAlign w:val="bottom"/>
            <w:gridSpan w:val="3"/>
          </w:tcPr>
          <w:p>
            <w:pPr>
              <w:spacing w:after="0"/>
              <w:rPr>
                <w:sz w:val="20"/>
                <w:szCs w:val="20"/>
                <w:color w:val="auto"/>
              </w:rPr>
            </w:pPr>
            <w:r>
              <w:rPr>
                <w:rFonts w:ascii="Arial" w:cs="Arial" w:eastAsia="Arial" w:hAnsi="Arial"/>
                <w:sz w:val="16"/>
                <w:szCs w:val="16"/>
                <w:color w:val="0000FF"/>
              </w:rPr>
              <w:t>Item 4</w:t>
            </w:r>
            <w:r>
              <w:rPr>
                <w:rFonts w:ascii="Arial" w:cs="Arial" w:eastAsia="Arial" w:hAnsi="Arial"/>
                <w:sz w:val="16"/>
                <w:szCs w:val="16"/>
                <w:color w:val="000000"/>
              </w:rPr>
              <w:t>.</w:t>
            </w:r>
          </w:p>
        </w:tc>
        <w:tc>
          <w:tcPr>
            <w:tcW w:w="5380" w:type="dxa"/>
            <w:vAlign w:val="bottom"/>
            <w:gridSpan w:val="10"/>
          </w:tcPr>
          <w:p>
            <w:pPr>
              <w:spacing w:after="0"/>
              <w:rPr>
                <w:sz w:val="20"/>
                <w:szCs w:val="20"/>
                <w:color w:val="auto"/>
              </w:rPr>
            </w:pPr>
            <w:r>
              <w:rPr>
                <w:rFonts w:ascii="Arial" w:cs="Arial" w:eastAsia="Arial" w:hAnsi="Arial"/>
                <w:sz w:val="16"/>
                <w:szCs w:val="16"/>
                <w:color w:val="0000FF"/>
              </w:rPr>
              <w:t>Mine Safety Disclosures</w:t>
            </w:r>
          </w:p>
        </w:tc>
        <w:tc>
          <w:tcPr>
            <w:tcW w:w="1640" w:type="dxa"/>
            <w:vAlign w:val="bottom"/>
            <w:gridSpan w:val="2"/>
          </w:tcPr>
          <w:p>
            <w:pPr>
              <w:jc w:val="right"/>
              <w:spacing w:after="0"/>
              <w:rPr>
                <w:sz w:val="20"/>
                <w:szCs w:val="20"/>
                <w:color w:val="auto"/>
              </w:rPr>
            </w:pPr>
            <w:r>
              <w:rPr>
                <w:rFonts w:ascii="Arial" w:cs="Arial" w:eastAsia="Arial" w:hAnsi="Arial"/>
                <w:sz w:val="16"/>
                <w:szCs w:val="16"/>
                <w:color w:val="0000FF"/>
              </w:rPr>
              <w:t>31</w:t>
            </w:r>
          </w:p>
        </w:tc>
      </w:tr>
      <w:tr>
        <w:trPr>
          <w:trHeight w:val="20"/>
        </w:trPr>
        <w:tc>
          <w:tcPr>
            <w:tcW w:w="42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20" w:type="dxa"/>
            <w:vAlign w:val="bottom"/>
            <w:gridSpan w:val="3"/>
          </w:tcPr>
          <w:p>
            <w:pPr>
              <w:spacing w:after="0"/>
              <w:rPr>
                <w:sz w:val="20"/>
                <w:szCs w:val="20"/>
                <w:color w:val="auto"/>
              </w:rPr>
            </w:pPr>
            <w:r>
              <w:rPr>
                <w:rFonts w:ascii="Arial" w:cs="Arial" w:eastAsia="Arial" w:hAnsi="Arial"/>
                <w:sz w:val="16"/>
                <w:szCs w:val="16"/>
                <w:color w:val="0000FF"/>
              </w:rPr>
              <w:t>Item 5</w:t>
            </w:r>
            <w:r>
              <w:rPr>
                <w:rFonts w:ascii="Arial" w:cs="Arial" w:eastAsia="Arial" w:hAnsi="Arial"/>
                <w:sz w:val="16"/>
                <w:szCs w:val="16"/>
                <w:color w:val="000000"/>
              </w:rPr>
              <w:t>.</w:t>
            </w:r>
          </w:p>
        </w:tc>
        <w:tc>
          <w:tcPr>
            <w:tcW w:w="5380" w:type="dxa"/>
            <w:vAlign w:val="bottom"/>
            <w:gridSpan w:val="10"/>
          </w:tcPr>
          <w:p>
            <w:pPr>
              <w:spacing w:after="0"/>
              <w:rPr>
                <w:sz w:val="20"/>
                <w:szCs w:val="20"/>
                <w:color w:val="auto"/>
              </w:rPr>
            </w:pPr>
            <w:r>
              <w:rPr>
                <w:rFonts w:ascii="Arial" w:cs="Arial" w:eastAsia="Arial" w:hAnsi="Arial"/>
                <w:sz w:val="16"/>
                <w:szCs w:val="16"/>
                <w:color w:val="0000FF"/>
              </w:rPr>
              <w:t>Other Information</w:t>
            </w:r>
          </w:p>
        </w:tc>
        <w:tc>
          <w:tcPr>
            <w:tcW w:w="1640" w:type="dxa"/>
            <w:vAlign w:val="bottom"/>
            <w:gridSpan w:val="2"/>
          </w:tcPr>
          <w:p>
            <w:pPr>
              <w:jc w:val="right"/>
              <w:spacing w:after="0"/>
              <w:rPr>
                <w:sz w:val="20"/>
                <w:szCs w:val="20"/>
                <w:color w:val="auto"/>
              </w:rPr>
            </w:pPr>
            <w:r>
              <w:rPr>
                <w:rFonts w:ascii="Arial" w:cs="Arial" w:eastAsia="Arial" w:hAnsi="Arial"/>
                <w:sz w:val="16"/>
                <w:szCs w:val="16"/>
                <w:color w:val="0000FF"/>
              </w:rPr>
              <w:t>31</w:t>
            </w:r>
          </w:p>
        </w:tc>
      </w:tr>
      <w:tr>
        <w:trPr>
          <w:trHeight w:val="20"/>
        </w:trPr>
        <w:tc>
          <w:tcPr>
            <w:tcW w:w="42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23"/>
        </w:trPr>
        <w:tc>
          <w:tcPr>
            <w:tcW w:w="1920" w:type="dxa"/>
            <w:vAlign w:val="bottom"/>
            <w:gridSpan w:val="3"/>
          </w:tcPr>
          <w:p>
            <w:pPr>
              <w:spacing w:after="0"/>
              <w:rPr>
                <w:sz w:val="20"/>
                <w:szCs w:val="20"/>
                <w:color w:val="auto"/>
              </w:rPr>
            </w:pPr>
            <w:r>
              <w:rPr>
                <w:rFonts w:ascii="Arial" w:cs="Arial" w:eastAsia="Arial" w:hAnsi="Arial"/>
                <w:sz w:val="16"/>
                <w:szCs w:val="16"/>
                <w:color w:val="0000FF"/>
              </w:rPr>
              <w:t>Item 6</w:t>
            </w:r>
            <w:r>
              <w:rPr>
                <w:rFonts w:ascii="Arial" w:cs="Arial" w:eastAsia="Arial" w:hAnsi="Arial"/>
                <w:sz w:val="16"/>
                <w:szCs w:val="16"/>
                <w:color w:val="000000"/>
              </w:rPr>
              <w:t>.</w:t>
            </w:r>
          </w:p>
        </w:tc>
        <w:tc>
          <w:tcPr>
            <w:tcW w:w="5380" w:type="dxa"/>
            <w:vAlign w:val="bottom"/>
            <w:gridSpan w:val="10"/>
          </w:tcPr>
          <w:p>
            <w:pPr>
              <w:spacing w:after="0"/>
              <w:rPr>
                <w:sz w:val="20"/>
                <w:szCs w:val="20"/>
                <w:color w:val="auto"/>
              </w:rPr>
            </w:pPr>
            <w:r>
              <w:rPr>
                <w:rFonts w:ascii="Arial" w:cs="Arial" w:eastAsia="Arial" w:hAnsi="Arial"/>
                <w:sz w:val="16"/>
                <w:szCs w:val="16"/>
                <w:color w:val="0000FF"/>
              </w:rPr>
              <w:t>Exhibits</w:t>
            </w:r>
          </w:p>
        </w:tc>
        <w:tc>
          <w:tcPr>
            <w:tcW w:w="1640" w:type="dxa"/>
            <w:vAlign w:val="bottom"/>
            <w:gridSpan w:val="2"/>
          </w:tcPr>
          <w:p>
            <w:pPr>
              <w:jc w:val="right"/>
              <w:spacing w:after="0"/>
              <w:rPr>
                <w:sz w:val="20"/>
                <w:szCs w:val="20"/>
                <w:color w:val="auto"/>
              </w:rPr>
            </w:pPr>
            <w:r>
              <w:rPr>
                <w:rFonts w:ascii="Arial" w:cs="Arial" w:eastAsia="Arial" w:hAnsi="Arial"/>
                <w:sz w:val="16"/>
                <w:szCs w:val="16"/>
                <w:color w:val="0000FF"/>
              </w:rPr>
              <w:t>32</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0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Arial" w:cs="Arial" w:eastAsia="Arial" w:hAnsi="Arial"/>
                <w:sz w:val="16"/>
                <w:szCs w:val="16"/>
                <w:color w:val="0000FF"/>
                <w:w w:val="86"/>
              </w:rPr>
              <w:t>Signatures</w:t>
            </w:r>
          </w:p>
        </w:tc>
        <w:tc>
          <w:tcPr>
            <w:tcW w:w="4700" w:type="dxa"/>
            <w:vAlign w:val="bottom"/>
            <w:gridSpan w:val="8"/>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color w:val="0000FF"/>
              </w:rPr>
              <w:t>33</w:t>
            </w: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19"/>
          </w:cols>
          <w:pgMar w:left="1340" w:top="688" w:right="1440" w:bottom="1440" w:gutter="0" w:footer="0" w:header="0"/>
        </w:sectPr>
      </w:pPr>
    </w:p>
    <w:bookmarkStart w:id="3" w:name="page4"/>
    <w:bookmarkEnd w:id="3"/>
    <w:p>
      <w:pPr>
        <w:ind w:left="4440"/>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52"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(Unaudited, dollars in thousands, except share and per share data)</w:t>
      </w:r>
    </w:p>
    <w:p>
      <w:pPr>
        <w:spacing w:after="0" w:line="296" w:lineRule="exact"/>
        <w:rPr>
          <w:sz w:val="20"/>
          <w:szCs w:val="20"/>
          <w:color w:val="auto"/>
        </w:rPr>
      </w:pPr>
    </w:p>
    <w:tbl>
      <w:tblPr>
        <w:tblLayout w:type="fixed"/>
        <w:tblInd w:w="600" w:type="dxa"/>
        <w:tblCellMar>
          <w:top w:w="0" w:type="dxa"/>
          <w:left w:w="0" w:type="dxa"/>
          <w:bottom w:w="0" w:type="dxa"/>
          <w:right w:w="0" w:type="dxa"/>
        </w:tblCellMar>
      </w:tblPr>
      <w:tr>
        <w:trPr>
          <w:trHeight w:val="219"/>
        </w:trPr>
        <w:tc>
          <w:tcPr>
            <w:tcW w:w="6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May 27, 2023</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27, 2022</w:t>
            </w:r>
          </w:p>
        </w:tc>
        <w:tc>
          <w:tcPr>
            <w:tcW w:w="0" w:type="dxa"/>
            <w:vAlign w:val="bottom"/>
          </w:tcPr>
          <w:p>
            <w:pPr>
              <w:spacing w:after="0"/>
              <w:rPr>
                <w:sz w:val="1"/>
                <w:szCs w:val="1"/>
                <w:color w:val="auto"/>
              </w:rPr>
            </w:pPr>
          </w:p>
        </w:tc>
      </w:tr>
      <w:tr>
        <w:trPr>
          <w:trHeight w:val="243"/>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68,794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67,494</w:t>
            </w:r>
          </w:p>
        </w:tc>
        <w:tc>
          <w:tcPr>
            <w:tcW w:w="0" w:type="dxa"/>
            <w:vAlign w:val="bottom"/>
          </w:tcPr>
          <w:p>
            <w:pPr>
              <w:spacing w:after="0"/>
              <w:rPr>
                <w:sz w:val="1"/>
                <w:szCs w:val="1"/>
                <w:color w:val="auto"/>
              </w:rPr>
            </w:pPr>
          </w:p>
        </w:tc>
      </w:tr>
      <w:tr>
        <w:trPr>
          <w:trHeight w:val="240"/>
        </w:trPr>
        <w:tc>
          <w:tcPr>
            <w:tcW w:w="684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145,430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132,667</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105,437</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125,479</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5,759</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5,027</w:t>
            </w:r>
          </w:p>
        </w:tc>
        <w:tc>
          <w:tcPr>
            <w:tcW w:w="0" w:type="dxa"/>
            <w:vAlign w:val="bottom"/>
          </w:tcPr>
          <w:p>
            <w:pPr>
              <w:spacing w:after="0"/>
              <w:rPr>
                <w:sz w:val="1"/>
                <w:szCs w:val="1"/>
                <w:color w:val="auto"/>
              </w:rPr>
            </w:pPr>
          </w:p>
        </w:tc>
      </w:tr>
      <w:tr>
        <w:trPr>
          <w:trHeight w:val="243"/>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24,390</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20,934</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349,810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351,601</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Arial" w:cs="Arial" w:eastAsia="Arial" w:hAnsi="Arial"/>
                <w:sz w:val="16"/>
                <w:szCs w:val="16"/>
                <w:color w:val="auto"/>
              </w:rPr>
              <w:t>Long-term assets:</w:t>
            </w: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24,414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18,157</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1,111,865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1,123,258</w:t>
            </w:r>
          </w:p>
        </w:tc>
        <w:tc>
          <w:tcPr>
            <w:tcW w:w="0" w:type="dxa"/>
            <w:vAlign w:val="bottom"/>
          </w:tcPr>
          <w:p>
            <w:pPr>
              <w:spacing w:after="0"/>
              <w:rPr>
                <w:sz w:val="1"/>
                <w:szCs w:val="1"/>
                <w:color w:val="auto"/>
              </w:rPr>
            </w:pPr>
          </w:p>
        </w:tc>
      </w:tr>
      <w:tr>
        <w:trPr>
          <w:trHeight w:val="240"/>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543,134</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543,134</w:t>
            </w: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50,778</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58,099</w:t>
            </w: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2,080,001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2,094,249</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8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45,867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62,149</w:t>
            </w:r>
          </w:p>
        </w:tc>
        <w:tc>
          <w:tcPr>
            <w:tcW w:w="0" w:type="dxa"/>
            <w:vAlign w:val="bottom"/>
          </w:tcPr>
          <w:p>
            <w:pPr>
              <w:spacing w:after="0"/>
              <w:rPr>
                <w:sz w:val="1"/>
                <w:szCs w:val="1"/>
                <w:color w:val="auto"/>
              </w:rPr>
            </w:pPr>
          </w:p>
        </w:tc>
      </w:tr>
      <w:tr>
        <w:trPr>
          <w:trHeight w:val="240"/>
        </w:trPr>
        <w:tc>
          <w:tcPr>
            <w:tcW w:w="684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22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25,166</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39,675</w:t>
            </w:r>
          </w:p>
        </w:tc>
        <w:tc>
          <w:tcPr>
            <w:tcW w:w="0" w:type="dxa"/>
            <w:vAlign w:val="bottom"/>
          </w:tcPr>
          <w:p>
            <w:pPr>
              <w:spacing w:after="0"/>
              <w:rPr>
                <w:sz w:val="1"/>
                <w:szCs w:val="1"/>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6"/>
                <w:szCs w:val="16"/>
                <w:color w:val="auto"/>
              </w:rPr>
              <w:t>Current maturities of long-term debt</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71,275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102,248</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Long-term debt, less current maturities</w:t>
            </w:r>
          </w:p>
        </w:tc>
        <w:tc>
          <w:tcPr>
            <w:tcW w:w="22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320,900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403,022</w:t>
            </w:r>
          </w:p>
        </w:tc>
        <w:tc>
          <w:tcPr>
            <w:tcW w:w="0" w:type="dxa"/>
            <w:vAlign w:val="bottom"/>
          </w:tcPr>
          <w:p>
            <w:pPr>
              <w:spacing w:after="0"/>
              <w:rPr>
                <w:sz w:val="1"/>
                <w:szCs w:val="1"/>
                <w:color w:val="auto"/>
              </w:rPr>
            </w:pPr>
          </w:p>
        </w:tc>
      </w:tr>
      <w:tr>
        <w:trPr>
          <w:trHeight w:val="246"/>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117,281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105,676</w:t>
            </w:r>
          </w:p>
        </w:tc>
        <w:tc>
          <w:tcPr>
            <w:tcW w:w="0" w:type="dxa"/>
            <w:vAlign w:val="bottom"/>
          </w:tcPr>
          <w:p>
            <w:pPr>
              <w:spacing w:after="0"/>
              <w:rPr>
                <w:sz w:val="1"/>
                <w:szCs w:val="1"/>
                <w:color w:val="auto"/>
              </w:rPr>
            </w:pPr>
          </w:p>
        </w:tc>
      </w:tr>
      <w:tr>
        <w:trPr>
          <w:trHeight w:val="253"/>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39,727</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44,639</w:t>
            </w:r>
          </w:p>
        </w:tc>
        <w:tc>
          <w:tcPr>
            <w:tcW w:w="0" w:type="dxa"/>
            <w:vAlign w:val="bottom"/>
          </w:tcPr>
          <w:p>
            <w:pPr>
              <w:spacing w:after="0"/>
              <w:rPr>
                <w:sz w:val="1"/>
                <w:szCs w:val="1"/>
                <w:color w:val="auto"/>
              </w:rPr>
            </w:pPr>
          </w:p>
        </w:tc>
      </w:tr>
      <w:tr>
        <w:trPr>
          <w:trHeight w:val="24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549,183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655,585</w:t>
            </w:r>
          </w:p>
        </w:tc>
        <w:tc>
          <w:tcPr>
            <w:tcW w:w="0" w:type="dxa"/>
            <w:vAlign w:val="bottom"/>
          </w:tcPr>
          <w:p>
            <w:pPr>
              <w:spacing w:after="0"/>
              <w:rPr>
                <w:sz w:val="1"/>
                <w:szCs w:val="1"/>
                <w:color w:val="auto"/>
              </w:rPr>
            </w:pPr>
          </w:p>
        </w:tc>
      </w:tr>
      <w:tr>
        <w:trPr>
          <w:trHeight w:val="233"/>
        </w:trPr>
        <w:tc>
          <w:tcPr>
            <w:tcW w:w="6840" w:type="dxa"/>
            <w:vAlign w:val="bottom"/>
          </w:tcPr>
          <w:p>
            <w:pPr>
              <w:ind w:left="20"/>
              <w:spacing w:after="0"/>
              <w:rPr>
                <w:sz w:val="20"/>
                <w:szCs w:val="20"/>
                <w:color w:val="auto"/>
              </w:rPr>
            </w:pPr>
            <w:r>
              <w:rPr>
                <w:rFonts w:ascii="Arial" w:cs="Arial" w:eastAsia="Arial" w:hAnsi="Arial"/>
                <w:sz w:val="16"/>
                <w:szCs w:val="16"/>
                <w:color w:val="auto"/>
              </w:rPr>
              <w:t>See commitments and contingencies (Note 9)</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8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$0.01 par value, 100,000,000 shares authorized, none issued</w:t>
            </w: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6840" w:type="dxa"/>
            <w:vAlign w:val="bottom"/>
          </w:tcPr>
          <w:p>
            <w:pPr>
              <w:ind w:left="180"/>
              <w:spacing w:after="0"/>
              <w:rPr>
                <w:sz w:val="20"/>
                <w:szCs w:val="20"/>
                <w:color w:val="auto"/>
              </w:rPr>
            </w:pPr>
            <w:r>
              <w:rPr>
                <w:rFonts w:ascii="Arial" w:cs="Arial" w:eastAsia="Arial" w:hAnsi="Arial"/>
                <w:sz w:val="16"/>
                <w:szCs w:val="16"/>
                <w:color w:val="auto"/>
                <w:w w:val="97"/>
              </w:rPr>
              <w:t>Common stock, $0.01 par value, 600,000,000 shares authorized, 101,912,526 and 101,322,834</w:t>
            </w:r>
          </w:p>
        </w:tc>
        <w:tc>
          <w:tcPr>
            <w:tcW w:w="220" w:type="dxa"/>
            <w:vAlign w:val="bottom"/>
          </w:tcPr>
          <w:p>
            <w:pPr>
              <w:spacing w:after="0"/>
              <w:rPr>
                <w:sz w:val="16"/>
                <w:szCs w:val="16"/>
                <w:color w:val="auto"/>
              </w:rPr>
            </w:pPr>
          </w:p>
        </w:tc>
        <w:tc>
          <w:tcPr>
            <w:tcW w:w="1320" w:type="dxa"/>
            <w:vAlign w:val="bottom"/>
            <w:vMerge w:val="restart"/>
          </w:tcPr>
          <w:p>
            <w:pPr>
              <w:jc w:val="right"/>
              <w:ind w:right="19"/>
              <w:spacing w:after="0"/>
              <w:rPr>
                <w:sz w:val="20"/>
                <w:szCs w:val="20"/>
                <w:color w:val="auto"/>
              </w:rPr>
            </w:pPr>
            <w:r>
              <w:rPr>
                <w:rFonts w:ascii="Arial" w:cs="Arial" w:eastAsia="Arial" w:hAnsi="Arial"/>
                <w:sz w:val="16"/>
                <w:szCs w:val="16"/>
                <w:color w:val="auto"/>
              </w:rPr>
              <w:t>1,019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1,013</w:t>
            </w:r>
          </w:p>
        </w:tc>
        <w:tc>
          <w:tcPr>
            <w:tcW w:w="0" w:type="dxa"/>
            <w:vAlign w:val="bottom"/>
          </w:tcPr>
          <w:p>
            <w:pPr>
              <w:spacing w:after="0"/>
              <w:rPr>
                <w:sz w:val="1"/>
                <w:szCs w:val="1"/>
                <w:color w:val="auto"/>
              </w:rPr>
            </w:pPr>
          </w:p>
        </w:tc>
      </w:tr>
      <w:tr>
        <w:trPr>
          <w:trHeight w:val="209"/>
        </w:trPr>
        <w:tc>
          <w:tcPr>
            <w:tcW w:w="6840" w:type="dxa"/>
            <w:vAlign w:val="bottom"/>
          </w:tcPr>
          <w:p>
            <w:pPr>
              <w:ind w:left="180"/>
              <w:spacing w:after="0"/>
              <w:rPr>
                <w:sz w:val="20"/>
                <w:szCs w:val="20"/>
                <w:color w:val="auto"/>
              </w:rPr>
            </w:pPr>
            <w:r>
              <w:rPr>
                <w:rFonts w:ascii="Arial" w:cs="Arial" w:eastAsia="Arial" w:hAnsi="Arial"/>
                <w:sz w:val="16"/>
                <w:szCs w:val="16"/>
                <w:color w:val="auto"/>
              </w:rPr>
              <w:t>shares issued at May 27, 2023 and August 27, 2022, respectively</w:t>
            </w: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84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7"/>
              </w:rPr>
              <w:t>Treasury stock, 2,365,100 shares and 1,818,754 shares at cost at May 27, 2023 and August 27,</w:t>
            </w:r>
          </w:p>
        </w:tc>
        <w:tc>
          <w:tcPr>
            <w:tcW w:w="2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(78,451)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(62,003)</w:t>
            </w:r>
          </w:p>
        </w:tc>
        <w:tc>
          <w:tcPr>
            <w:tcW w:w="0" w:type="dxa"/>
            <w:vAlign w:val="bottom"/>
          </w:tcPr>
          <w:p>
            <w:pPr>
              <w:spacing w:after="0"/>
              <w:rPr>
                <w:sz w:val="1"/>
                <w:szCs w:val="1"/>
                <w:color w:val="auto"/>
              </w:rPr>
            </w:pPr>
          </w:p>
        </w:tc>
      </w:tr>
      <w:tr>
        <w:trPr>
          <w:trHeight w:val="212"/>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2022, respectively</w:t>
            </w:r>
          </w:p>
        </w:tc>
        <w:tc>
          <w:tcPr>
            <w:tcW w:w="2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Additional paid-in-capital</w:t>
            </w:r>
          </w:p>
        </w:tc>
        <w:tc>
          <w:tcPr>
            <w:tcW w:w="22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1,299,318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1,287,224</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311,314</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214,381</w:t>
            </w:r>
          </w:p>
        </w:tc>
        <w:tc>
          <w:tcPr>
            <w:tcW w:w="0" w:type="dxa"/>
            <w:vAlign w:val="bottom"/>
          </w:tcPr>
          <w:p>
            <w:pPr>
              <w:spacing w:after="0"/>
              <w:rPr>
                <w:sz w:val="1"/>
                <w:szCs w:val="1"/>
                <w:color w:val="auto"/>
              </w:rPr>
            </w:pPr>
          </w:p>
        </w:tc>
      </w:tr>
      <w:tr>
        <w:trPr>
          <w:trHeight w:val="240"/>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(2,382)</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w:t>
            </w:r>
          </w:p>
        </w:tc>
        <w:tc>
          <w:tcPr>
            <w:tcW w:w="0" w:type="dxa"/>
            <w:vAlign w:val="bottom"/>
          </w:tcPr>
          <w:p>
            <w:pPr>
              <w:spacing w:after="0"/>
              <w:rPr>
                <w:sz w:val="1"/>
                <w:szCs w:val="1"/>
                <w:color w:val="auto"/>
              </w:rPr>
            </w:pPr>
          </w:p>
        </w:tc>
      </w:tr>
      <w:tr>
        <w:trPr>
          <w:trHeight w:val="226"/>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1,530,818</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1,438,664</w:t>
            </w:r>
          </w:p>
        </w:tc>
        <w:tc>
          <w:tcPr>
            <w:tcW w:w="0" w:type="dxa"/>
            <w:vAlign w:val="bottom"/>
          </w:tcPr>
          <w:p>
            <w:pPr>
              <w:spacing w:after="0"/>
              <w:rPr>
                <w:sz w:val="1"/>
                <w:szCs w:val="1"/>
                <w:color w:val="auto"/>
              </w:rPr>
            </w:pPr>
          </w:p>
        </w:tc>
      </w:tr>
      <w:tr>
        <w:trPr>
          <w:trHeight w:val="223"/>
        </w:trPr>
        <w:tc>
          <w:tcPr>
            <w:tcW w:w="684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2,080,001</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2,094,249</w:t>
            </w: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3160"/>
        <w:spacing w:after="0"/>
        <w:rPr>
          <w:sz w:val="20"/>
          <w:szCs w:val="20"/>
          <w:color w:val="auto"/>
        </w:rPr>
      </w:pPr>
      <w:r>
        <w:rPr>
          <w:rFonts w:ascii="Arial" w:cs="Arial" w:eastAsia="Arial" w:hAnsi="Arial"/>
          <w:sz w:val="16"/>
          <w:szCs w:val="16"/>
          <w:i w:val="1"/>
          <w:iCs w:val="1"/>
          <w:color w:val="auto"/>
        </w:rPr>
        <w:t>See accompanying notes to the unaudited consolidated financial statements.</w:t>
      </w:r>
    </w:p>
    <w:p>
      <w:pPr>
        <w:sectPr>
          <w:pgSz w:w="11900" w:h="16838" w:orient="portrait"/>
          <w:cols w:equalWidth="0" w:num="1">
            <w:col w:w="10640"/>
          </w:cols>
          <w:pgMar w:left="320" w:top="688" w:right="939" w:bottom="1440" w:gutter="0" w:footer="0" w:header="0"/>
        </w:sectPr>
      </w:pPr>
    </w:p>
    <w:p>
      <w:pPr>
        <w:spacing w:after="0" w:line="36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688" w:right="9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i w:val="1"/>
          <w:iCs w:val="1"/>
          <w:color w:val="auto"/>
        </w:rPr>
        <w:t>(Unaudited, dollars in thousands, except share and per share data)</w:t>
      </w:r>
    </w:p>
    <w:p>
      <w:pPr>
        <w:spacing w:after="0" w:line="283" w:lineRule="exact"/>
        <w:rPr>
          <w:sz w:val="20"/>
          <w:szCs w:val="20"/>
          <w:color w:val="auto"/>
        </w:rPr>
      </w:pPr>
    </w:p>
    <w:tbl>
      <w:tblPr>
        <w:tblLayout w:type="fixed"/>
        <w:tblInd w:w="660" w:type="dxa"/>
        <w:tblCellMar>
          <w:top w:w="0" w:type="dxa"/>
          <w:left w:w="0" w:type="dxa"/>
          <w:bottom w:w="0" w:type="dxa"/>
          <w:right w:w="0" w:type="dxa"/>
        </w:tblCellMar>
      </w:tblPr>
      <w:tr>
        <w:trPr>
          <w:trHeight w:val="209"/>
        </w:trPr>
        <w:tc>
          <w:tcPr>
            <w:tcW w:w="3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color w:val="auto"/>
              </w:rPr>
              <w:t>Thirteen Weeks Ended</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color w:val="auto"/>
              </w:rPr>
              <w:t>Thirty-Nine Weeks Ended</w:t>
            </w: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May 27, 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May 28, 2022</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May 27, 2023</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May 28, 2022</w:t>
            </w:r>
          </w:p>
        </w:tc>
        <w:tc>
          <w:tcPr>
            <w:tcW w:w="0" w:type="dxa"/>
            <w:vAlign w:val="bottom"/>
          </w:tcPr>
          <w:p>
            <w:pPr>
              <w:spacing w:after="0"/>
              <w:rPr>
                <w:sz w:val="1"/>
                <w:szCs w:val="1"/>
                <w:color w:val="auto"/>
              </w:rPr>
            </w:pPr>
          </w:p>
        </w:tc>
      </w:tr>
      <w:tr>
        <w:trPr>
          <w:trHeight w:val="240"/>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324,792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316,531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922,254</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894,514</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205,546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197,883</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589,284</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550,788</w:t>
            </w:r>
          </w:p>
        </w:tc>
        <w:tc>
          <w:tcPr>
            <w:tcW w:w="0" w:type="dxa"/>
            <w:vAlign w:val="bottom"/>
          </w:tcPr>
          <w:p>
            <w:pPr>
              <w:spacing w:after="0"/>
              <w:rPr>
                <w:sz w:val="1"/>
                <w:szCs w:val="1"/>
                <w:color w:val="auto"/>
              </w:rPr>
            </w:pPr>
          </w:p>
        </w:tc>
      </w:tr>
      <w:tr>
        <w:trPr>
          <w:trHeight w:val="23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119,246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118,648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332,970</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343,726</w:t>
            </w:r>
          </w:p>
        </w:tc>
        <w:tc>
          <w:tcPr>
            <w:tcW w:w="0" w:type="dxa"/>
            <w:vAlign w:val="bottom"/>
          </w:tcPr>
          <w:p>
            <w:pPr>
              <w:spacing w:after="0"/>
              <w:rPr>
                <w:sz w:val="1"/>
                <w:szCs w:val="1"/>
                <w:color w:val="auto"/>
              </w:rPr>
            </w:pPr>
          </w:p>
        </w:tc>
      </w:tr>
      <w:tr>
        <w:trPr>
          <w:trHeight w:val="257"/>
        </w:trPr>
        <w:tc>
          <w:tcPr>
            <w:tcW w:w="3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3640" w:type="dxa"/>
            <w:vAlign w:val="bottom"/>
          </w:tcPr>
          <w:p>
            <w:pPr>
              <w:ind w:left="140"/>
              <w:spacing w:after="0"/>
              <w:rPr>
                <w:sz w:val="20"/>
                <w:szCs w:val="20"/>
                <w:color w:val="auto"/>
              </w:rPr>
            </w:pPr>
            <w:r>
              <w:rPr>
                <w:rFonts w:ascii="Arial" w:cs="Arial" w:eastAsia="Arial" w:hAnsi="Arial"/>
                <w:sz w:val="16"/>
                <w:szCs w:val="16"/>
                <w:color w:val="auto"/>
              </w:rPr>
              <w:t>Selling and marketing</w:t>
            </w:r>
          </w:p>
        </w:tc>
        <w:tc>
          <w:tcPr>
            <w:tcW w:w="3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30,168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32,334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88,650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94,816</w:t>
            </w:r>
          </w:p>
        </w:tc>
        <w:tc>
          <w:tcPr>
            <w:tcW w:w="0" w:type="dxa"/>
            <w:vAlign w:val="bottom"/>
          </w:tcPr>
          <w:p>
            <w:pPr>
              <w:spacing w:after="0"/>
              <w:rPr>
                <w:sz w:val="1"/>
                <w:szCs w:val="1"/>
                <w:color w:val="auto"/>
              </w:rPr>
            </w:pPr>
          </w:p>
        </w:tc>
      </w:tr>
      <w:tr>
        <w:trPr>
          <w:trHeight w:val="260"/>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30,510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26,721</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82,085</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76,711</w:t>
            </w:r>
          </w:p>
        </w:tc>
        <w:tc>
          <w:tcPr>
            <w:tcW w:w="0" w:type="dxa"/>
            <w:vAlign w:val="bottom"/>
          </w:tcPr>
          <w:p>
            <w:pPr>
              <w:spacing w:after="0"/>
              <w:rPr>
                <w:sz w:val="1"/>
                <w:szCs w:val="1"/>
                <w:color w:val="auto"/>
              </w:rPr>
            </w:pPr>
          </w:p>
        </w:tc>
      </w:tr>
      <w:tr>
        <w:trPr>
          <w:trHeight w:val="243"/>
        </w:trPr>
        <w:tc>
          <w:tcPr>
            <w:tcW w:w="36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4,363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4,317</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13,035</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12,966</w:t>
            </w:r>
          </w:p>
        </w:tc>
        <w:tc>
          <w:tcPr>
            <w:tcW w:w="0" w:type="dxa"/>
            <w:vAlign w:val="bottom"/>
          </w:tcPr>
          <w:p>
            <w:pPr>
              <w:spacing w:after="0"/>
              <w:rPr>
                <w:sz w:val="1"/>
                <w:szCs w:val="1"/>
                <w:color w:val="auto"/>
              </w:rPr>
            </w:pPr>
          </w:p>
        </w:tc>
      </w:tr>
      <w:tr>
        <w:trPr>
          <w:trHeight w:val="236"/>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65,041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63,372</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183,770</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184,493</w:t>
            </w:r>
          </w:p>
        </w:tc>
        <w:tc>
          <w:tcPr>
            <w:tcW w:w="0" w:type="dxa"/>
            <w:vAlign w:val="bottom"/>
          </w:tcPr>
          <w:p>
            <w:pPr>
              <w:spacing w:after="0"/>
              <w:rPr>
                <w:sz w:val="1"/>
                <w:szCs w:val="1"/>
                <w:color w:val="auto"/>
              </w:rPr>
            </w:pPr>
          </w:p>
        </w:tc>
      </w:tr>
      <w:tr>
        <w:trPr>
          <w:trHeight w:val="257"/>
        </w:trPr>
        <w:tc>
          <w:tcPr>
            <w:tcW w:w="3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54,205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55,276</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149,200</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159,233</w:t>
            </w: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64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660</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6"/>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(4,881)</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(23,201)</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(16,528)</w:t>
            </w:r>
          </w:p>
        </w:tc>
        <w:tc>
          <w:tcPr>
            <w:tcW w:w="0" w:type="dxa"/>
            <w:vAlign w:val="bottom"/>
          </w:tcPr>
          <w:p>
            <w:pPr>
              <w:spacing w:after="0"/>
              <w:rPr>
                <w:sz w:val="1"/>
                <w:szCs w:val="1"/>
                <w:color w:val="auto"/>
              </w:rPr>
            </w:pPr>
          </w:p>
        </w:tc>
      </w:tr>
      <w:tr>
        <w:trPr>
          <w:trHeight w:val="254"/>
        </w:trPr>
        <w:tc>
          <w:tcPr>
            <w:tcW w:w="3640" w:type="dxa"/>
            <w:vAlign w:val="bottom"/>
          </w:tcPr>
          <w:p>
            <w:pPr>
              <w:ind w:left="140"/>
              <w:spacing w:after="0"/>
              <w:rPr>
                <w:sz w:val="20"/>
                <w:szCs w:val="20"/>
                <w:color w:val="auto"/>
              </w:rPr>
            </w:pPr>
            <w:r>
              <w:rPr>
                <w:rFonts w:ascii="Arial" w:cs="Arial" w:eastAsia="Arial" w:hAnsi="Arial"/>
                <w:sz w:val="16"/>
                <w:szCs w:val="16"/>
                <w:color w:val="auto"/>
              </w:rPr>
              <w:t>Loss in fair value change of warrant liability</w:t>
            </w:r>
          </w:p>
        </w:tc>
        <w:tc>
          <w:tcPr>
            <w:tcW w:w="3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(30,062)</w:t>
            </w:r>
          </w:p>
        </w:tc>
        <w:tc>
          <w:tcPr>
            <w:tcW w:w="0" w:type="dxa"/>
            <w:vAlign w:val="bottom"/>
          </w:tcPr>
          <w:p>
            <w:pPr>
              <w:spacing w:after="0"/>
              <w:rPr>
                <w:sz w:val="1"/>
                <w:szCs w:val="1"/>
                <w:color w:val="auto"/>
              </w:rPr>
            </w:pPr>
          </w:p>
        </w:tc>
      </w:tr>
      <w:tr>
        <w:trPr>
          <w:trHeight w:val="259"/>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foreign currency transactions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40"/>
        </w:trPr>
        <w:tc>
          <w:tcPr>
            <w:tcW w:w="3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40"/>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(22,457)</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(46,060)</w:t>
            </w:r>
          </w:p>
        </w:tc>
        <w:tc>
          <w:tcPr>
            <w:tcW w:w="0" w:type="dxa"/>
            <w:vAlign w:val="bottom"/>
          </w:tcPr>
          <w:p>
            <w:pPr>
              <w:spacing w:after="0"/>
              <w:rPr>
                <w:sz w:val="1"/>
                <w:szCs w:val="1"/>
                <w:color w:val="auto"/>
              </w:rPr>
            </w:pPr>
          </w:p>
        </w:tc>
      </w:tr>
      <w:tr>
        <w:trPr>
          <w:trHeight w:val="257"/>
        </w:trPr>
        <w:tc>
          <w:tcPr>
            <w:tcW w:w="3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47,147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50,488</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126,743</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113,173</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11,716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11,654</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29,810</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34,726</w:t>
            </w:r>
          </w:p>
        </w:tc>
        <w:tc>
          <w:tcPr>
            <w:tcW w:w="0" w:type="dxa"/>
            <w:vAlign w:val="bottom"/>
          </w:tcPr>
          <w:p>
            <w:pPr>
              <w:spacing w:after="0"/>
              <w:rPr>
                <w:sz w:val="1"/>
                <w:szCs w:val="1"/>
                <w:color w:val="auto"/>
              </w:rPr>
            </w:pPr>
          </w:p>
        </w:tc>
      </w:tr>
      <w:tr>
        <w:trPr>
          <w:trHeight w:val="250"/>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35,431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38,834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96,933</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78,447</w:t>
            </w: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640" w:type="dxa"/>
            <w:vAlign w:val="bottom"/>
          </w:tcPr>
          <w:p>
            <w:pPr>
              <w:ind w:left="140"/>
              <w:spacing w:after="0" w:line="166" w:lineRule="exact"/>
              <w:rPr>
                <w:sz w:val="20"/>
                <w:szCs w:val="20"/>
                <w:color w:val="auto"/>
              </w:rPr>
            </w:pPr>
            <w:r>
              <w:rPr>
                <w:rFonts w:ascii="Arial" w:cs="Arial" w:eastAsia="Arial" w:hAnsi="Arial"/>
                <w:sz w:val="16"/>
                <w:szCs w:val="16"/>
                <w:color w:val="auto"/>
                <w:w w:val="97"/>
              </w:rPr>
              <w:t>Foreign currency translation, net of reclassification</w:t>
            </w:r>
          </w:p>
        </w:tc>
        <w:tc>
          <w:tcPr>
            <w:tcW w:w="3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(431)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199"/>
        </w:trPr>
        <w:tc>
          <w:tcPr>
            <w:tcW w:w="3640" w:type="dxa"/>
            <w:vAlign w:val="bottom"/>
          </w:tcPr>
          <w:p>
            <w:pPr>
              <w:ind w:left="140"/>
              <w:spacing w:after="0"/>
              <w:rPr>
                <w:sz w:val="20"/>
                <w:szCs w:val="20"/>
                <w:color w:val="auto"/>
              </w:rPr>
            </w:pPr>
            <w:r>
              <w:rPr>
                <w:rFonts w:ascii="Arial" w:cs="Arial" w:eastAsia="Arial" w:hAnsi="Arial"/>
                <w:sz w:val="16"/>
                <w:szCs w:val="16"/>
                <w:color w:val="auto"/>
              </w:rPr>
              <w:t>adjustments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35,169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38,762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96,502</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77,627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from net income:</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640" w:type="dxa"/>
            <w:vAlign w:val="bottom"/>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0.39</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0.98</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60"/>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40"/>
        </w:trPr>
        <w:tc>
          <w:tcPr>
            <w:tcW w:w="364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99,518,546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100,426,227</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99,404,174</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98,294,114</w:t>
            </w:r>
          </w:p>
        </w:tc>
        <w:tc>
          <w:tcPr>
            <w:tcW w:w="0" w:type="dxa"/>
            <w:vAlign w:val="bottom"/>
          </w:tcPr>
          <w:p>
            <w:pPr>
              <w:spacing w:after="0"/>
              <w:rPr>
                <w:sz w:val="1"/>
                <w:szCs w:val="1"/>
                <w:color w:val="auto"/>
              </w:rPr>
            </w:pPr>
          </w:p>
        </w:tc>
      </w:tr>
      <w:tr>
        <w:trPr>
          <w:trHeight w:val="250"/>
        </w:trPr>
        <w:tc>
          <w:tcPr>
            <w:tcW w:w="3640" w:type="dxa"/>
            <w:vAlign w:val="bottom"/>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100,909,972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102,237,457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100,847,970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100,190,068</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3160"/>
        <w:spacing w:after="0"/>
        <w:rPr>
          <w:sz w:val="20"/>
          <w:szCs w:val="20"/>
          <w:color w:val="auto"/>
        </w:rPr>
      </w:pPr>
      <w:r>
        <w:rPr>
          <w:rFonts w:ascii="Arial" w:cs="Arial" w:eastAsia="Arial" w:hAnsi="Arial"/>
          <w:sz w:val="16"/>
          <w:szCs w:val="16"/>
          <w:i w:val="1"/>
          <w:iCs w:val="1"/>
          <w:color w:val="auto"/>
        </w:rPr>
        <w:t>See accompanying notes to the unaudited consolidated financial statements.</w:t>
      </w:r>
    </w:p>
    <w:p>
      <w:pPr>
        <w:spacing w:after="0" w:line="3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25" w:right="9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(Unaudited, dollars in thousands)</w:t>
      </w:r>
    </w:p>
    <w:p>
      <w:pPr>
        <w:spacing w:after="0" w:line="337"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color w:val="auto"/>
              </w:rPr>
              <w:t>Thirty-Nine Weeks Ended</w:t>
            </w:r>
          </w:p>
        </w:tc>
      </w:tr>
      <w:tr>
        <w:trPr>
          <w:trHeight w:val="210"/>
        </w:trPr>
        <w:tc>
          <w:tcPr>
            <w:tcW w:w="6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May 27, 2023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May 28, 2022</w:t>
            </w:r>
          </w:p>
        </w:tc>
      </w:tr>
      <w:tr>
        <w:trPr>
          <w:trHeight w:val="212"/>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96,933</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78,447</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86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15,044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14,398</w:t>
            </w:r>
          </w:p>
        </w:tc>
      </w:tr>
      <w:tr>
        <w:trPr>
          <w:trHeight w:val="219"/>
        </w:trPr>
        <w:tc>
          <w:tcPr>
            <w:tcW w:w="6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Amortization of deferred financing costs and debt discount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w:t>
            </w:r>
          </w:p>
        </w:tc>
      </w:tr>
      <w:tr>
        <w:trPr>
          <w:trHeight w:val="213"/>
        </w:trPr>
        <w:tc>
          <w:tcPr>
            <w:tcW w:w="6860" w:type="dxa"/>
            <w:vAlign w:val="bottom"/>
          </w:tcPr>
          <w:p>
            <w:pPr>
              <w:ind w:left="160"/>
              <w:spacing w:after="0"/>
              <w:rPr>
                <w:sz w:val="20"/>
                <w:szCs w:val="20"/>
                <w:color w:val="auto"/>
              </w:rPr>
            </w:pPr>
            <w:r>
              <w:rPr>
                <w:rFonts w:ascii="Arial" w:cs="Arial" w:eastAsia="Arial" w:hAnsi="Arial"/>
                <w:sz w:val="16"/>
                <w:szCs w:val="16"/>
                <w:color w:val="auto"/>
              </w:rPr>
              <w:t>Stock compensation expense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10,456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8,691</w:t>
            </w:r>
          </w:p>
        </w:tc>
      </w:tr>
      <w:tr>
        <w:trPr>
          <w:trHeight w:val="219"/>
        </w:trPr>
        <w:tc>
          <w:tcPr>
            <w:tcW w:w="6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Change in fair value change of warrant liability</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30,062</w:t>
            </w:r>
          </w:p>
        </w:tc>
      </w:tr>
      <w:tr>
        <w:trPr>
          <w:trHeight w:val="213"/>
        </w:trPr>
        <w:tc>
          <w:tcPr>
            <w:tcW w:w="6860" w:type="dxa"/>
            <w:vAlign w:val="bottom"/>
          </w:tcPr>
          <w:p>
            <w:pPr>
              <w:ind w:left="160"/>
              <w:spacing w:after="0"/>
              <w:rPr>
                <w:sz w:val="20"/>
                <w:szCs w:val="20"/>
                <w:color w:val="auto"/>
              </w:rPr>
            </w:pPr>
            <w:r>
              <w:rPr>
                <w:rFonts w:ascii="Arial" w:cs="Arial" w:eastAsia="Arial" w:hAnsi="Arial"/>
                <w:sz w:val="16"/>
                <w:szCs w:val="16"/>
                <w:color w:val="auto"/>
              </w:rPr>
              <w:t>Estimated credit losses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19"/>
        </w:trPr>
        <w:tc>
          <w:tcPr>
            <w:tcW w:w="6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Unrealized loss (gain) on foreign currency transactions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r>
      <w:tr>
        <w:trPr>
          <w:trHeight w:val="213"/>
        </w:trPr>
        <w:tc>
          <w:tcPr>
            <w:tcW w:w="6860" w:type="dxa"/>
            <w:vAlign w:val="bottom"/>
          </w:tcPr>
          <w:p>
            <w:pPr>
              <w:ind w:left="16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11,696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14,140</w:t>
            </w:r>
          </w:p>
        </w:tc>
      </w:tr>
      <w:tr>
        <w:trPr>
          <w:trHeight w:val="219"/>
        </w:trPr>
        <w:tc>
          <w:tcPr>
            <w:tcW w:w="6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Amortization of operating lease right-of-use asset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4,955</w:t>
            </w:r>
          </w:p>
        </w:tc>
      </w:tr>
      <w:tr>
        <w:trPr>
          <w:trHeight w:val="213"/>
        </w:trPr>
        <w:tc>
          <w:tcPr>
            <w:tcW w:w="6860" w:type="dxa"/>
            <w:vAlign w:val="bottom"/>
          </w:tcPr>
          <w:p>
            <w:pPr>
              <w:ind w:left="160"/>
              <w:spacing w:after="0"/>
              <w:rPr>
                <w:sz w:val="20"/>
                <w:szCs w:val="20"/>
                <w:color w:val="auto"/>
              </w:rPr>
            </w:pPr>
            <w:r>
              <w:rPr>
                <w:rFonts w:ascii="Arial" w:cs="Arial" w:eastAsia="Arial" w:hAnsi="Arial"/>
                <w:sz w:val="16"/>
                <w:szCs w:val="16"/>
                <w:color w:val="auto"/>
              </w:rPr>
              <w:t>Gain on lease termination</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6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13"/>
        </w:trPr>
        <w:tc>
          <w:tcPr>
            <w:tcW w:w="6860" w:type="dxa"/>
            <w:vAlign w:val="bottom"/>
          </w:tcPr>
          <w:p>
            <w:pPr>
              <w:ind w:left="16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6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(35,269)</w:t>
            </w:r>
          </w:p>
        </w:tc>
      </w:tr>
      <w:tr>
        <w:trPr>
          <w:trHeight w:val="213"/>
        </w:trPr>
        <w:tc>
          <w:tcPr>
            <w:tcW w:w="686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19,444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(15,006)</w:t>
            </w:r>
          </w:p>
        </w:tc>
      </w:tr>
      <w:tr>
        <w:trPr>
          <w:trHeight w:val="219"/>
        </w:trPr>
        <w:tc>
          <w:tcPr>
            <w:tcW w:w="6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Prepaid expenses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13"/>
        </w:trPr>
        <w:tc>
          <w:tcPr>
            <w:tcW w:w="6860" w:type="dxa"/>
            <w:vAlign w:val="bottom"/>
          </w:tcPr>
          <w:p>
            <w:pPr>
              <w:ind w:left="300"/>
              <w:spacing w:after="0"/>
              <w:rPr>
                <w:sz w:val="20"/>
                <w:szCs w:val="20"/>
                <w:color w:val="auto"/>
              </w:rPr>
            </w:pPr>
            <w:r>
              <w:rPr>
                <w:rFonts w:ascii="Arial" w:cs="Arial" w:eastAsia="Arial" w:hAnsi="Arial"/>
                <w:sz w:val="16"/>
                <w:szCs w:val="16"/>
                <w:color w:val="auto"/>
              </w:rPr>
              <w:t>Other current assets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(1,595)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(37,288)</w:t>
            </w:r>
          </w:p>
        </w:tc>
      </w:tr>
      <w:tr>
        <w:trPr>
          <w:trHeight w:val="219"/>
        </w:trPr>
        <w:tc>
          <w:tcPr>
            <w:tcW w:w="6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5,585</w:t>
            </w:r>
          </w:p>
        </w:tc>
      </w:tr>
      <w:tr>
        <w:trPr>
          <w:trHeight w:val="213"/>
        </w:trPr>
        <w:tc>
          <w:tcPr>
            <w:tcW w:w="6860" w:type="dxa"/>
            <w:vAlign w:val="bottom"/>
          </w:tcPr>
          <w:p>
            <w:pPr>
              <w:ind w:left="300"/>
              <w:spacing w:after="0"/>
              <w:rPr>
                <w:sz w:val="20"/>
                <w:szCs w:val="20"/>
                <w:color w:val="auto"/>
              </w:rPr>
            </w:pPr>
            <w:r>
              <w:rPr>
                <w:rFonts w:ascii="Arial" w:cs="Arial" w:eastAsia="Arial" w:hAnsi="Arial"/>
                <w:sz w:val="16"/>
                <w:szCs w:val="16"/>
                <w:color w:val="auto"/>
              </w:rPr>
              <w:t>Accrued interest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19"/>
        </w:trPr>
        <w:tc>
          <w:tcPr>
            <w:tcW w:w="68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r>
      <w:tr>
        <w:trPr>
          <w:trHeight w:val="213"/>
        </w:trPr>
        <w:tc>
          <w:tcPr>
            <w:tcW w:w="68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 assets and liabilities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(4,045)</w:t>
            </w:r>
          </w:p>
        </w:tc>
      </w:tr>
      <w:tr>
        <w:trPr>
          <w:trHeight w:val="210"/>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110,412</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67,363</w:t>
            </w:r>
          </w:p>
        </w:tc>
      </w:tr>
      <w:tr>
        <w:trPr>
          <w:trHeight w:val="132"/>
        </w:trPr>
        <w:tc>
          <w:tcPr>
            <w:tcW w:w="6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6860" w:type="dxa"/>
            <w:vAlign w:val="bottom"/>
          </w:tcPr>
          <w:p>
            <w:pPr>
              <w:ind w:left="200"/>
              <w:spacing w:after="0"/>
              <w:rPr>
                <w:sz w:val="20"/>
                <w:szCs w:val="20"/>
                <w:color w:val="auto"/>
              </w:rPr>
            </w:pPr>
            <w:r>
              <w:rPr>
                <w:rFonts w:ascii="Arial" w:cs="Arial" w:eastAsia="Arial" w:hAnsi="Arial"/>
                <w:sz w:val="16"/>
                <w:szCs w:val="16"/>
                <w:color w:val="auto"/>
              </w:rPr>
              <w:t>Purchases of property and equipment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(10,108)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(4,696)</w:t>
            </w:r>
          </w:p>
        </w:tc>
      </w:tr>
      <w:tr>
        <w:trPr>
          <w:trHeight w:val="219"/>
        </w:trPr>
        <w:tc>
          <w:tcPr>
            <w:tcW w:w="6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Issuance of note receivable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r>
      <w:tr>
        <w:trPr>
          <w:trHeight w:val="213"/>
        </w:trPr>
        <w:tc>
          <w:tcPr>
            <w:tcW w:w="68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Investments in intangible and other assets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r>
      <w:tr>
        <w:trPr>
          <w:trHeight w:val="20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(10,446)</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(7,283)</w:t>
            </w:r>
          </w:p>
        </w:tc>
      </w:tr>
      <w:tr>
        <w:trPr>
          <w:trHeight w:val="132"/>
        </w:trPr>
        <w:tc>
          <w:tcPr>
            <w:tcW w:w="6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6860" w:type="dxa"/>
            <w:vAlign w:val="bottom"/>
          </w:tcPr>
          <w:p>
            <w:pPr>
              <w:ind w:left="240"/>
              <w:spacing w:after="0"/>
              <w:rPr>
                <w:sz w:val="20"/>
                <w:szCs w:val="20"/>
                <w:color w:val="auto"/>
              </w:rPr>
            </w:pPr>
            <w:r>
              <w:rPr>
                <w:rFonts w:ascii="Arial" w:cs="Arial" w:eastAsia="Arial" w:hAnsi="Arial"/>
                <w:sz w:val="16"/>
                <w:szCs w:val="16"/>
                <w:color w:val="auto"/>
              </w:rPr>
              <w:t>Proceeds from option exercises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5,035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4,343</w:t>
            </w:r>
          </w:p>
        </w:tc>
      </w:tr>
      <w:tr>
        <w:trPr>
          <w:trHeight w:val="219"/>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 payments related to issuance of restricted stock units and performance stock units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(3,536)</w:t>
            </w:r>
          </w:p>
        </w:tc>
      </w:tr>
      <w:tr>
        <w:trPr>
          <w:trHeight w:val="213"/>
        </w:trPr>
        <w:tc>
          <w:tcPr>
            <w:tcW w:w="6860" w:type="dxa"/>
            <w:vAlign w:val="bottom"/>
          </w:tcPr>
          <w:p>
            <w:pPr>
              <w:ind w:left="240"/>
              <w:spacing w:after="0"/>
              <w:rPr>
                <w:sz w:val="20"/>
                <w:szCs w:val="20"/>
                <w:color w:val="auto"/>
              </w:rPr>
            </w:pPr>
            <w:r>
              <w:rPr>
                <w:rFonts w:ascii="Arial" w:cs="Arial" w:eastAsia="Arial" w:hAnsi="Arial"/>
                <w:sz w:val="16"/>
                <w:szCs w:val="16"/>
                <w:color w:val="auto"/>
              </w:rPr>
              <w:t>Payments on finance lease obligations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19"/>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Repurchase of common stock</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(28,504)</w:t>
            </w:r>
          </w:p>
        </w:tc>
      </w:tr>
      <w:tr>
        <w:trPr>
          <w:trHeight w:val="213"/>
        </w:trPr>
        <w:tc>
          <w:tcPr>
            <w:tcW w:w="6860" w:type="dxa"/>
            <w:vAlign w:val="bottom"/>
          </w:tcPr>
          <w:p>
            <w:pPr>
              <w:ind w:left="240"/>
              <w:spacing w:after="0"/>
              <w:rPr>
                <w:sz w:val="20"/>
                <w:szCs w:val="20"/>
                <w:color w:val="auto"/>
              </w:rPr>
            </w:pPr>
            <w:r>
              <w:rPr>
                <w:rFonts w:ascii="Arial" w:cs="Arial" w:eastAsia="Arial" w:hAnsi="Arial"/>
                <w:sz w:val="16"/>
                <w:szCs w:val="16"/>
                <w:color w:val="auto"/>
              </w:rPr>
              <w:t>Principal payments of long-term debt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(81,500)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9"/>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financing costs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r>
      <w:tr>
        <w:trPr>
          <w:trHeight w:val="206"/>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(98,579)</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(78,476)</w:t>
            </w:r>
          </w:p>
        </w:tc>
      </w:tr>
      <w:tr>
        <w:trPr>
          <w:trHeight w:val="132"/>
        </w:trPr>
        <w:tc>
          <w:tcPr>
            <w:tcW w:w="6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6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increase (decrease) in cash</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(18,396)</w:t>
            </w:r>
          </w:p>
        </w:tc>
      </w:tr>
      <w:tr>
        <w:trPr>
          <w:trHeight w:val="213"/>
        </w:trPr>
        <w:tc>
          <w:tcPr>
            <w:tcW w:w="6860" w:type="dxa"/>
            <w:vAlign w:val="bottom"/>
          </w:tcPr>
          <w:p>
            <w:pPr>
              <w:ind w:left="200"/>
              <w:spacing w:after="0"/>
              <w:rPr>
                <w:sz w:val="20"/>
                <w:szCs w:val="20"/>
                <w:color w:val="auto"/>
              </w:rPr>
            </w:pPr>
            <w:r>
              <w:rPr>
                <w:rFonts w:ascii="Arial" w:cs="Arial" w:eastAsia="Arial" w:hAnsi="Arial"/>
                <w:sz w:val="16"/>
                <w:szCs w:val="16"/>
                <w:color w:val="auto"/>
              </w:rPr>
              <w:t>Effect of exchange rate on cash</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at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67,494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75,345</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68,794</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56,720</w:t>
            </w:r>
          </w:p>
        </w:tc>
      </w:tr>
      <w:tr>
        <w:trPr>
          <w:trHeight w:val="21"/>
        </w:trPr>
        <w:tc>
          <w:tcPr>
            <w:tcW w:w="6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color w:val="auto"/>
              </w:rPr>
              <w:t>Thirty-Nine Weeks Ended</w:t>
            </w:r>
          </w:p>
        </w:tc>
      </w:tr>
      <w:tr>
        <w:trPr>
          <w:trHeight w:val="210"/>
        </w:trPr>
        <w:tc>
          <w:tcPr>
            <w:tcW w:w="6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May 27, 2023</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May 28, 2022</w:t>
            </w:r>
          </w:p>
        </w:tc>
      </w:tr>
      <w:tr>
        <w:trPr>
          <w:trHeight w:val="266"/>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7"/>
        </w:trPr>
        <w:tc>
          <w:tcPr>
            <w:tcW w:w="686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21,295</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14,301</w:t>
            </w:r>
          </w:p>
        </w:tc>
      </w:tr>
      <w:tr>
        <w:trPr>
          <w:trHeight w:val="273"/>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taxes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43,430</w:t>
            </w:r>
          </w:p>
        </w:tc>
      </w:tr>
      <w:tr>
        <w:trPr>
          <w:trHeight w:val="267"/>
        </w:trPr>
        <w:tc>
          <w:tcPr>
            <w:tcW w:w="6860" w:type="dxa"/>
            <w:vAlign w:val="bottom"/>
          </w:tcPr>
          <w:p>
            <w:pPr>
              <w:ind w:left="20"/>
              <w:spacing w:after="0"/>
              <w:rPr>
                <w:sz w:val="20"/>
                <w:szCs w:val="20"/>
                <w:color w:val="auto"/>
              </w:rPr>
            </w:pPr>
            <w:r>
              <w:rPr>
                <w:rFonts w:ascii="Arial" w:cs="Arial" w:eastAsia="Arial" w:hAnsi="Arial"/>
                <w:sz w:val="16"/>
                <w:szCs w:val="16"/>
                <w:color w:val="auto"/>
              </w:rPr>
              <w:t>Non-cash investing and financing transactions</w:t>
            </w: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3"/>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in extinguishment of warrant liabilities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189,897</w:t>
            </w:r>
          </w:p>
        </w:tc>
      </w:tr>
      <w:tr>
        <w:trPr>
          <w:trHeight w:val="267"/>
        </w:trPr>
        <w:tc>
          <w:tcPr>
            <w:tcW w:w="6860" w:type="dxa"/>
            <w:vAlign w:val="bottom"/>
          </w:tcPr>
          <w:p>
            <w:pPr>
              <w:ind w:left="140"/>
              <w:spacing w:after="0"/>
              <w:rPr>
                <w:sz w:val="20"/>
                <w:szCs w:val="20"/>
                <w:color w:val="auto"/>
              </w:rPr>
            </w:pPr>
            <w:r>
              <w:rPr>
                <w:rFonts w:ascii="Arial" w:cs="Arial" w:eastAsia="Arial" w:hAnsi="Arial"/>
                <w:sz w:val="16"/>
                <w:szCs w:val="16"/>
                <w:color w:val="auto"/>
              </w:rPr>
              <w:t>Operating lease right-of-use assets exchanged for operating lease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6,881</w:t>
            </w:r>
          </w:p>
        </w:tc>
      </w:tr>
      <w:tr>
        <w:trPr>
          <w:trHeight w:val="273"/>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credits for repayment of note receivable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6860" w:type="dxa"/>
            <w:vAlign w:val="bottom"/>
          </w:tcPr>
          <w:p>
            <w:pPr>
              <w:ind w:left="140"/>
              <w:spacing w:after="0"/>
              <w:rPr>
                <w:sz w:val="20"/>
                <w:szCs w:val="20"/>
                <w:color w:val="auto"/>
              </w:rPr>
            </w:pPr>
            <w:r>
              <w:rPr>
                <w:rFonts w:ascii="Arial" w:cs="Arial" w:eastAsia="Arial" w:hAnsi="Arial"/>
                <w:sz w:val="16"/>
                <w:szCs w:val="16"/>
                <w:color w:val="auto"/>
              </w:rPr>
              <w:t>Non-cash additions to intangible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120</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20" w:lineRule="exact"/>
        <w:rPr>
          <w:sz w:val="20"/>
          <w:szCs w:val="20"/>
          <w:color w:val="auto"/>
        </w:rPr>
      </w:pPr>
    </w:p>
    <w:p>
      <w:pPr>
        <w:ind w:left="3160"/>
        <w:spacing w:after="0"/>
        <w:rPr>
          <w:sz w:val="20"/>
          <w:szCs w:val="20"/>
          <w:color w:val="auto"/>
        </w:rPr>
      </w:pPr>
      <w:r>
        <w:rPr>
          <w:rFonts w:ascii="Arial" w:cs="Arial" w:eastAsia="Arial" w:hAnsi="Arial"/>
          <w:sz w:val="16"/>
          <w:szCs w:val="16"/>
          <w:i w:val="1"/>
          <w:iCs w:val="1"/>
          <w:color w:val="auto"/>
        </w:rPr>
        <w:t>See accompanying notes to the unaudited consolidated financial statements.</w:t>
      </w:r>
    </w:p>
    <w:p>
      <w:pPr>
        <w:spacing w:after="0" w:line="3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i w:val="1"/>
          <w:iCs w:val="1"/>
          <w:color w:val="auto"/>
        </w:rPr>
        <w:t>(Unaudited, dollars in thousands, except share data)</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1780" w:type="dxa"/>
            <w:vAlign w:val="bottom"/>
            <w:gridSpan w:val="4"/>
          </w:tcPr>
          <w:p>
            <w:pPr>
              <w:jc w:val="right"/>
              <w:ind w:right="299"/>
              <w:spacing w:after="0"/>
              <w:rPr>
                <w:sz w:val="20"/>
                <w:szCs w:val="20"/>
                <w:color w:val="auto"/>
              </w:rPr>
            </w:pPr>
            <w:r>
              <w:rPr>
                <w:rFonts w:ascii="Arial" w:cs="Arial" w:eastAsia="Arial" w:hAnsi="Arial"/>
                <w:sz w:val="16"/>
                <w:szCs w:val="16"/>
                <w:color w:val="auto"/>
              </w:rPr>
              <w:t>Common Stock</w:t>
            </w:r>
          </w:p>
        </w:tc>
        <w:tc>
          <w:tcPr>
            <w:tcW w:w="120" w:type="dxa"/>
            <w:vAlign w:val="bottom"/>
          </w:tcPr>
          <w:p>
            <w:pPr>
              <w:spacing w:after="0"/>
              <w:rPr>
                <w:sz w:val="16"/>
                <w:szCs w:val="16"/>
                <w:color w:val="auto"/>
              </w:rPr>
            </w:pPr>
          </w:p>
        </w:tc>
        <w:tc>
          <w:tcPr>
            <w:tcW w:w="1660" w:type="dxa"/>
            <w:vAlign w:val="bottom"/>
            <w:gridSpan w:val="4"/>
          </w:tcPr>
          <w:p>
            <w:pPr>
              <w:ind w:left="340"/>
              <w:spacing w:after="0"/>
              <w:rPr>
                <w:sz w:val="20"/>
                <w:szCs w:val="20"/>
                <w:color w:val="auto"/>
              </w:rPr>
            </w:pPr>
            <w:r>
              <w:rPr>
                <w:rFonts w:ascii="Arial" w:cs="Arial" w:eastAsia="Arial" w:hAnsi="Arial"/>
                <w:sz w:val="16"/>
                <w:szCs w:val="16"/>
                <w:color w:val="auto"/>
              </w:rPr>
              <w:t>Treasury 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w w:val="96"/>
              </w:rPr>
              <w:t>Additional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219"/>
              <w:spacing w:after="0"/>
              <w:rPr>
                <w:sz w:val="20"/>
                <w:szCs w:val="20"/>
                <w:color w:val="auto"/>
              </w:rPr>
            </w:pPr>
            <w:r>
              <w:rPr>
                <w:rFonts w:ascii="Arial" w:cs="Arial" w:eastAsia="Arial" w:hAnsi="Arial"/>
                <w:sz w:val="16"/>
                <w:szCs w:val="16"/>
                <w:color w:val="auto"/>
                <w:w w:val="99"/>
              </w:rPr>
              <w:t>Retained</w:t>
            </w: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color w:val="auto"/>
                <w:w w:val="93"/>
              </w:rPr>
              <w:t>Accumulated Other</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86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restart"/>
          </w:tcPr>
          <w:p>
            <w:pPr>
              <w:jc w:val="right"/>
              <w:ind w:right="139"/>
              <w:spacing w:after="0" w:line="152" w:lineRule="exact"/>
              <w:rPr>
                <w:sz w:val="20"/>
                <w:szCs w:val="20"/>
                <w:color w:val="auto"/>
              </w:rPr>
            </w:pPr>
            <w:r>
              <w:rPr>
                <w:rFonts w:ascii="Arial" w:cs="Arial" w:eastAsia="Arial" w:hAnsi="Arial"/>
                <w:sz w:val="16"/>
                <w:szCs w:val="16"/>
                <w:color w:val="auto"/>
              </w:rPr>
              <w:t>Paid-In</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vMerge w:val="restart"/>
          </w:tcPr>
          <w:p>
            <w:pPr>
              <w:jc w:val="right"/>
              <w:ind w:right="79"/>
              <w:spacing w:after="0" w:line="152" w:lineRule="exact"/>
              <w:rPr>
                <w:sz w:val="20"/>
                <w:szCs w:val="20"/>
                <w:color w:val="auto"/>
              </w:rPr>
            </w:pPr>
            <w:r>
              <w:rPr>
                <w:rFonts w:ascii="Arial" w:cs="Arial" w:eastAsia="Arial" w:hAnsi="Arial"/>
                <w:sz w:val="16"/>
                <w:szCs w:val="16"/>
                <w:color w:val="auto"/>
                <w:w w:val="91"/>
              </w:rPr>
              <w:t>Comprehensive</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restart"/>
          </w:tcPr>
          <w:p>
            <w:pPr>
              <w:jc w:val="right"/>
              <w:ind w:right="239"/>
              <w:spacing w:after="0" w:line="152" w:lineRule="exact"/>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51"/>
        </w:trPr>
        <w:tc>
          <w:tcPr>
            <w:tcW w:w="1860" w:type="dxa"/>
            <w:vAlign w:val="bottom"/>
          </w:tcPr>
          <w:p>
            <w:pPr>
              <w:spacing w:after="0"/>
              <w:rPr>
                <w:sz w:val="4"/>
                <w:szCs w:val="4"/>
                <w:color w:val="auto"/>
              </w:rPr>
            </w:pP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w w:val="94"/>
              </w:rPr>
              <w:t>Amount</w:t>
            </w:r>
          </w:p>
        </w:tc>
        <w:tc>
          <w:tcPr>
            <w:tcW w:w="120" w:type="dxa"/>
            <w:vAlign w:val="bottom"/>
          </w:tcPr>
          <w:p>
            <w:pPr>
              <w:spacing w:after="0"/>
              <w:rPr>
                <w:sz w:val="4"/>
                <w:szCs w:val="4"/>
                <w:color w:val="auto"/>
              </w:rPr>
            </w:pPr>
          </w:p>
        </w:tc>
        <w:tc>
          <w:tcPr>
            <w:tcW w:w="760" w:type="dxa"/>
            <w:vAlign w:val="bottom"/>
            <w:vMerge w:val="restart"/>
          </w:tcPr>
          <w:p>
            <w:pPr>
              <w:jc w:val="right"/>
              <w:ind w:right="79"/>
              <w:spacing w:after="0"/>
              <w:rPr>
                <w:sz w:val="20"/>
                <w:szCs w:val="20"/>
                <w:color w:val="auto"/>
              </w:rPr>
            </w:pPr>
            <w:r>
              <w:rPr>
                <w:rFonts w:ascii="Arial" w:cs="Arial" w:eastAsia="Arial" w:hAnsi="Arial"/>
                <w:sz w:val="16"/>
                <w:szCs w:val="16"/>
                <w:color w:val="auto"/>
              </w:rPr>
              <w:t>Shares</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Amount</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vMerge w:val="restart"/>
          </w:tcPr>
          <w:p>
            <w:pPr>
              <w:jc w:val="right"/>
              <w:ind w:right="219"/>
              <w:spacing w:after="0"/>
              <w:rPr>
                <w:sz w:val="20"/>
                <w:szCs w:val="20"/>
                <w:color w:val="auto"/>
              </w:rPr>
            </w:pPr>
            <w:r>
              <w:rPr>
                <w:rFonts w:ascii="Arial" w:cs="Arial" w:eastAsia="Arial" w:hAnsi="Arial"/>
                <w:sz w:val="16"/>
                <w:szCs w:val="16"/>
                <w:color w:val="auto"/>
              </w:rPr>
              <w:t>Earnings</w:t>
            </w: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139"/>
              <w:spacing w:after="0"/>
              <w:rPr>
                <w:sz w:val="20"/>
                <w:szCs w:val="20"/>
                <w:color w:val="auto"/>
              </w:rPr>
            </w:pPr>
            <w:r>
              <w:rPr>
                <w:rFonts w:ascii="Arial" w:cs="Arial" w:eastAsia="Arial" w:hAnsi="Arial"/>
                <w:sz w:val="16"/>
                <w:szCs w:val="16"/>
                <w:color w:val="auto"/>
              </w:rPr>
              <w:t>Capital</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restart"/>
          </w:tcPr>
          <w:p>
            <w:pPr>
              <w:jc w:val="right"/>
              <w:ind w:right="419"/>
              <w:spacing w:after="0"/>
              <w:rPr>
                <w:sz w:val="20"/>
                <w:szCs w:val="20"/>
                <w:color w:val="auto"/>
              </w:rPr>
            </w:pPr>
            <w:r>
              <w:rPr>
                <w:rFonts w:ascii="Arial" w:cs="Arial" w:eastAsia="Arial" w:hAnsi="Arial"/>
                <w:sz w:val="16"/>
                <w:szCs w:val="16"/>
                <w:color w:val="auto"/>
              </w:rPr>
              <w:t>Loss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6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Balance at August 27,</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4"/>
              </w:rPr>
              <w:t>101,322,834</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1,818,754</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w w:val="93"/>
              </w:rPr>
              <w:t>(62,003)</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1,287,224</w:t>
            </w: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214,381</w:t>
            </w:r>
          </w:p>
        </w:tc>
        <w:tc>
          <w:tcPr>
            <w:tcW w:w="280" w:type="dxa"/>
            <w:vAlign w:val="bottom"/>
            <w:gridSpan w:val="2"/>
            <w:vMerge w:val="restart"/>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(1,951)</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1,438,664</w:t>
            </w:r>
          </w:p>
        </w:tc>
        <w:tc>
          <w:tcPr>
            <w:tcW w:w="0" w:type="dxa"/>
            <w:vAlign w:val="bottom"/>
          </w:tcPr>
          <w:p>
            <w:pPr>
              <w:spacing w:after="0"/>
              <w:rPr>
                <w:sz w:val="1"/>
                <w:szCs w:val="1"/>
                <w:color w:val="auto"/>
              </w:rPr>
            </w:pPr>
          </w:p>
        </w:tc>
      </w:tr>
      <w:tr>
        <w:trPr>
          <w:trHeight w:val="205"/>
        </w:trPr>
        <w:tc>
          <w:tcPr>
            <w:tcW w:w="1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92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Net income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86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35,860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35,860</w:t>
            </w:r>
          </w:p>
        </w:tc>
        <w:tc>
          <w:tcPr>
            <w:tcW w:w="0" w:type="dxa"/>
            <w:vAlign w:val="bottom"/>
          </w:tcPr>
          <w:p>
            <w:pPr>
              <w:spacing w:after="0"/>
              <w:rPr>
                <w:sz w:val="1"/>
                <w:szCs w:val="1"/>
                <w:color w:val="auto"/>
              </w:rPr>
            </w:pPr>
          </w:p>
        </w:tc>
      </w:tr>
      <w:tr>
        <w:trPr>
          <w:trHeight w:val="169"/>
        </w:trPr>
        <w:tc>
          <w:tcPr>
            <w:tcW w:w="18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Stock-based</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w:t>
            </w: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60" w:type="dxa"/>
            <w:vAlign w:val="bottom"/>
          </w:tcPr>
          <w:p>
            <w:pPr>
              <w:ind w:left="140"/>
              <w:spacing w:after="0" w:line="166" w:lineRule="exact"/>
              <w:rPr>
                <w:sz w:val="20"/>
                <w:szCs w:val="20"/>
                <w:color w:val="auto"/>
              </w:rPr>
            </w:pPr>
            <w:r>
              <w:rPr>
                <w:rFonts w:ascii="Arial" w:cs="Arial" w:eastAsia="Arial" w:hAnsi="Arial"/>
                <w:sz w:val="16"/>
                <w:szCs w:val="16"/>
                <w:color w:val="auto"/>
              </w:rPr>
              <w:t>Foreign currency</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9"/>
        </w:trPr>
        <w:tc>
          <w:tcPr>
            <w:tcW w:w="1860" w:type="dxa"/>
            <w:vAlign w:val="bottom"/>
          </w:tcPr>
          <w:p>
            <w:pPr>
              <w:ind w:left="140"/>
              <w:spacing w:after="0"/>
              <w:rPr>
                <w:sz w:val="20"/>
                <w:szCs w:val="20"/>
                <w:color w:val="auto"/>
              </w:rPr>
            </w:pPr>
            <w:r>
              <w:rPr>
                <w:rFonts w:ascii="Arial" w:cs="Arial" w:eastAsia="Arial" w:hAnsi="Arial"/>
                <w:sz w:val="16"/>
                <w:szCs w:val="16"/>
                <w:color w:val="auto"/>
              </w:rPr>
              <w:t>translation adjustments</w:t>
            </w: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Repurchase of common</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546,346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w w:val="93"/>
              </w:rPr>
              <w:t>(16,448)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(16,448)</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w:t>
            </w: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60" w:type="dxa"/>
            <w:vAlign w:val="bottom"/>
          </w:tcPr>
          <w:p>
            <w:pPr>
              <w:ind w:left="140"/>
              <w:spacing w:after="0" w:line="166" w:lineRule="exact"/>
              <w:rPr>
                <w:sz w:val="20"/>
                <w:szCs w:val="20"/>
                <w:color w:val="auto"/>
              </w:rPr>
            </w:pPr>
            <w:r>
              <w:rPr>
                <w:rFonts w:ascii="Arial" w:cs="Arial" w:eastAsia="Arial" w:hAnsi="Arial"/>
                <w:sz w:val="16"/>
                <w:szCs w:val="16"/>
                <w:color w:val="auto"/>
              </w:rPr>
              <w:t>Shares issued upon</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140"/>
              <w:spacing w:after="0" w:line="162" w:lineRule="exact"/>
              <w:rPr>
                <w:sz w:val="20"/>
                <w:szCs w:val="20"/>
                <w:color w:val="auto"/>
              </w:rPr>
            </w:pPr>
            <w:r>
              <w:rPr>
                <w:rFonts w:ascii="Arial" w:cs="Arial" w:eastAsia="Arial" w:hAnsi="Arial"/>
                <w:sz w:val="16"/>
                <w:szCs w:val="16"/>
                <w:color w:val="auto"/>
              </w:rPr>
              <w:t>vesting of restricted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140"/>
              <w:spacing w:after="0" w:line="162" w:lineRule="exact"/>
              <w:rPr>
                <w:sz w:val="20"/>
                <w:szCs w:val="20"/>
                <w:color w:val="auto"/>
              </w:rPr>
            </w:pPr>
            <w:r>
              <w:rPr>
                <w:rFonts w:ascii="Arial" w:cs="Arial" w:eastAsia="Arial" w:hAnsi="Arial"/>
                <w:sz w:val="16"/>
                <w:szCs w:val="16"/>
                <w:color w:val="auto"/>
              </w:rPr>
              <w:t>stock units and</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180,342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(2,300)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(2,298)</w:t>
            </w:r>
          </w:p>
        </w:tc>
        <w:tc>
          <w:tcPr>
            <w:tcW w:w="0" w:type="dxa"/>
            <w:vAlign w:val="bottom"/>
          </w:tcPr>
          <w:p>
            <w:pPr>
              <w:spacing w:after="0"/>
              <w:rPr>
                <w:sz w:val="1"/>
                <w:szCs w:val="1"/>
                <w:color w:val="auto"/>
              </w:rPr>
            </w:pPr>
          </w:p>
        </w:tc>
      </w:tr>
      <w:tr>
        <w:trPr>
          <w:trHeight w:val="209"/>
        </w:trPr>
        <w:tc>
          <w:tcPr>
            <w:tcW w:w="1860" w:type="dxa"/>
            <w:vAlign w:val="bottom"/>
          </w:tcPr>
          <w:p>
            <w:pPr>
              <w:ind w:left="140"/>
              <w:spacing w:after="0"/>
              <w:rPr>
                <w:sz w:val="20"/>
                <w:szCs w:val="20"/>
                <w:color w:val="auto"/>
              </w:rPr>
            </w:pPr>
            <w:r>
              <w:rPr>
                <w:rFonts w:ascii="Arial" w:cs="Arial" w:eastAsia="Arial" w:hAnsi="Arial"/>
                <w:sz w:val="16"/>
                <w:szCs w:val="16"/>
                <w:color w:val="auto"/>
              </w:rPr>
              <w:t>performance stock units</w:t>
            </w: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Exercise of options and</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stock appreciation</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rights to purchase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353,281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4,559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4,563</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860" w:type="dxa"/>
            <w:vAlign w:val="bottom"/>
          </w:tcPr>
          <w:p>
            <w:pPr>
              <w:ind w:left="20"/>
              <w:spacing w:after="0" w:line="146" w:lineRule="exact"/>
              <w:rPr>
                <w:sz w:val="20"/>
                <w:szCs w:val="20"/>
                <w:color w:val="auto"/>
              </w:rPr>
            </w:pPr>
            <w:r>
              <w:rPr>
                <w:rFonts w:ascii="Arial" w:cs="Arial" w:eastAsia="Arial" w:hAnsi="Arial"/>
                <w:sz w:val="16"/>
                <w:szCs w:val="16"/>
                <w:color w:val="auto"/>
              </w:rPr>
              <w:t>Balance at November 26,</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w w:val="94"/>
              </w:rPr>
              <w:t>101,856,457</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1,019</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2,365,100</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ind w:left="80"/>
              <w:spacing w:after="0"/>
              <w:rPr>
                <w:sz w:val="20"/>
                <w:szCs w:val="20"/>
                <w:color w:val="auto"/>
              </w:rPr>
            </w:pPr>
            <w:r>
              <w:rPr>
                <w:rFonts w:ascii="Arial" w:cs="Arial" w:eastAsia="Arial" w:hAnsi="Arial"/>
                <w:sz w:val="16"/>
                <w:szCs w:val="16"/>
                <w:color w:val="auto"/>
                <w:w w:val="93"/>
              </w:rPr>
              <w:t>(78,451)</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1,292,720</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250,241</w:t>
            </w:r>
          </w:p>
        </w:tc>
        <w:tc>
          <w:tcPr>
            <w:tcW w:w="280" w:type="dxa"/>
            <w:vAlign w:val="bottom"/>
            <w:gridSpan w:val="2"/>
            <w:vMerge w:val="restart"/>
          </w:tcPr>
          <w:p>
            <w:pPr>
              <w:ind w:left="16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(2,173)</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8"/>
              </w:rPr>
              <w:t>1,463,356</w:t>
            </w:r>
          </w:p>
        </w:tc>
        <w:tc>
          <w:tcPr>
            <w:tcW w:w="0" w:type="dxa"/>
            <w:vAlign w:val="bottom"/>
          </w:tcPr>
          <w:p>
            <w:pPr>
              <w:spacing w:after="0"/>
              <w:rPr>
                <w:sz w:val="1"/>
                <w:szCs w:val="1"/>
                <w:color w:val="auto"/>
              </w:rPr>
            </w:pPr>
          </w:p>
        </w:tc>
      </w:tr>
      <w:tr>
        <w:trPr>
          <w:trHeight w:val="185"/>
        </w:trPr>
        <w:tc>
          <w:tcPr>
            <w:tcW w:w="1860" w:type="dxa"/>
            <w:vAlign w:val="bottom"/>
          </w:tcPr>
          <w:p>
            <w:pPr>
              <w:ind w:left="20"/>
              <w:spacing w:after="0"/>
              <w:rPr>
                <w:sz w:val="20"/>
                <w:szCs w:val="20"/>
                <w:color w:val="auto"/>
              </w:rPr>
            </w:pPr>
            <w:r>
              <w:rPr>
                <w:rFonts w:ascii="Arial" w:cs="Arial" w:eastAsia="Arial" w:hAnsi="Arial"/>
                <w:sz w:val="16"/>
                <w:szCs w:val="16"/>
                <w:color w:val="auto"/>
              </w:rPr>
              <w:t>2022</w:t>
            </w:r>
          </w:p>
        </w:tc>
        <w:tc>
          <w:tcPr>
            <w:tcW w:w="9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6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25,642</w:t>
            </w:r>
          </w:p>
        </w:tc>
        <w:tc>
          <w:tcPr>
            <w:tcW w:w="0" w:type="dxa"/>
            <w:vAlign w:val="bottom"/>
          </w:tcPr>
          <w:p>
            <w:pPr>
              <w:spacing w:after="0"/>
              <w:rPr>
                <w:sz w:val="1"/>
                <w:szCs w:val="1"/>
                <w:color w:val="auto"/>
              </w:rPr>
            </w:pPr>
          </w:p>
        </w:tc>
      </w:tr>
      <w:tr>
        <w:trPr>
          <w:trHeight w:val="166"/>
        </w:trPr>
        <w:tc>
          <w:tcPr>
            <w:tcW w:w="1860" w:type="dxa"/>
            <w:vAlign w:val="bottom"/>
          </w:tcPr>
          <w:p>
            <w:pPr>
              <w:ind w:left="140"/>
              <w:spacing w:after="0" w:line="166" w:lineRule="exact"/>
              <w:rPr>
                <w:sz w:val="20"/>
                <w:szCs w:val="20"/>
                <w:color w:val="auto"/>
              </w:rPr>
            </w:pPr>
            <w:r>
              <w:rPr>
                <w:rFonts w:ascii="Arial" w:cs="Arial" w:eastAsia="Arial" w:hAnsi="Arial"/>
                <w:sz w:val="16"/>
                <w:szCs w:val="16"/>
                <w:color w:val="auto"/>
              </w:rPr>
              <w:t>Stock-based</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2,739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2,739</w:t>
            </w:r>
          </w:p>
        </w:tc>
        <w:tc>
          <w:tcPr>
            <w:tcW w:w="0" w:type="dxa"/>
            <w:vAlign w:val="bottom"/>
          </w:tcPr>
          <w:p>
            <w:pPr>
              <w:spacing w:after="0"/>
              <w:rPr>
                <w:sz w:val="1"/>
                <w:szCs w:val="1"/>
                <w:color w:val="auto"/>
              </w:rPr>
            </w:pPr>
          </w:p>
        </w:tc>
      </w:tr>
      <w:tr>
        <w:trPr>
          <w:trHeight w:val="209"/>
        </w:trPr>
        <w:tc>
          <w:tcPr>
            <w:tcW w:w="1860" w:type="dxa"/>
            <w:vAlign w:val="bottom"/>
          </w:tcPr>
          <w:p>
            <w:pPr>
              <w:ind w:left="140"/>
              <w:spacing w:after="0"/>
              <w:rPr>
                <w:sz w:val="20"/>
                <w:szCs w:val="20"/>
                <w:color w:val="auto"/>
              </w:rPr>
            </w:pPr>
            <w:r>
              <w:rPr>
                <w:rFonts w:ascii="Arial" w:cs="Arial" w:eastAsia="Arial" w:hAnsi="Arial"/>
                <w:sz w:val="16"/>
                <w:szCs w:val="16"/>
                <w:color w:val="auto"/>
              </w:rPr>
              <w:t>compensation</w:t>
            </w: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Foreign currency</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adjustments</w:t>
            </w: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60" w:type="dxa"/>
            <w:vAlign w:val="bottom"/>
          </w:tcPr>
          <w:p>
            <w:pPr>
              <w:ind w:left="140"/>
              <w:spacing w:after="0" w:line="166" w:lineRule="exact"/>
              <w:rPr>
                <w:sz w:val="20"/>
                <w:szCs w:val="20"/>
                <w:color w:val="auto"/>
              </w:rPr>
            </w:pPr>
            <w:r>
              <w:rPr>
                <w:rFonts w:ascii="Arial" w:cs="Arial" w:eastAsia="Arial" w:hAnsi="Arial"/>
                <w:sz w:val="16"/>
                <w:szCs w:val="16"/>
                <w:color w:val="auto"/>
              </w:rPr>
              <w:t>Shares issued upon</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140"/>
              <w:spacing w:after="0" w:line="162" w:lineRule="exact"/>
              <w:rPr>
                <w:sz w:val="20"/>
                <w:szCs w:val="20"/>
                <w:color w:val="auto"/>
              </w:rPr>
            </w:pPr>
            <w:r>
              <w:rPr>
                <w:rFonts w:ascii="Arial" w:cs="Arial" w:eastAsia="Arial" w:hAnsi="Arial"/>
                <w:sz w:val="16"/>
                <w:szCs w:val="16"/>
                <w:color w:val="auto"/>
              </w:rPr>
              <w:t>vesting of restricted</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4,584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9"/>
        </w:trPr>
        <w:tc>
          <w:tcPr>
            <w:tcW w:w="1860" w:type="dxa"/>
            <w:vAlign w:val="bottom"/>
          </w:tcPr>
          <w:p>
            <w:pPr>
              <w:ind w:left="140"/>
              <w:spacing w:after="0"/>
              <w:rPr>
                <w:sz w:val="20"/>
                <w:szCs w:val="20"/>
                <w:color w:val="auto"/>
              </w:rPr>
            </w:pPr>
            <w:r>
              <w:rPr>
                <w:rFonts w:ascii="Arial" w:cs="Arial" w:eastAsia="Arial" w:hAnsi="Arial"/>
                <w:sz w:val="16"/>
                <w:szCs w:val="16"/>
                <w:color w:val="auto"/>
              </w:rPr>
              <w:t>stock units</w:t>
            </w: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Exercise of options to</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12,130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purchase common stock</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860" w:type="dxa"/>
            <w:vAlign w:val="bottom"/>
          </w:tcPr>
          <w:p>
            <w:pPr>
              <w:ind w:left="20"/>
              <w:spacing w:after="0" w:line="146" w:lineRule="exact"/>
              <w:rPr>
                <w:sz w:val="20"/>
                <w:szCs w:val="20"/>
                <w:color w:val="auto"/>
              </w:rPr>
            </w:pPr>
            <w:r>
              <w:rPr>
                <w:rFonts w:ascii="Arial" w:cs="Arial" w:eastAsia="Arial" w:hAnsi="Arial"/>
                <w:sz w:val="16"/>
                <w:szCs w:val="16"/>
                <w:color w:val="auto"/>
              </w:rPr>
              <w:t>Balance at February 25,</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w w:val="94"/>
              </w:rPr>
              <w:t>101,873,171</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1,019</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2,365,100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Arial" w:cs="Arial" w:eastAsia="Arial" w:hAnsi="Arial"/>
                <w:sz w:val="16"/>
                <w:szCs w:val="16"/>
                <w:color w:val="auto"/>
                <w:w w:val="93"/>
              </w:rPr>
              <w:t>(78,451)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1,295,584</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275,883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(2,120)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8"/>
              </w:rPr>
              <w:t>1,491,915</w:t>
            </w:r>
          </w:p>
        </w:tc>
        <w:tc>
          <w:tcPr>
            <w:tcW w:w="0" w:type="dxa"/>
            <w:vAlign w:val="bottom"/>
          </w:tcPr>
          <w:p>
            <w:pPr>
              <w:spacing w:after="0"/>
              <w:rPr>
                <w:sz w:val="1"/>
                <w:szCs w:val="1"/>
                <w:color w:val="auto"/>
              </w:rPr>
            </w:pPr>
          </w:p>
        </w:tc>
      </w:tr>
      <w:tr>
        <w:trPr>
          <w:trHeight w:val="185"/>
        </w:trPr>
        <w:tc>
          <w:tcPr>
            <w:tcW w:w="1860" w:type="dxa"/>
            <w:vAlign w:val="bottom"/>
          </w:tcPr>
          <w:p>
            <w:pPr>
              <w:ind w:left="20"/>
              <w:spacing w:after="0"/>
              <w:rPr>
                <w:sz w:val="20"/>
                <w:szCs w:val="20"/>
                <w:color w:val="auto"/>
              </w:rPr>
            </w:pPr>
            <w:r>
              <w:rPr>
                <w:rFonts w:ascii="Arial" w:cs="Arial" w:eastAsia="Arial" w:hAnsi="Arial"/>
                <w:sz w:val="16"/>
                <w:szCs w:val="16"/>
                <w:color w:val="auto"/>
              </w:rPr>
              <w:t>2023</w:t>
            </w:r>
          </w:p>
        </w:tc>
        <w:tc>
          <w:tcPr>
            <w:tcW w:w="9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6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35,431</w:t>
            </w:r>
          </w:p>
        </w:tc>
        <w:tc>
          <w:tcPr>
            <w:tcW w:w="0" w:type="dxa"/>
            <w:vAlign w:val="bottom"/>
          </w:tcPr>
          <w:p>
            <w:pPr>
              <w:spacing w:after="0"/>
              <w:rPr>
                <w:sz w:val="1"/>
                <w:szCs w:val="1"/>
                <w:color w:val="auto"/>
              </w:rPr>
            </w:pPr>
          </w:p>
        </w:tc>
      </w:tr>
      <w:tr>
        <w:trPr>
          <w:trHeight w:val="166"/>
        </w:trPr>
        <w:tc>
          <w:tcPr>
            <w:tcW w:w="1860" w:type="dxa"/>
            <w:vAlign w:val="bottom"/>
          </w:tcPr>
          <w:p>
            <w:pPr>
              <w:ind w:left="140"/>
              <w:spacing w:after="0" w:line="166" w:lineRule="exact"/>
              <w:rPr>
                <w:sz w:val="20"/>
                <w:szCs w:val="20"/>
                <w:color w:val="auto"/>
              </w:rPr>
            </w:pPr>
            <w:r>
              <w:rPr>
                <w:rFonts w:ascii="Arial" w:cs="Arial" w:eastAsia="Arial" w:hAnsi="Arial"/>
                <w:sz w:val="16"/>
                <w:szCs w:val="16"/>
                <w:color w:val="auto"/>
              </w:rPr>
              <w:t>Stock-based</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3,844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3,844</w:t>
            </w:r>
          </w:p>
        </w:tc>
        <w:tc>
          <w:tcPr>
            <w:tcW w:w="0" w:type="dxa"/>
            <w:vAlign w:val="bottom"/>
          </w:tcPr>
          <w:p>
            <w:pPr>
              <w:spacing w:after="0"/>
              <w:rPr>
                <w:sz w:val="1"/>
                <w:szCs w:val="1"/>
                <w:color w:val="auto"/>
              </w:rPr>
            </w:pPr>
          </w:p>
        </w:tc>
      </w:tr>
      <w:tr>
        <w:trPr>
          <w:trHeight w:val="209"/>
        </w:trPr>
        <w:tc>
          <w:tcPr>
            <w:tcW w:w="1860" w:type="dxa"/>
            <w:vAlign w:val="bottom"/>
          </w:tcPr>
          <w:p>
            <w:pPr>
              <w:ind w:left="140"/>
              <w:spacing w:after="0"/>
              <w:rPr>
                <w:sz w:val="20"/>
                <w:szCs w:val="20"/>
                <w:color w:val="auto"/>
              </w:rPr>
            </w:pPr>
            <w:r>
              <w:rPr>
                <w:rFonts w:ascii="Arial" w:cs="Arial" w:eastAsia="Arial" w:hAnsi="Arial"/>
                <w:sz w:val="16"/>
                <w:szCs w:val="16"/>
                <w:color w:val="auto"/>
              </w:rPr>
              <w:t>compensation</w:t>
            </w: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Foreign currency</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adjustments</w:t>
            </w: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60" w:type="dxa"/>
            <w:vAlign w:val="bottom"/>
          </w:tcPr>
          <w:p>
            <w:pPr>
              <w:ind w:left="140"/>
              <w:spacing w:after="0" w:line="166" w:lineRule="exact"/>
              <w:rPr>
                <w:sz w:val="20"/>
                <w:szCs w:val="20"/>
                <w:color w:val="auto"/>
              </w:rPr>
            </w:pPr>
            <w:r>
              <w:rPr>
                <w:rFonts w:ascii="Arial" w:cs="Arial" w:eastAsia="Arial" w:hAnsi="Arial"/>
                <w:sz w:val="16"/>
                <w:szCs w:val="16"/>
                <w:color w:val="auto"/>
              </w:rPr>
              <w:t>Shares issued upon</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140"/>
              <w:spacing w:after="0" w:line="162" w:lineRule="exact"/>
              <w:rPr>
                <w:sz w:val="20"/>
                <w:szCs w:val="20"/>
                <w:color w:val="auto"/>
              </w:rPr>
            </w:pPr>
            <w:r>
              <w:rPr>
                <w:rFonts w:ascii="Arial" w:cs="Arial" w:eastAsia="Arial" w:hAnsi="Arial"/>
                <w:sz w:val="16"/>
                <w:szCs w:val="16"/>
                <w:color w:val="auto"/>
              </w:rPr>
              <w:t>vesting of restricted</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18,960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09"/>
        </w:trPr>
        <w:tc>
          <w:tcPr>
            <w:tcW w:w="1860" w:type="dxa"/>
            <w:vAlign w:val="bottom"/>
          </w:tcPr>
          <w:p>
            <w:pPr>
              <w:ind w:left="140"/>
              <w:spacing w:after="0"/>
              <w:rPr>
                <w:sz w:val="20"/>
                <w:szCs w:val="20"/>
                <w:color w:val="auto"/>
              </w:rPr>
            </w:pPr>
            <w:r>
              <w:rPr>
                <w:rFonts w:ascii="Arial" w:cs="Arial" w:eastAsia="Arial" w:hAnsi="Arial"/>
                <w:sz w:val="16"/>
                <w:szCs w:val="16"/>
                <w:color w:val="auto"/>
              </w:rPr>
              <w:t>stock units</w:t>
            </w: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Exercise of options to</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20,395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purchase common stock</w:t>
            </w: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860" w:type="dxa"/>
            <w:vAlign w:val="bottom"/>
            <w:vMerge w:val="restart"/>
          </w:tcPr>
          <w:p>
            <w:pPr>
              <w:ind w:left="20"/>
              <w:spacing w:after="0"/>
              <w:rPr>
                <w:sz w:val="20"/>
                <w:szCs w:val="20"/>
                <w:color w:val="auto"/>
              </w:rPr>
            </w:pPr>
            <w:r>
              <w:rPr>
                <w:rFonts w:ascii="Arial" w:cs="Arial" w:eastAsia="Arial" w:hAnsi="Arial"/>
                <w:sz w:val="16"/>
                <w:szCs w:val="16"/>
                <w:color w:val="auto"/>
              </w:rPr>
              <w:t>Balance at May 27, 2023</w:t>
            </w:r>
          </w:p>
        </w:tc>
        <w:tc>
          <w:tcPr>
            <w:tcW w:w="920" w:type="dxa"/>
            <w:vAlign w:val="bottom"/>
          </w:tcPr>
          <w:p>
            <w:pPr>
              <w:jc w:val="right"/>
              <w:spacing w:after="0"/>
              <w:rPr>
                <w:sz w:val="20"/>
                <w:szCs w:val="20"/>
                <w:color w:val="auto"/>
              </w:rPr>
            </w:pPr>
            <w:r>
              <w:rPr>
                <w:rFonts w:ascii="Arial" w:cs="Arial" w:eastAsia="Arial" w:hAnsi="Arial"/>
                <w:sz w:val="16"/>
                <w:szCs w:val="16"/>
                <w:color w:val="auto"/>
                <w:w w:val="94"/>
              </w:rPr>
              <w:t>101,912,526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1,019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2,365,100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ind w:left="80"/>
              <w:spacing w:after="0"/>
              <w:rPr>
                <w:sz w:val="20"/>
                <w:szCs w:val="20"/>
                <w:color w:val="auto"/>
              </w:rPr>
            </w:pPr>
            <w:r>
              <w:rPr>
                <w:rFonts w:ascii="Arial" w:cs="Arial" w:eastAsia="Arial" w:hAnsi="Arial"/>
                <w:sz w:val="16"/>
                <w:szCs w:val="16"/>
                <w:color w:val="auto"/>
                <w:w w:val="93"/>
              </w:rPr>
              <w:t>(78,451)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1,299,318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311,314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1,530,818</w:t>
            </w:r>
          </w:p>
        </w:tc>
        <w:tc>
          <w:tcPr>
            <w:tcW w:w="0" w:type="dxa"/>
            <w:vAlign w:val="bottom"/>
          </w:tcPr>
          <w:p>
            <w:pPr>
              <w:spacing w:after="0"/>
              <w:rPr>
                <w:sz w:val="1"/>
                <w:szCs w:val="1"/>
                <w:color w:val="auto"/>
              </w:rPr>
            </w:pPr>
          </w:p>
        </w:tc>
      </w:tr>
      <w:tr>
        <w:trPr>
          <w:trHeight w:val="33"/>
        </w:trPr>
        <w:tc>
          <w:tcPr>
            <w:tcW w:w="1860" w:type="dxa"/>
            <w:vAlign w:val="bottom"/>
            <w:vMerge w:val="continue"/>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5" w:right="7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383"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1780" w:type="dxa"/>
            <w:vAlign w:val="bottom"/>
            <w:gridSpan w:val="4"/>
            <w:vMerge w:val="restart"/>
          </w:tcPr>
          <w:p>
            <w:pPr>
              <w:jc w:val="right"/>
              <w:ind w:right="299"/>
              <w:spacing w:after="0"/>
              <w:rPr>
                <w:sz w:val="20"/>
                <w:szCs w:val="20"/>
                <w:color w:val="auto"/>
              </w:rPr>
            </w:pPr>
            <w:r>
              <w:rPr>
                <w:rFonts w:ascii="Arial" w:cs="Arial" w:eastAsia="Arial" w:hAnsi="Arial"/>
                <w:sz w:val="16"/>
                <w:szCs w:val="16"/>
                <w:color w:val="auto"/>
              </w:rPr>
              <w:t>Common Stock</w:t>
            </w:r>
          </w:p>
        </w:tc>
        <w:tc>
          <w:tcPr>
            <w:tcW w:w="120" w:type="dxa"/>
            <w:vAlign w:val="bottom"/>
          </w:tcPr>
          <w:p>
            <w:pPr>
              <w:spacing w:after="0"/>
              <w:rPr>
                <w:sz w:val="16"/>
                <w:szCs w:val="16"/>
                <w:color w:val="auto"/>
              </w:rPr>
            </w:pPr>
          </w:p>
        </w:tc>
        <w:tc>
          <w:tcPr>
            <w:tcW w:w="1600" w:type="dxa"/>
            <w:vAlign w:val="bottom"/>
            <w:gridSpan w:val="4"/>
            <w:vMerge w:val="restart"/>
          </w:tcPr>
          <w:p>
            <w:pPr>
              <w:ind w:left="300"/>
              <w:spacing w:after="0"/>
              <w:rPr>
                <w:sz w:val="20"/>
                <w:szCs w:val="20"/>
                <w:color w:val="auto"/>
              </w:rPr>
            </w:pPr>
            <w:r>
              <w:rPr>
                <w:rFonts w:ascii="Arial" w:cs="Arial" w:eastAsia="Arial" w:hAnsi="Arial"/>
                <w:sz w:val="16"/>
                <w:szCs w:val="16"/>
                <w:color w:val="auto"/>
              </w:rPr>
              <w:t>Treasury Stock</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9"/>
              </w:rPr>
              <w:t>Additional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restart"/>
          </w:tcPr>
          <w:p>
            <w:pPr>
              <w:jc w:val="right"/>
              <w:ind w:right="199"/>
              <w:spacing w:after="0"/>
              <w:rPr>
                <w:sz w:val="20"/>
                <w:szCs w:val="20"/>
                <w:color w:val="auto"/>
              </w:rPr>
            </w:pPr>
            <w:r>
              <w:rPr>
                <w:rFonts w:ascii="Arial" w:cs="Arial" w:eastAsia="Arial" w:hAnsi="Arial"/>
                <w:sz w:val="16"/>
                <w:szCs w:val="16"/>
                <w:color w:val="auto"/>
                <w:w w:val="99"/>
              </w:rPr>
              <w:t>Retained</w:t>
            </w: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color w:val="auto"/>
                <w:w w:val="93"/>
              </w:rPr>
              <w:t>Accumulated Other</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restart"/>
          </w:tcPr>
          <w:p>
            <w:pPr>
              <w:jc w:val="right"/>
              <w:ind w:right="159"/>
              <w:spacing w:after="0" w:line="138" w:lineRule="exact"/>
              <w:rPr>
                <w:sz w:val="20"/>
                <w:szCs w:val="20"/>
                <w:color w:val="auto"/>
              </w:rPr>
            </w:pPr>
            <w:r>
              <w:rPr>
                <w:rFonts w:ascii="Arial" w:cs="Arial" w:eastAsia="Arial" w:hAnsi="Arial"/>
                <w:sz w:val="16"/>
                <w:szCs w:val="16"/>
                <w:color w:val="auto"/>
              </w:rPr>
              <w:t>Paid-In</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restart"/>
          </w:tcPr>
          <w:p>
            <w:pPr>
              <w:jc w:val="right"/>
              <w:ind w:right="79"/>
              <w:spacing w:after="0" w:line="138" w:lineRule="exact"/>
              <w:rPr>
                <w:sz w:val="20"/>
                <w:szCs w:val="20"/>
                <w:color w:val="auto"/>
              </w:rPr>
            </w:pPr>
            <w:r>
              <w:rPr>
                <w:rFonts w:ascii="Arial" w:cs="Arial" w:eastAsia="Arial" w:hAnsi="Arial"/>
                <w:sz w:val="16"/>
                <w:szCs w:val="16"/>
                <w:color w:val="auto"/>
                <w:w w:val="92"/>
              </w:rPr>
              <w:t>Comprehensive</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restart"/>
          </w:tcPr>
          <w:p>
            <w:pPr>
              <w:jc w:val="right"/>
              <w:ind w:right="239"/>
              <w:spacing w:after="0" w:line="138" w:lineRule="exact"/>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77"/>
        </w:trPr>
        <w:tc>
          <w:tcPr>
            <w:tcW w:w="194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restart"/>
          </w:tcPr>
          <w:p>
            <w:pPr>
              <w:jc w:val="right"/>
              <w:ind w:right="199"/>
              <w:spacing w:after="0"/>
              <w:rPr>
                <w:sz w:val="20"/>
                <w:szCs w:val="20"/>
                <w:color w:val="auto"/>
              </w:rPr>
            </w:pPr>
            <w:r>
              <w:rPr>
                <w:rFonts w:ascii="Arial" w:cs="Arial" w:eastAsia="Arial" w:hAnsi="Arial"/>
                <w:sz w:val="16"/>
                <w:szCs w:val="16"/>
                <w:color w:val="auto"/>
              </w:rPr>
              <w:t>Earnings</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940" w:type="dxa"/>
            <w:vAlign w:val="bottom"/>
          </w:tcPr>
          <w:p>
            <w:pPr>
              <w:spacing w:after="0"/>
              <w:rPr>
                <w:sz w:val="9"/>
                <w:szCs w:val="9"/>
                <w:color w:val="auto"/>
              </w:rPr>
            </w:pP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color w:val="auto"/>
              </w:rPr>
              <w:t>Shares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w w:val="94"/>
              </w:rPr>
              <w:t>Amount</w:t>
            </w:r>
          </w:p>
        </w:tc>
        <w:tc>
          <w:tcPr>
            <w:tcW w:w="120" w:type="dxa"/>
            <w:vAlign w:val="bottom"/>
          </w:tcPr>
          <w:p>
            <w:pPr>
              <w:spacing w:after="0"/>
              <w:rPr>
                <w:sz w:val="9"/>
                <w:szCs w:val="9"/>
                <w:color w:val="auto"/>
              </w:rPr>
            </w:pPr>
          </w:p>
        </w:tc>
        <w:tc>
          <w:tcPr>
            <w:tcW w:w="720" w:type="dxa"/>
            <w:vAlign w:val="bottom"/>
            <w:vMerge w:val="restart"/>
          </w:tcPr>
          <w:p>
            <w:pPr>
              <w:jc w:val="right"/>
              <w:ind w:right="59"/>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auto"/>
              </w:rPr>
              <w:t>Amount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color w:val="auto"/>
              </w:rPr>
              <w:t>Capital</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restart"/>
          </w:tcPr>
          <w:p>
            <w:pPr>
              <w:jc w:val="right"/>
              <w:ind w:right="439"/>
              <w:spacing w:after="0"/>
              <w:rPr>
                <w:sz w:val="20"/>
                <w:szCs w:val="20"/>
                <w:color w:val="auto"/>
              </w:rPr>
            </w:pPr>
            <w:r>
              <w:rPr>
                <w:rFonts w:ascii="Arial" w:cs="Arial" w:eastAsia="Arial" w:hAnsi="Arial"/>
                <w:sz w:val="16"/>
                <w:szCs w:val="16"/>
                <w:color w:val="auto"/>
              </w:rPr>
              <w:t>Loss</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940" w:type="dxa"/>
            <w:vAlign w:val="bottom"/>
            <w:tcBorders>
              <w:bottom w:val="single" w:sz="8" w:color="CCEEFF"/>
            </w:tcBorders>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760" w:type="dxa"/>
            <w:vAlign w:val="bottom"/>
            <w:tcBorders>
              <w:bottom w:val="single" w:sz="8" w:color="auto"/>
            </w:tcBorders>
            <w:gridSpan w:val="2"/>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Balance at August 28,</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95,882,908</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98,234</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w w:val="98"/>
              </w:rPr>
              <w:t>(2,145)</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1,085,001</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105,807</w:t>
            </w:r>
          </w:p>
        </w:tc>
        <w:tc>
          <w:tcPr>
            <w:tcW w:w="260" w:type="dxa"/>
            <w:vAlign w:val="bottom"/>
            <w:gridSpan w:val="2"/>
            <w:vMerge w:val="restart"/>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1,188,804</w:t>
            </w:r>
          </w:p>
        </w:tc>
        <w:tc>
          <w:tcPr>
            <w:tcW w:w="0" w:type="dxa"/>
            <w:vAlign w:val="bottom"/>
          </w:tcPr>
          <w:p>
            <w:pPr>
              <w:spacing w:after="0"/>
              <w:rPr>
                <w:sz w:val="1"/>
                <w:szCs w:val="1"/>
                <w:color w:val="auto"/>
              </w:rPr>
            </w:pPr>
          </w:p>
        </w:tc>
      </w:tr>
      <w:tr>
        <w:trPr>
          <w:trHeight w:val="205"/>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92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Net income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94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21,152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21,152</w:t>
            </w:r>
          </w:p>
        </w:tc>
        <w:tc>
          <w:tcPr>
            <w:tcW w:w="0" w:type="dxa"/>
            <w:vAlign w:val="bottom"/>
          </w:tcPr>
          <w:p>
            <w:pPr>
              <w:spacing w:after="0"/>
              <w:rPr>
                <w:sz w:val="1"/>
                <w:szCs w:val="1"/>
                <w:color w:val="auto"/>
              </w:rPr>
            </w:pPr>
          </w:p>
        </w:tc>
      </w:tr>
      <w:tr>
        <w:trPr>
          <w:trHeight w:val="169"/>
        </w:trPr>
        <w:tc>
          <w:tcPr>
            <w:tcW w:w="19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Stock-based</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2,605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2,605</w:t>
            </w:r>
          </w:p>
        </w:tc>
        <w:tc>
          <w:tcPr>
            <w:tcW w:w="0" w:type="dxa"/>
            <w:vAlign w:val="bottom"/>
          </w:tcPr>
          <w:p>
            <w:pPr>
              <w:spacing w:after="0"/>
              <w:rPr>
                <w:sz w:val="1"/>
                <w:szCs w:val="1"/>
                <w:color w:val="auto"/>
              </w:rPr>
            </w:pPr>
          </w:p>
        </w:tc>
      </w:tr>
      <w:tr>
        <w:trPr>
          <w:trHeight w:val="212"/>
        </w:trPr>
        <w:tc>
          <w:tcPr>
            <w:tcW w:w="1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w:t>
            </w:r>
          </w:p>
        </w:tc>
        <w:tc>
          <w:tcPr>
            <w:tcW w:w="9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140"/>
              <w:spacing w:after="0" w:line="166" w:lineRule="exact"/>
              <w:rPr>
                <w:sz w:val="20"/>
                <w:szCs w:val="20"/>
                <w:color w:val="auto"/>
              </w:rPr>
            </w:pPr>
            <w:r>
              <w:rPr>
                <w:rFonts w:ascii="Arial" w:cs="Arial" w:eastAsia="Arial" w:hAnsi="Arial"/>
                <w:sz w:val="16"/>
                <w:szCs w:val="16"/>
                <w:color w:val="auto"/>
              </w:rPr>
              <w:t>Foreign currency</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9"/>
        </w:trPr>
        <w:tc>
          <w:tcPr>
            <w:tcW w:w="1940" w:type="dxa"/>
            <w:vAlign w:val="bottom"/>
          </w:tcPr>
          <w:p>
            <w:pPr>
              <w:ind w:left="140"/>
              <w:spacing w:after="0"/>
              <w:rPr>
                <w:sz w:val="20"/>
                <w:szCs w:val="20"/>
                <w:color w:val="auto"/>
              </w:rPr>
            </w:pPr>
            <w:r>
              <w:rPr>
                <w:rFonts w:ascii="Arial" w:cs="Arial" w:eastAsia="Arial" w:hAnsi="Arial"/>
                <w:sz w:val="16"/>
                <w:szCs w:val="16"/>
                <w:color w:val="auto"/>
              </w:rPr>
              <w:t>translation adjustments</w:t>
            </w: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9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Shares issued upon</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vesting of restricted</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stock units and</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227,729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(3,190)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(3,188)</w:t>
            </w:r>
          </w:p>
        </w:tc>
        <w:tc>
          <w:tcPr>
            <w:tcW w:w="0" w:type="dxa"/>
            <w:vAlign w:val="bottom"/>
          </w:tcPr>
          <w:p>
            <w:pPr>
              <w:spacing w:after="0"/>
              <w:rPr>
                <w:sz w:val="1"/>
                <w:szCs w:val="1"/>
                <w:color w:val="auto"/>
              </w:rPr>
            </w:pPr>
          </w:p>
        </w:tc>
      </w:tr>
      <w:tr>
        <w:trPr>
          <w:trHeight w:val="212"/>
        </w:trPr>
        <w:tc>
          <w:tcPr>
            <w:tcW w:w="1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performance stock units</w:t>
            </w:r>
          </w:p>
        </w:tc>
        <w:tc>
          <w:tcPr>
            <w:tcW w:w="9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140"/>
              <w:spacing w:after="0" w:line="166" w:lineRule="exact"/>
              <w:rPr>
                <w:sz w:val="20"/>
                <w:szCs w:val="20"/>
                <w:color w:val="auto"/>
              </w:rPr>
            </w:pPr>
            <w:r>
              <w:rPr>
                <w:rFonts w:ascii="Arial" w:cs="Arial" w:eastAsia="Arial" w:hAnsi="Arial"/>
                <w:sz w:val="16"/>
                <w:szCs w:val="16"/>
                <w:color w:val="auto"/>
              </w:rPr>
              <w:t>Exercise of options to</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19,804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09"/>
        </w:trPr>
        <w:tc>
          <w:tcPr>
            <w:tcW w:w="1940" w:type="dxa"/>
            <w:vAlign w:val="bottom"/>
          </w:tcPr>
          <w:p>
            <w:pPr>
              <w:ind w:left="140"/>
              <w:spacing w:after="0"/>
              <w:rPr>
                <w:sz w:val="20"/>
                <w:szCs w:val="20"/>
                <w:color w:val="auto"/>
              </w:rPr>
            </w:pPr>
            <w:r>
              <w:rPr>
                <w:rFonts w:ascii="Arial" w:cs="Arial" w:eastAsia="Arial" w:hAnsi="Arial"/>
                <w:sz w:val="16"/>
                <w:szCs w:val="16"/>
                <w:color w:val="auto"/>
              </w:rPr>
              <w:t>purchase common stock</w:t>
            </w: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Warrant conversion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1940" w:type="dxa"/>
            <w:vAlign w:val="bottom"/>
          </w:tcPr>
          <w:p>
            <w:pPr>
              <w:ind w:left="20"/>
              <w:spacing w:after="0" w:line="159" w:lineRule="exact"/>
              <w:rPr>
                <w:sz w:val="20"/>
                <w:szCs w:val="20"/>
                <w:color w:val="auto"/>
              </w:rPr>
            </w:pPr>
            <w:r>
              <w:rPr>
                <w:rFonts w:ascii="Arial" w:cs="Arial" w:eastAsia="Arial" w:hAnsi="Arial"/>
                <w:sz w:val="16"/>
                <w:szCs w:val="16"/>
                <w:color w:val="auto"/>
              </w:rPr>
              <w:t>Balance at November 27,</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96,130,441</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961</w:t>
            </w: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color w:val="auto"/>
              </w:rPr>
              <w:t>98,234</w:t>
            </w:r>
          </w:p>
        </w:tc>
        <w:tc>
          <w:tcPr>
            <w:tcW w:w="300" w:type="dxa"/>
            <w:vAlign w:val="bottom"/>
            <w:gridSpan w:val="2"/>
            <w:vMerge w:val="restart"/>
          </w:tcPr>
          <w:p>
            <w:pPr>
              <w:ind w:left="14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ind w:left="60"/>
              <w:spacing w:after="0"/>
              <w:rPr>
                <w:sz w:val="20"/>
                <w:szCs w:val="20"/>
                <w:color w:val="auto"/>
              </w:rPr>
            </w:pPr>
            <w:r>
              <w:rPr>
                <w:rFonts w:ascii="Arial" w:cs="Arial" w:eastAsia="Arial" w:hAnsi="Arial"/>
                <w:sz w:val="16"/>
                <w:szCs w:val="16"/>
                <w:color w:val="auto"/>
                <w:w w:val="98"/>
              </w:rPr>
              <w:t>(2,145)</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1,084,690</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126,959</w:t>
            </w:r>
          </w:p>
        </w:tc>
        <w:tc>
          <w:tcPr>
            <w:tcW w:w="260" w:type="dxa"/>
            <w:vAlign w:val="bottom"/>
            <w:gridSpan w:val="2"/>
            <w:vMerge w:val="restart"/>
          </w:tcPr>
          <w:p>
            <w:pPr>
              <w:ind w:left="160"/>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(858)</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8"/>
              </w:rPr>
              <w:t>1,209,607</w:t>
            </w:r>
          </w:p>
        </w:tc>
        <w:tc>
          <w:tcPr>
            <w:tcW w:w="0" w:type="dxa"/>
            <w:vAlign w:val="bottom"/>
          </w:tcPr>
          <w:p>
            <w:pPr>
              <w:spacing w:after="0"/>
              <w:rPr>
                <w:sz w:val="1"/>
                <w:szCs w:val="1"/>
                <w:color w:val="auto"/>
              </w:rPr>
            </w:pPr>
          </w:p>
        </w:tc>
      </w:tr>
      <w:tr>
        <w:trPr>
          <w:trHeight w:val="185"/>
        </w:trPr>
        <w:tc>
          <w:tcPr>
            <w:tcW w:w="1940" w:type="dxa"/>
            <w:vAlign w:val="bottom"/>
          </w:tcPr>
          <w:p>
            <w:pPr>
              <w:ind w:left="20"/>
              <w:spacing w:after="0"/>
              <w:rPr>
                <w:sz w:val="20"/>
                <w:szCs w:val="20"/>
                <w:color w:val="auto"/>
              </w:rPr>
            </w:pPr>
            <w:r>
              <w:rPr>
                <w:rFonts w:ascii="Arial" w:cs="Arial" w:eastAsia="Arial" w:hAnsi="Arial"/>
                <w:sz w:val="16"/>
                <w:szCs w:val="16"/>
                <w:color w:val="auto"/>
              </w:rPr>
              <w:t>2021</w:t>
            </w:r>
          </w:p>
        </w:tc>
        <w:tc>
          <w:tcPr>
            <w:tcW w:w="9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780"/>
          </w:cols>
          <w:pgMar w:left="320" w:top="125" w:right="799" w:bottom="1440" w:gutter="0" w:footer="0" w:header="0"/>
        </w:sectPr>
      </w:pPr>
    </w:p>
    <w:tbl>
      <w:tblPr>
        <w:tblLayout w:type="fixed"/>
        <w:tblInd w:w="480" w:type="dxa"/>
        <w:tblCellMar>
          <w:top w:w="0" w:type="dxa"/>
          <w:left w:w="0" w:type="dxa"/>
          <w:bottom w:w="0" w:type="dxa"/>
          <w:right w:w="0" w:type="dxa"/>
        </w:tblCellMar>
      </w:tblPr>
      <w:tr>
        <w:trPr>
          <w:trHeight w:val="166"/>
        </w:trPr>
        <w:tc>
          <w:tcPr>
            <w:tcW w:w="1920" w:type="dxa"/>
            <w:vAlign w:val="bottom"/>
          </w:tcPr>
          <w:p>
            <w:pPr>
              <w:ind w:left="120"/>
              <w:spacing w:after="0" w:line="166" w:lineRule="exact"/>
              <w:rPr>
                <w:sz w:val="20"/>
                <w:szCs w:val="20"/>
                <w:color w:val="auto"/>
              </w:rPr>
            </w:pPr>
            <w:r>
              <w:rPr>
                <w:rFonts w:ascii="Arial" w:cs="Arial" w:eastAsia="Arial" w:hAnsi="Arial"/>
                <w:sz w:val="16"/>
                <w:szCs w:val="16"/>
                <w:color w:val="auto"/>
              </w:rPr>
              <w:t>Stock-based</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92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920" w:type="dxa"/>
            <w:vAlign w:val="bottom"/>
          </w:tcPr>
          <w:p>
            <w:pPr>
              <w:ind w:left="120"/>
              <w:spacing w:after="0" w:line="171" w:lineRule="exact"/>
              <w:rPr>
                <w:sz w:val="20"/>
                <w:szCs w:val="20"/>
                <w:color w:val="auto"/>
              </w:rPr>
            </w:pPr>
            <w:r>
              <w:rPr>
                <w:rFonts w:ascii="Arial" w:cs="Arial" w:eastAsia="Arial" w:hAnsi="Arial"/>
                <w:sz w:val="16"/>
                <w:szCs w:val="16"/>
                <w:color w:val="auto"/>
              </w:rPr>
              <w:t>Foreign currency</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920" w:type="dxa"/>
            <w:vAlign w:val="bottom"/>
          </w:tcPr>
          <w:p>
            <w:pPr>
              <w:ind w:left="120"/>
              <w:spacing w:after="0"/>
              <w:rPr>
                <w:sz w:val="20"/>
                <w:szCs w:val="20"/>
                <w:color w:val="auto"/>
              </w:rPr>
            </w:pPr>
            <w:r>
              <w:rPr>
                <w:rFonts w:ascii="Arial" w:cs="Arial" w:eastAsia="Arial" w:hAnsi="Arial"/>
                <w:sz w:val="16"/>
                <w:szCs w:val="16"/>
                <w:color w:val="auto"/>
              </w:rPr>
              <w:t>translation adjustments</w:t>
            </w:r>
          </w:p>
        </w:tc>
        <w:tc>
          <w:tcPr>
            <w:tcW w:w="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920" w:type="dxa"/>
            <w:vAlign w:val="bottom"/>
          </w:tcPr>
          <w:p>
            <w:pPr>
              <w:ind w:left="120"/>
              <w:spacing w:after="0" w:line="171" w:lineRule="exact"/>
              <w:rPr>
                <w:sz w:val="20"/>
                <w:szCs w:val="20"/>
                <w:color w:val="auto"/>
              </w:rPr>
            </w:pPr>
            <w:r>
              <w:rPr>
                <w:rFonts w:ascii="Arial" w:cs="Arial" w:eastAsia="Arial" w:hAnsi="Arial"/>
                <w:sz w:val="16"/>
                <w:szCs w:val="16"/>
                <w:color w:val="auto"/>
              </w:rPr>
              <w:t>Reclassification</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20"/>
              <w:spacing w:after="0" w:line="162" w:lineRule="exact"/>
              <w:rPr>
                <w:sz w:val="20"/>
                <w:szCs w:val="20"/>
                <w:color w:val="auto"/>
              </w:rPr>
            </w:pPr>
            <w:r>
              <w:rPr>
                <w:rFonts w:ascii="Arial" w:cs="Arial" w:eastAsia="Arial" w:hAnsi="Arial"/>
                <w:sz w:val="16"/>
                <w:szCs w:val="16"/>
                <w:color w:val="auto"/>
              </w:rPr>
              <w:t>adjustment for currency</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20"/>
              <w:spacing w:after="0" w:line="162" w:lineRule="exact"/>
              <w:rPr>
                <w:sz w:val="20"/>
                <w:szCs w:val="20"/>
                <w:color w:val="auto"/>
              </w:rPr>
            </w:pPr>
            <w:r>
              <w:rPr>
                <w:rFonts w:ascii="Arial" w:cs="Arial" w:eastAsia="Arial" w:hAnsi="Arial"/>
                <w:sz w:val="16"/>
                <w:szCs w:val="16"/>
                <w:color w:val="auto"/>
              </w:rPr>
              <w:t>translation gains related</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20"/>
              <w:spacing w:after="0" w:line="162" w:lineRule="exact"/>
              <w:rPr>
                <w:sz w:val="20"/>
                <w:szCs w:val="20"/>
                <w:color w:val="auto"/>
              </w:rPr>
            </w:pPr>
            <w:r>
              <w:rPr>
                <w:rFonts w:ascii="Arial" w:cs="Arial" w:eastAsia="Arial" w:hAnsi="Arial"/>
                <w:sz w:val="16"/>
                <w:szCs w:val="16"/>
                <w:color w:val="auto"/>
              </w:rPr>
              <w:t>to the liquidation of</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920" w:type="dxa"/>
            <w:vAlign w:val="bottom"/>
          </w:tcPr>
          <w:p>
            <w:pPr>
              <w:ind w:left="120"/>
              <w:spacing w:after="0"/>
              <w:rPr>
                <w:sz w:val="20"/>
                <w:szCs w:val="20"/>
                <w:color w:val="auto"/>
              </w:rPr>
            </w:pPr>
            <w:r>
              <w:rPr>
                <w:rFonts w:ascii="Arial" w:cs="Arial" w:eastAsia="Arial" w:hAnsi="Arial"/>
                <w:sz w:val="16"/>
                <w:szCs w:val="16"/>
                <w:color w:val="auto"/>
              </w:rPr>
              <w:t>foreign entities</w:t>
            </w:r>
          </w:p>
        </w:tc>
        <w:tc>
          <w:tcPr>
            <w:tcW w:w="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920" w:type="dxa"/>
            <w:vAlign w:val="bottom"/>
          </w:tcPr>
          <w:p>
            <w:pPr>
              <w:ind w:left="120"/>
              <w:spacing w:after="0" w:line="171" w:lineRule="exact"/>
              <w:rPr>
                <w:sz w:val="20"/>
                <w:szCs w:val="20"/>
                <w:color w:val="auto"/>
              </w:rPr>
            </w:pPr>
            <w:r>
              <w:rPr>
                <w:rFonts w:ascii="Arial" w:cs="Arial" w:eastAsia="Arial" w:hAnsi="Arial"/>
                <w:sz w:val="16"/>
                <w:szCs w:val="16"/>
                <w:color w:val="auto"/>
              </w:rPr>
              <w:t>Repurchase of common</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color w:val="auto"/>
              </w:rPr>
              <w:t>571,521</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(20,394)</w:t>
            </w:r>
          </w:p>
        </w:tc>
        <w:tc>
          <w:tcPr>
            <w:tcW w:w="0" w:type="dxa"/>
            <w:vAlign w:val="bottom"/>
          </w:tcPr>
          <w:p>
            <w:pPr>
              <w:spacing w:after="0"/>
              <w:rPr>
                <w:sz w:val="1"/>
                <w:szCs w:val="1"/>
                <w:color w:val="auto"/>
              </w:rPr>
            </w:pPr>
          </w:p>
        </w:tc>
      </w:tr>
      <w:tr>
        <w:trPr>
          <w:trHeight w:val="206"/>
        </w:trPr>
        <w:tc>
          <w:tcPr>
            <w:tcW w:w="1920" w:type="dxa"/>
            <w:vAlign w:val="bottom"/>
          </w:tcPr>
          <w:p>
            <w:pPr>
              <w:ind w:left="120"/>
              <w:spacing w:after="0"/>
              <w:rPr>
                <w:sz w:val="20"/>
                <w:szCs w:val="20"/>
                <w:color w:val="auto"/>
              </w:rPr>
            </w:pPr>
            <w:r>
              <w:rPr>
                <w:rFonts w:ascii="Arial" w:cs="Arial" w:eastAsia="Arial" w:hAnsi="Arial"/>
                <w:sz w:val="16"/>
                <w:szCs w:val="16"/>
                <w:color w:val="auto"/>
              </w:rPr>
              <w:t>stock</w:t>
            </w:r>
          </w:p>
        </w:tc>
        <w:tc>
          <w:tcPr>
            <w:tcW w:w="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Arial" w:cs="Arial" w:eastAsia="Arial" w:hAnsi="Arial"/>
                <w:sz w:val="16"/>
                <w:szCs w:val="16"/>
                <w:color w:val="auto"/>
              </w:rPr>
              <w:t>Warrant conversion</w:t>
            </w:r>
          </w:p>
        </w:tc>
        <w:tc>
          <w:tcPr>
            <w:tcW w:w="920" w:type="dxa"/>
            <w:vAlign w:val="bottom"/>
          </w:tcPr>
          <w:p>
            <w:pPr>
              <w:jc w:val="right"/>
              <w:spacing w:after="0"/>
              <w:rPr>
                <w:sz w:val="20"/>
                <w:szCs w:val="20"/>
                <w:color w:val="auto"/>
              </w:rPr>
            </w:pPr>
            <w:r>
              <w:rPr>
                <w:rFonts w:ascii="Arial" w:cs="Arial" w:eastAsia="Arial" w:hAnsi="Arial"/>
                <w:sz w:val="16"/>
                <w:szCs w:val="16"/>
                <w:color w:val="auto"/>
              </w:rPr>
              <w:t>4,830,761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1920" w:type="dxa"/>
            <w:vAlign w:val="bottom"/>
          </w:tcPr>
          <w:p>
            <w:pPr>
              <w:ind w:left="120"/>
              <w:spacing w:after="0" w:line="171" w:lineRule="exact"/>
              <w:rPr>
                <w:sz w:val="20"/>
                <w:szCs w:val="20"/>
                <w:color w:val="auto"/>
              </w:rPr>
            </w:pPr>
            <w:r>
              <w:rPr>
                <w:rFonts w:ascii="Arial" w:cs="Arial" w:eastAsia="Arial" w:hAnsi="Arial"/>
                <w:sz w:val="16"/>
                <w:szCs w:val="16"/>
                <w:color w:val="auto"/>
              </w:rPr>
              <w:t>Shares issued upon</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20"/>
              <w:spacing w:after="0" w:line="162" w:lineRule="exact"/>
              <w:rPr>
                <w:sz w:val="20"/>
                <w:szCs w:val="20"/>
                <w:color w:val="auto"/>
              </w:rPr>
            </w:pPr>
            <w:r>
              <w:rPr>
                <w:rFonts w:ascii="Arial" w:cs="Arial" w:eastAsia="Arial" w:hAnsi="Arial"/>
                <w:sz w:val="16"/>
                <w:szCs w:val="16"/>
                <w:color w:val="auto"/>
              </w:rPr>
              <w:t>vesting of restricted</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9,679</w:t>
            </w: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920" w:type="dxa"/>
            <w:vAlign w:val="bottom"/>
          </w:tcPr>
          <w:p>
            <w:pPr>
              <w:ind w:left="120"/>
              <w:spacing w:after="0"/>
              <w:rPr>
                <w:sz w:val="20"/>
                <w:szCs w:val="20"/>
                <w:color w:val="auto"/>
              </w:rPr>
            </w:pPr>
            <w:r>
              <w:rPr>
                <w:rFonts w:ascii="Arial" w:cs="Arial" w:eastAsia="Arial" w:hAnsi="Arial"/>
                <w:sz w:val="16"/>
                <w:szCs w:val="16"/>
                <w:color w:val="auto"/>
              </w:rPr>
              <w:t>stock units</w:t>
            </w:r>
          </w:p>
        </w:tc>
        <w:tc>
          <w:tcPr>
            <w:tcW w:w="92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920" w:type="dxa"/>
            <w:vAlign w:val="bottom"/>
          </w:tcPr>
          <w:p>
            <w:pPr>
              <w:ind w:left="120"/>
              <w:spacing w:after="0" w:line="171" w:lineRule="exact"/>
              <w:rPr>
                <w:sz w:val="20"/>
                <w:szCs w:val="20"/>
                <w:color w:val="auto"/>
              </w:rPr>
            </w:pPr>
            <w:r>
              <w:rPr>
                <w:rFonts w:ascii="Arial" w:cs="Arial" w:eastAsia="Arial" w:hAnsi="Arial"/>
                <w:sz w:val="16"/>
                <w:szCs w:val="16"/>
                <w:color w:val="auto"/>
              </w:rPr>
              <w:t>Exercise of options to</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100,000</w:t>
            </w:r>
          </w:p>
        </w:tc>
        <w:tc>
          <w:tcPr>
            <w:tcW w:w="140" w:type="dxa"/>
            <w:vAlign w:val="bottom"/>
            <w:vMerge w:val="restart"/>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1920" w:type="dxa"/>
            <w:vAlign w:val="bottom"/>
          </w:tcPr>
          <w:p>
            <w:pPr>
              <w:ind w:left="120"/>
              <w:spacing w:after="0"/>
              <w:rPr>
                <w:sz w:val="20"/>
                <w:szCs w:val="20"/>
                <w:color w:val="auto"/>
              </w:rPr>
            </w:pPr>
            <w:r>
              <w:rPr>
                <w:rFonts w:ascii="Arial" w:cs="Arial" w:eastAsia="Arial" w:hAnsi="Arial"/>
                <w:sz w:val="16"/>
                <w:szCs w:val="16"/>
                <w:color w:val="auto"/>
              </w:rPr>
              <w:t>purchase common stock</w:t>
            </w:r>
          </w:p>
        </w:tc>
        <w:tc>
          <w:tcPr>
            <w:tcW w:w="92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1920" w:type="dxa"/>
            <w:vAlign w:val="bottom"/>
          </w:tcPr>
          <w:p>
            <w:pPr>
              <w:spacing w:after="0" w:line="159" w:lineRule="exact"/>
              <w:rPr>
                <w:sz w:val="20"/>
                <w:szCs w:val="20"/>
                <w:color w:val="auto"/>
              </w:rPr>
            </w:pPr>
            <w:r>
              <w:rPr>
                <w:rFonts w:ascii="Arial" w:cs="Arial" w:eastAsia="Arial" w:hAnsi="Arial"/>
                <w:sz w:val="16"/>
                <w:szCs w:val="16"/>
                <w:color w:val="auto"/>
              </w:rPr>
              <w:t>Balance at February 26,</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w w:val="94"/>
              </w:rPr>
              <w:t>101,070,881</w:t>
            </w: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color w:val="auto"/>
              </w:rPr>
              <w:t>1,011</w:t>
            </w: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color w:val="auto"/>
              </w:rPr>
              <w:t>669,755</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(22,539)</w:t>
            </w:r>
          </w:p>
        </w:tc>
        <w:tc>
          <w:tcPr>
            <w:tcW w:w="0" w:type="dxa"/>
            <w:vAlign w:val="bottom"/>
          </w:tcPr>
          <w:p>
            <w:pPr>
              <w:spacing w:after="0"/>
              <w:rPr>
                <w:sz w:val="1"/>
                <w:szCs w:val="1"/>
                <w:color w:val="auto"/>
              </w:rPr>
            </w:pPr>
          </w:p>
        </w:tc>
      </w:tr>
      <w:tr>
        <w:trPr>
          <w:trHeight w:val="185"/>
        </w:trPr>
        <w:tc>
          <w:tcPr>
            <w:tcW w:w="1920" w:type="dxa"/>
            <w:vAlign w:val="bottom"/>
          </w:tcPr>
          <w:p>
            <w:pPr>
              <w:spacing w:after="0"/>
              <w:rPr>
                <w:sz w:val="20"/>
                <w:szCs w:val="20"/>
                <w:color w:val="auto"/>
              </w:rPr>
            </w:pPr>
            <w:r>
              <w:rPr>
                <w:rFonts w:ascii="Arial" w:cs="Arial" w:eastAsia="Arial" w:hAnsi="Arial"/>
                <w:sz w:val="16"/>
                <w:szCs w:val="16"/>
                <w:color w:val="auto"/>
              </w:rPr>
              <w:t>2022</w:t>
            </w:r>
          </w:p>
        </w:tc>
        <w:tc>
          <w:tcPr>
            <w:tcW w:w="9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ind w:left="120"/>
              <w:spacing w:after="0"/>
              <w:rPr>
                <w:sz w:val="20"/>
                <w:szCs w:val="20"/>
                <w:color w:val="auto"/>
              </w:rPr>
            </w:pPr>
            <w:r>
              <w:rPr>
                <w:rFonts w:ascii="Arial" w:cs="Arial" w:eastAsia="Arial" w:hAnsi="Arial"/>
                <w:sz w:val="16"/>
                <w:szCs w:val="16"/>
                <w:color w:val="auto"/>
              </w:rPr>
              <w:t>Net income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920" w:type="dxa"/>
            <w:vAlign w:val="bottom"/>
            <w:vMerge w:val="continue"/>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1920" w:type="dxa"/>
            <w:vAlign w:val="bottom"/>
          </w:tcPr>
          <w:p>
            <w:pPr>
              <w:ind w:left="120"/>
              <w:spacing w:after="0" w:line="171" w:lineRule="exact"/>
              <w:rPr>
                <w:sz w:val="20"/>
                <w:szCs w:val="20"/>
                <w:color w:val="auto"/>
              </w:rPr>
            </w:pPr>
            <w:r>
              <w:rPr>
                <w:rFonts w:ascii="Arial" w:cs="Arial" w:eastAsia="Arial" w:hAnsi="Arial"/>
                <w:sz w:val="16"/>
                <w:szCs w:val="16"/>
                <w:color w:val="auto"/>
              </w:rPr>
              <w:t>Stock-based</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92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920" w:type="dxa"/>
            <w:vAlign w:val="bottom"/>
          </w:tcPr>
          <w:p>
            <w:pPr>
              <w:ind w:left="120"/>
              <w:spacing w:after="0" w:line="171" w:lineRule="exact"/>
              <w:rPr>
                <w:sz w:val="20"/>
                <w:szCs w:val="20"/>
                <w:color w:val="auto"/>
              </w:rPr>
            </w:pPr>
            <w:r>
              <w:rPr>
                <w:rFonts w:ascii="Arial" w:cs="Arial" w:eastAsia="Arial" w:hAnsi="Arial"/>
                <w:sz w:val="16"/>
                <w:szCs w:val="16"/>
                <w:color w:val="auto"/>
              </w:rPr>
              <w:t>Repurchase of common</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color w:val="auto"/>
              </w:rPr>
              <w:t>218,221</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(8,110)</w:t>
            </w:r>
          </w:p>
        </w:tc>
        <w:tc>
          <w:tcPr>
            <w:tcW w:w="0" w:type="dxa"/>
            <w:vAlign w:val="bottom"/>
          </w:tcPr>
          <w:p>
            <w:pPr>
              <w:spacing w:after="0"/>
              <w:rPr>
                <w:sz w:val="1"/>
                <w:szCs w:val="1"/>
                <w:color w:val="auto"/>
              </w:rPr>
            </w:pPr>
          </w:p>
        </w:tc>
      </w:tr>
      <w:tr>
        <w:trPr>
          <w:trHeight w:val="206"/>
        </w:trPr>
        <w:tc>
          <w:tcPr>
            <w:tcW w:w="1920" w:type="dxa"/>
            <w:vAlign w:val="bottom"/>
          </w:tcPr>
          <w:p>
            <w:pPr>
              <w:ind w:left="120"/>
              <w:spacing w:after="0"/>
              <w:rPr>
                <w:sz w:val="20"/>
                <w:szCs w:val="20"/>
                <w:color w:val="auto"/>
              </w:rPr>
            </w:pPr>
            <w:r>
              <w:rPr>
                <w:rFonts w:ascii="Arial" w:cs="Arial" w:eastAsia="Arial" w:hAnsi="Arial"/>
                <w:sz w:val="16"/>
                <w:szCs w:val="16"/>
                <w:color w:val="auto"/>
              </w:rPr>
              <w:t>stock</w:t>
            </w:r>
          </w:p>
        </w:tc>
        <w:tc>
          <w:tcPr>
            <w:tcW w:w="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920" w:type="dxa"/>
            <w:vAlign w:val="bottom"/>
          </w:tcPr>
          <w:p>
            <w:pPr>
              <w:ind w:left="120"/>
              <w:spacing w:after="0" w:line="171" w:lineRule="exact"/>
              <w:rPr>
                <w:sz w:val="20"/>
                <w:szCs w:val="20"/>
                <w:color w:val="auto"/>
              </w:rPr>
            </w:pPr>
            <w:r>
              <w:rPr>
                <w:rFonts w:ascii="Arial" w:cs="Arial" w:eastAsia="Arial" w:hAnsi="Arial"/>
                <w:sz w:val="16"/>
                <w:szCs w:val="16"/>
                <w:color w:val="auto"/>
              </w:rPr>
              <w:t>Foreign currency</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920" w:type="dxa"/>
            <w:vAlign w:val="bottom"/>
          </w:tcPr>
          <w:p>
            <w:pPr>
              <w:ind w:left="120"/>
              <w:spacing w:after="0"/>
              <w:rPr>
                <w:sz w:val="20"/>
                <w:szCs w:val="20"/>
                <w:color w:val="auto"/>
              </w:rPr>
            </w:pPr>
            <w:r>
              <w:rPr>
                <w:rFonts w:ascii="Arial" w:cs="Arial" w:eastAsia="Arial" w:hAnsi="Arial"/>
                <w:sz w:val="16"/>
                <w:szCs w:val="16"/>
                <w:color w:val="auto"/>
              </w:rPr>
              <w:t>translation adjustments</w:t>
            </w:r>
          </w:p>
        </w:tc>
        <w:tc>
          <w:tcPr>
            <w:tcW w:w="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920" w:type="dxa"/>
            <w:vAlign w:val="bottom"/>
          </w:tcPr>
          <w:p>
            <w:pPr>
              <w:ind w:left="120"/>
              <w:spacing w:after="0" w:line="171" w:lineRule="exact"/>
              <w:rPr>
                <w:sz w:val="20"/>
                <w:szCs w:val="20"/>
                <w:color w:val="auto"/>
              </w:rPr>
            </w:pPr>
            <w:r>
              <w:rPr>
                <w:rFonts w:ascii="Arial" w:cs="Arial" w:eastAsia="Arial" w:hAnsi="Arial"/>
                <w:sz w:val="16"/>
                <w:szCs w:val="16"/>
                <w:color w:val="auto"/>
              </w:rPr>
              <w:t>Shares issued upon</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20"/>
              <w:spacing w:after="0" w:line="162" w:lineRule="exact"/>
              <w:rPr>
                <w:sz w:val="20"/>
                <w:szCs w:val="20"/>
                <w:color w:val="auto"/>
              </w:rPr>
            </w:pPr>
            <w:r>
              <w:rPr>
                <w:rFonts w:ascii="Arial" w:cs="Arial" w:eastAsia="Arial" w:hAnsi="Arial"/>
                <w:sz w:val="16"/>
                <w:szCs w:val="16"/>
                <w:color w:val="auto"/>
              </w:rPr>
              <w:t>vesting of restricted</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11,358</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920" w:type="dxa"/>
            <w:vAlign w:val="bottom"/>
          </w:tcPr>
          <w:p>
            <w:pPr>
              <w:ind w:left="120"/>
              <w:spacing w:after="0"/>
              <w:rPr>
                <w:sz w:val="20"/>
                <w:szCs w:val="20"/>
                <w:color w:val="auto"/>
              </w:rPr>
            </w:pPr>
            <w:r>
              <w:rPr>
                <w:rFonts w:ascii="Arial" w:cs="Arial" w:eastAsia="Arial" w:hAnsi="Arial"/>
                <w:sz w:val="16"/>
                <w:szCs w:val="16"/>
                <w:color w:val="auto"/>
              </w:rPr>
              <w:t>stock units</w:t>
            </w:r>
          </w:p>
        </w:tc>
        <w:tc>
          <w:tcPr>
            <w:tcW w:w="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920" w:type="dxa"/>
            <w:vAlign w:val="bottom"/>
          </w:tcPr>
          <w:p>
            <w:pPr>
              <w:ind w:left="120"/>
              <w:spacing w:after="0" w:line="171" w:lineRule="exact"/>
              <w:rPr>
                <w:sz w:val="20"/>
                <w:szCs w:val="20"/>
                <w:color w:val="auto"/>
              </w:rPr>
            </w:pPr>
            <w:r>
              <w:rPr>
                <w:rFonts w:ascii="Arial" w:cs="Arial" w:eastAsia="Arial" w:hAnsi="Arial"/>
                <w:sz w:val="16"/>
                <w:szCs w:val="16"/>
                <w:color w:val="auto"/>
              </w:rPr>
              <w:t>Exercise of options to</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232,987</w:t>
            </w:r>
          </w:p>
        </w:tc>
        <w:tc>
          <w:tcPr>
            <w:tcW w:w="140" w:type="dxa"/>
            <w:vAlign w:val="bottom"/>
            <w:vMerge w:val="restart"/>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1920" w:type="dxa"/>
            <w:vAlign w:val="bottom"/>
          </w:tcPr>
          <w:p>
            <w:pPr>
              <w:ind w:left="120"/>
              <w:spacing w:after="0"/>
              <w:rPr>
                <w:sz w:val="20"/>
                <w:szCs w:val="20"/>
                <w:color w:val="auto"/>
              </w:rPr>
            </w:pPr>
            <w:r>
              <w:rPr>
                <w:rFonts w:ascii="Arial" w:cs="Arial" w:eastAsia="Arial" w:hAnsi="Arial"/>
                <w:sz w:val="16"/>
                <w:szCs w:val="16"/>
                <w:color w:val="auto"/>
              </w:rPr>
              <w:t>purchase common stock</w:t>
            </w:r>
          </w:p>
        </w:tc>
        <w:tc>
          <w:tcPr>
            <w:tcW w:w="92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6"/>
                <w:szCs w:val="16"/>
                <w:color w:val="auto"/>
              </w:rPr>
              <w:t>Balance at May 28, 2022</w:t>
            </w:r>
          </w:p>
        </w:tc>
        <w:tc>
          <w:tcPr>
            <w:tcW w:w="920" w:type="dxa"/>
            <w:vAlign w:val="bottom"/>
          </w:tcPr>
          <w:p>
            <w:pPr>
              <w:jc w:val="right"/>
              <w:spacing w:after="0"/>
              <w:rPr>
                <w:sz w:val="20"/>
                <w:szCs w:val="20"/>
                <w:color w:val="auto"/>
              </w:rPr>
            </w:pPr>
            <w:r>
              <w:rPr>
                <w:rFonts w:ascii="Arial" w:cs="Arial" w:eastAsia="Arial" w:hAnsi="Arial"/>
                <w:sz w:val="16"/>
                <w:szCs w:val="16"/>
                <w:color w:val="auto"/>
                <w:w w:val="94"/>
              </w:rPr>
              <w:t>101,315,226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1,013</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887,976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(30,649)</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-3616960</wp:posOffset>
            </wp:positionV>
            <wp:extent cx="654939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9390" cy="24003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-2828290</wp:posOffset>
            </wp:positionV>
            <wp:extent cx="6549390"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9390" cy="24003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-2451100</wp:posOffset>
            </wp:positionV>
            <wp:extent cx="6549390" cy="342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9390" cy="34290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-1868170</wp:posOffset>
            </wp:positionV>
            <wp:extent cx="654939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9390" cy="24003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-1473835</wp:posOffset>
            </wp:positionV>
            <wp:extent cx="654939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49390" cy="24003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-993775</wp:posOffset>
            </wp:positionV>
            <wp:extent cx="654939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49390" cy="24003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-410845</wp:posOffset>
            </wp:positionV>
            <wp:extent cx="654939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4939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940" w:type="dxa"/>
            <w:vAlign w:val="bottom"/>
          </w:tcPr>
          <w:p>
            <w:pPr>
              <w:jc w:val="right"/>
              <w:spacing w:after="0"/>
              <w:rPr>
                <w:sz w:val="20"/>
                <w:szCs w:val="20"/>
                <w:color w:val="auto"/>
              </w:rPr>
            </w:pPr>
            <w:r>
              <w:rPr>
                <w:rFonts w:ascii="Arial" w:cs="Arial" w:eastAsia="Arial" w:hAnsi="Arial"/>
                <w:sz w:val="16"/>
                <w:szCs w:val="16"/>
                <w:color w:val="auto"/>
              </w:rPr>
              <w:t>3,092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3,092</w:t>
            </w:r>
          </w:p>
        </w:tc>
      </w:tr>
      <w:tr>
        <w:trPr>
          <w:trHeight w:val="378"/>
        </w:trPr>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439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439</w:t>
            </w:r>
          </w:p>
        </w:tc>
      </w:tr>
      <w:tr>
        <w:trPr>
          <w:trHeight w:val="864"/>
        </w:trPr>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(1,147)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(1,147)</w:t>
            </w:r>
          </w:p>
        </w:tc>
      </w:tr>
      <w:tr>
        <w:trPr>
          <w:trHeight w:val="378"/>
        </w:trPr>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(20,394)</w:t>
            </w:r>
          </w:p>
        </w:tc>
      </w:tr>
      <w:tr>
        <w:trPr>
          <w:trHeight w:val="216"/>
        </w:trPr>
        <w:tc>
          <w:tcPr>
            <w:tcW w:w="940" w:type="dxa"/>
            <w:vAlign w:val="bottom"/>
          </w:tcPr>
          <w:p>
            <w:pPr>
              <w:jc w:val="right"/>
              <w:spacing w:after="0"/>
              <w:rPr>
                <w:sz w:val="20"/>
                <w:szCs w:val="20"/>
                <w:color w:val="auto"/>
              </w:rPr>
            </w:pPr>
            <w:r>
              <w:rPr>
                <w:rFonts w:ascii="Arial" w:cs="Arial" w:eastAsia="Arial" w:hAnsi="Arial"/>
                <w:sz w:val="16"/>
                <w:szCs w:val="16"/>
                <w:color w:val="auto"/>
              </w:rPr>
              <w:t>189,849</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189,897</w:t>
            </w:r>
          </w:p>
        </w:tc>
      </w:tr>
      <w:tr>
        <w:trPr>
          <w:trHeight w:val="540"/>
        </w:trPr>
        <w:tc>
          <w:tcPr>
            <w:tcW w:w="94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(101)</w:t>
            </w:r>
          </w:p>
        </w:tc>
      </w:tr>
      <w:tr>
        <w:trPr>
          <w:trHeight w:val="368"/>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w:t>
            </w:r>
          </w:p>
        </w:tc>
      </w:tr>
      <w:tr>
        <w:trPr>
          <w:trHeight w:val="344"/>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1,278,728</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145,420</w:t>
            </w:r>
          </w:p>
        </w:tc>
        <w:tc>
          <w:tcPr>
            <w:tcW w:w="14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(1,566)</w:t>
            </w:r>
          </w:p>
        </w:tc>
        <w:tc>
          <w:tcPr>
            <w:tcW w:w="1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1,401,054</w:t>
            </w:r>
          </w:p>
        </w:tc>
      </w:tr>
      <w:tr>
        <w:trPr>
          <w:trHeight w:val="24"/>
        </w:trPr>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3"/>
        </w:trPr>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38,834</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38,834</w:t>
            </w:r>
          </w:p>
        </w:tc>
      </w:tr>
      <w:tr>
        <w:trPr>
          <w:trHeight w:val="378"/>
        </w:trPr>
        <w:tc>
          <w:tcPr>
            <w:tcW w:w="940" w:type="dxa"/>
            <w:vAlign w:val="bottom"/>
          </w:tcPr>
          <w:p>
            <w:pPr>
              <w:jc w:val="right"/>
              <w:spacing w:after="0"/>
              <w:rPr>
                <w:sz w:val="20"/>
                <w:szCs w:val="20"/>
                <w:color w:val="auto"/>
              </w:rPr>
            </w:pPr>
            <w:r>
              <w:rPr>
                <w:rFonts w:ascii="Arial" w:cs="Arial" w:eastAsia="Arial" w:hAnsi="Arial"/>
                <w:sz w:val="16"/>
                <w:szCs w:val="16"/>
                <w:color w:val="auto"/>
              </w:rPr>
              <w:t>2,994</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2,994</w:t>
            </w:r>
          </w:p>
        </w:tc>
      </w:tr>
      <w:tr>
        <w:trPr>
          <w:trHeight w:val="378"/>
        </w:trPr>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(8,110)</w:t>
            </w:r>
          </w:p>
        </w:tc>
      </w:tr>
      <w:tr>
        <w:trPr>
          <w:trHeight w:val="378"/>
        </w:trPr>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(72)</w:t>
            </w:r>
          </w:p>
        </w:tc>
      </w:tr>
      <w:tr>
        <w:trPr>
          <w:trHeight w:val="540"/>
        </w:trPr>
        <w:tc>
          <w:tcPr>
            <w:tcW w:w="94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(247)</w:t>
            </w:r>
          </w:p>
        </w:tc>
      </w:tr>
      <w:tr>
        <w:trPr>
          <w:trHeight w:val="368"/>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2,867</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w:t>
            </w:r>
          </w:p>
        </w:tc>
      </w:tr>
      <w:tr>
        <w:trPr>
          <w:trHeight w:val="210"/>
        </w:trPr>
        <w:tc>
          <w:tcPr>
            <w:tcW w:w="940" w:type="dxa"/>
            <w:vAlign w:val="bottom"/>
          </w:tcPr>
          <w:p>
            <w:pPr>
              <w:jc w:val="right"/>
              <w:spacing w:after="0"/>
              <w:rPr>
                <w:sz w:val="20"/>
                <w:szCs w:val="20"/>
                <w:color w:val="auto"/>
              </w:rPr>
            </w:pPr>
            <w:r>
              <w:rPr>
                <w:rFonts w:ascii="Arial" w:cs="Arial" w:eastAsia="Arial" w:hAnsi="Arial"/>
                <w:sz w:val="16"/>
                <w:szCs w:val="16"/>
                <w:color w:val="auto"/>
              </w:rPr>
              <w:t>1,284,342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184,254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(1,638)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1,437,322</w:t>
            </w:r>
          </w:p>
        </w:tc>
      </w:tr>
      <w:tr>
        <w:trPr>
          <w:trHeight w:val="23"/>
        </w:trPr>
        <w:tc>
          <w:tcPr>
            <w:tcW w:w="9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900" w:space="120"/>
            <w:col w:w="4760"/>
          </w:cols>
          <w:pgMar w:left="320" w:top="125" w:right="799" w:bottom="1440" w:gutter="0" w:footer="0" w:header="0"/>
          <w:type w:val="continuous"/>
        </w:sectPr>
      </w:pPr>
    </w:p>
    <w:p>
      <w:pPr>
        <w:spacing w:after="0" w:line="128" w:lineRule="exact"/>
        <w:rPr>
          <w:sz w:val="20"/>
          <w:szCs w:val="20"/>
          <w:color w:val="auto"/>
        </w:rPr>
      </w:pPr>
    </w:p>
    <w:p>
      <w:pPr>
        <w:ind w:left="3160"/>
        <w:spacing w:after="0"/>
        <w:rPr>
          <w:sz w:val="20"/>
          <w:szCs w:val="20"/>
          <w:color w:val="auto"/>
        </w:rPr>
      </w:pPr>
      <w:r>
        <w:rPr>
          <w:rFonts w:ascii="Arial" w:cs="Arial" w:eastAsia="Arial" w:hAnsi="Arial"/>
          <w:sz w:val="14"/>
          <w:szCs w:val="14"/>
          <w:i w:val="1"/>
          <w:iCs w:val="1"/>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5" w:right="7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dollars in thousands, except for share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Principles of Consolidation</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jc w:val="both"/>
        <w:ind w:firstLine="189"/>
        <w:spacing w:after="0" w:line="242" w:lineRule="auto"/>
        <w:rPr>
          <w:sz w:val="20"/>
          <w:szCs w:val="20"/>
          <w:color w:val="auto"/>
        </w:rPr>
      </w:pPr>
      <w:r>
        <w:rPr>
          <w:rFonts w:ascii="Arial" w:cs="Arial" w:eastAsia="Arial" w:hAnsi="Arial"/>
          <w:sz w:val="18"/>
          <w:szCs w:val="18"/>
          <w:color w:val="auto"/>
        </w:rPr>
        <w:t>The Simply Good Foods Company (“Simply Good Foods” or the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the Company develops, markets and sells consists primarily of protein bars, ready-to-drink (“RTD”) shakes, sweet and salty snacks and confectionery products marketed under the Atkins®, Atkins Endulge®, Quest® and Quest Hero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brand names. Simply Good Foods is poised to expand its wellness platform through innovation and organic growth along with acquisition opportunities in the nutritional snacking space.</w:t>
      </w:r>
    </w:p>
    <w:p>
      <w:pPr>
        <w:spacing w:after="0" w:line="229" w:lineRule="exact"/>
        <w:rPr>
          <w:sz w:val="20"/>
          <w:szCs w:val="20"/>
          <w:color w:val="auto"/>
        </w:rPr>
      </w:pPr>
    </w:p>
    <w:p>
      <w:pPr>
        <w:jc w:val="both"/>
        <w:ind w:firstLine="289"/>
        <w:spacing w:after="0" w:line="296" w:lineRule="auto"/>
        <w:rPr>
          <w:sz w:val="20"/>
          <w:szCs w:val="20"/>
          <w:color w:val="auto"/>
        </w:rPr>
      </w:pPr>
      <w:r>
        <w:rPr>
          <w:rFonts w:ascii="Arial" w:cs="Arial" w:eastAsia="Arial" w:hAnsi="Arial"/>
          <w:sz w:val="16"/>
          <w:szCs w:val="16"/>
          <w:color w:val="auto"/>
        </w:rPr>
        <w:t>The Company’s nutritious snacking platform consists of brands that specialize in providing products for consumers that follow certain nutritional philosophies and health-and-wellness trends: Atkins® for those following a low-carb lifestyle and Quest® for consumers seeking a variety of protein-rich foods and beverages that also limit sugars and simple carbs. The Company distributes its products in major retail channels, primarily in North America, including grocery, club, and mass merchandise, as well as through e-commerce, convenience, specialty, and other channels. The Company’s portfolio of nutritious snacking brands gives it a strong platform with which to introduce new products, expand distribution, and attract new consumers to its products.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common stock of Simply Good Foods is listed on the Nasdaq Capital Market under the symbol “SMPL.”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Consolidated Financial Statements</w:t>
      </w:r>
    </w:p>
    <w:p>
      <w:pPr>
        <w:spacing w:after="0" w:line="252" w:lineRule="exact"/>
        <w:rPr>
          <w:sz w:val="20"/>
          <w:szCs w:val="20"/>
          <w:color w:val="auto"/>
        </w:rPr>
      </w:pPr>
    </w:p>
    <w:p>
      <w:pPr>
        <w:jc w:val="both"/>
        <w:ind w:firstLine="372"/>
        <w:spacing w:after="0" w:line="263" w:lineRule="auto"/>
        <w:rPr>
          <w:sz w:val="20"/>
          <w:szCs w:val="20"/>
          <w:color w:val="auto"/>
        </w:rPr>
      </w:pPr>
      <w:r>
        <w:rPr>
          <w:rFonts w:ascii="Arial" w:cs="Arial" w:eastAsia="Arial" w:hAnsi="Arial"/>
          <w:sz w:val="18"/>
          <w:szCs w:val="18"/>
          <w:color w:val="auto"/>
        </w:rPr>
        <w:t>The unaudited interim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 maintains its accounting records on a 52/53-week fiscal year, ending on the last Saturday in August of each year.</w:t>
      </w:r>
    </w:p>
    <w:p>
      <w:pPr>
        <w:spacing w:after="0" w:line="252" w:lineRule="exact"/>
        <w:rPr>
          <w:sz w:val="20"/>
          <w:szCs w:val="20"/>
          <w:color w:val="auto"/>
        </w:rPr>
      </w:pPr>
    </w:p>
    <w:p>
      <w:pPr>
        <w:jc w:val="both"/>
        <w:ind w:firstLine="220"/>
        <w:spacing w:after="0" w:line="289" w:lineRule="auto"/>
        <w:rPr>
          <w:sz w:val="20"/>
          <w:szCs w:val="20"/>
          <w:color w:val="auto"/>
        </w:rPr>
      </w:pPr>
      <w:r>
        <w:rPr>
          <w:rFonts w:ascii="Arial" w:cs="Arial" w:eastAsia="Arial" w:hAnsi="Arial"/>
          <w:sz w:val="16"/>
          <w:szCs w:val="16"/>
          <w:color w:val="auto"/>
        </w:rPr>
        <w:t>The interim consolidated financial statements and related notes of the Company and its subsidiaries are unaudited. The unaudited interim consolidated financial statements have been prepared in accordance with U.S. Generally Accepted Accounting Principles (“GAAP”) and the rules and regulations of the Securities and Exchange Commission (the “SEC”). The unaudited interim consolidated financial statements reflect all adjustments and disclosures which are, in the Company’s opinion, necessary for a fair presentation of the results of operations, financial position and cash flows for the indicated periods. All such adjustments were of a normal and recurring nature unless otherwise disclosed. The year-end balance sheet data was derived from the audited financial statements and, in accordance with the instructions to Form 10-Q, certain information and footnote disclosures required by GAAP have been condensed or omitted. The results reported in these unaudited interim consolidated financial statements are not necessarily indicative of the results that may be reported for the entire fiscal year and should be read in conjunction with the Company’s consolidated financial statements for the fiscal year ended August 27, 2022, included in the Company’s Annual Report on Form 10-K (“Annual Report”) filed with the SEC on October 21, 2022.</w:t>
      </w:r>
    </w:p>
    <w:p>
      <w:pPr>
        <w:spacing w:after="0" w:line="193" w:lineRule="exact"/>
        <w:rPr>
          <w:sz w:val="20"/>
          <w:szCs w:val="20"/>
          <w:color w:val="auto"/>
        </w:rPr>
      </w:pPr>
    </w:p>
    <w:p>
      <w:pPr>
        <w:jc w:val="both"/>
        <w:ind w:firstLine="218"/>
        <w:spacing w:after="0" w:line="301" w:lineRule="auto"/>
        <w:rPr>
          <w:sz w:val="20"/>
          <w:szCs w:val="20"/>
          <w:color w:val="auto"/>
        </w:rPr>
      </w:pPr>
      <w:r>
        <w:rPr>
          <w:rFonts w:ascii="Arial" w:cs="Arial" w:eastAsia="Arial" w:hAnsi="Arial"/>
          <w:sz w:val="16"/>
          <w:szCs w:val="16"/>
          <w:color w:val="auto"/>
        </w:rPr>
        <w:t>The ultimate effect the supply chain challenges, cost pressures, current high inflation environment, and the possible economic recession could have on consumer purchasing patterns and on the Company’s business continues to be not fully known. Additionally, management is continuing to monitor the conflict in Ukraine, especially regarding the availability and cost of raw materials that are produced in this region and Europe in general. Management is also monitoring the situation in Eastern Europe for its possible supply chain and consumer consumption effects on the Company’s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70" w:lineRule="exact"/>
        <w:rPr>
          <w:sz w:val="20"/>
          <w:szCs w:val="20"/>
          <w:color w:val="auto"/>
        </w:rPr>
      </w:pPr>
    </w:p>
    <w:p>
      <w:pPr>
        <w:jc w:val="both"/>
        <w:ind w:firstLine="197"/>
        <w:spacing w:after="0" w:line="27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included in the Annual Report for a description of significant accounting policies.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52" w:lineRule="exact"/>
        <w:rPr>
          <w:sz w:val="20"/>
          <w:szCs w:val="20"/>
          <w:color w:val="auto"/>
        </w:rPr>
      </w:pPr>
    </w:p>
    <w:p>
      <w:pPr>
        <w:jc w:val="both"/>
        <w:ind w:firstLine="182"/>
        <w:spacing w:after="0" w:line="254" w:lineRule="auto"/>
        <w:rPr>
          <w:sz w:val="20"/>
          <w:szCs w:val="20"/>
          <w:color w:val="auto"/>
        </w:rPr>
      </w:pPr>
      <w:r>
        <w:rPr>
          <w:rFonts w:ascii="Arial" w:cs="Arial" w:eastAsia="Arial" w:hAnsi="Arial"/>
          <w:sz w:val="18"/>
          <w:szCs w:val="18"/>
          <w:color w:val="auto"/>
        </w:rPr>
        <w:t>In March 2020, the Financial Accounting Standards Board (the “FASB”) issued Accounting Standards Update (“ASU”) 2020-04, Reference Rate Reform (Topic 848), Facilitation of the Effects of Reference Rate Reform on Financial Reporting (“ASU 2020-04”), which provides optional guidance for a limited period of time to ease the potential burden in accounting for reference rate reform on financial reporting. Additionally, in December 2022, the FASB issued ASU 2022-06, Reference Rate Reform (Topic 848), Deferral of the Sunset Date of Topic 848, which extended the period of time for which ASU 2020-04 could be applied. As a result, the amendments in ASU 2020-04 can be applied to contract modifications due to rate reform and eligible existing and new hedging relationships entered into between March 12, 2020 and December 31, 2024. The amendments of these ASUs are effective for all entities and should be applied on a prospective basis.</w:t>
      </w:r>
    </w:p>
    <w:p>
      <w:pPr>
        <w:spacing w:after="0" w:line="222" w:lineRule="exact"/>
        <w:rPr>
          <w:sz w:val="20"/>
          <w:szCs w:val="20"/>
          <w:color w:val="auto"/>
        </w:rPr>
      </w:pPr>
    </w:p>
    <w:p>
      <w:pPr>
        <w:jc w:val="both"/>
        <w:ind w:firstLine="205"/>
        <w:spacing w:after="0" w:line="291" w:lineRule="auto"/>
        <w:rPr>
          <w:sz w:val="20"/>
          <w:szCs w:val="20"/>
          <w:color w:val="auto"/>
        </w:rPr>
      </w:pPr>
      <w:r>
        <w:rPr>
          <w:rFonts w:ascii="Arial" w:cs="Arial" w:eastAsia="Arial" w:hAnsi="Arial"/>
          <w:sz w:val="16"/>
          <w:szCs w:val="16"/>
          <w:color w:val="auto"/>
        </w:rPr>
        <w:t>On January 21, 2022, the Company entered into a repricing amendment (the “2022 Repricing Amendment”) to its credit agreement with Barclays Bank PLC and other parties (as amended to date, the “Credit Agreement”), as described in Note 5, Long-Term Debt and Line of Credit. In addition to replacing the London Interbank Offered Rate (“LIBOR”) as the Credit Agreement’s reference rate with the Secured Overnight Financing Rate (“SOFR”), the 2022 Repricing Amendment contemporaneously modified other terms that changed, or had the potential to change, the amount or timing of contractual cash flows as contemplated by the guidance in ASU 2020-04. As such, the contract modifications related to the 2022 Repricing Amendment were outside of the scope of the optional guidance in ASU 2020-04. The Company will continue to monitor the effects of rate reform, if any, on any new or amended contracts through December 31, 2024. The Company does not anticipate the amendments in this ASU will be material to its consolidated financial statements.</w:t>
      </w:r>
    </w:p>
    <w:p>
      <w:pPr>
        <w:spacing w:after="0" w:line="180" w:lineRule="exact"/>
        <w:rPr>
          <w:sz w:val="20"/>
          <w:szCs w:val="20"/>
          <w:color w:val="auto"/>
        </w:rPr>
      </w:pPr>
    </w:p>
    <w:p>
      <w:pPr>
        <w:ind w:right="660" w:firstLine="180"/>
        <w:spacing w:after="0" w:line="261"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effect on the Company’s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56" w:lineRule="exact"/>
        <w:rPr>
          <w:sz w:val="20"/>
          <w:szCs w:val="20"/>
          <w:color w:val="auto"/>
        </w:rPr>
      </w:pPr>
    </w:p>
    <w:p>
      <w:pPr>
        <w:ind w:firstLine="226"/>
        <w:spacing w:after="0" w:line="308" w:lineRule="auto"/>
        <w:rPr>
          <w:sz w:val="20"/>
          <w:szCs w:val="20"/>
          <w:color w:val="auto"/>
        </w:rPr>
      </w:pPr>
      <w:r>
        <w:rPr>
          <w:rFonts w:ascii="Arial" w:cs="Arial" w:eastAsia="Arial" w:hAnsi="Arial"/>
          <w:sz w:val="17"/>
          <w:szCs w:val="17"/>
          <w:color w:val="auto"/>
        </w:rPr>
        <w:t>Revenue from transactions with external customers for each of the Company’s products would be impracticable to disclose and management does not view its business by product line. The following is a summary of revenue disaggregated by geographic area and brands:</w:t>
      </w:r>
    </w:p>
    <w:p>
      <w:pPr>
        <w:spacing w:after="0" w:line="259" w:lineRule="exact"/>
        <w:rPr>
          <w:sz w:val="20"/>
          <w:szCs w:val="20"/>
          <w:color w:val="auto"/>
        </w:rPr>
      </w:pPr>
    </w:p>
    <w:tbl>
      <w:tblPr>
        <w:tblLayout w:type="fixed"/>
        <w:tblInd w:w="660" w:type="dxa"/>
        <w:tblCellMar>
          <w:top w:w="0" w:type="dxa"/>
          <w:left w:w="0" w:type="dxa"/>
          <w:bottom w:w="0" w:type="dxa"/>
          <w:right w:w="0" w:type="dxa"/>
        </w:tblCellMar>
      </w:tblPr>
      <w:tr>
        <w:trPr>
          <w:trHeight w:val="209"/>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color w:val="auto"/>
              </w:rPr>
              <w:t>Thirteen Weeks Ended</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color w:val="auto"/>
              </w:rPr>
              <w:t>Thirty-Nine Weeks Ended</w:t>
            </w:r>
          </w:p>
        </w:tc>
      </w:tr>
      <w:tr>
        <w:trPr>
          <w:trHeight w:val="25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May 27, 2023</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May 28, 2022</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May 27, 2023</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May 28, 2022</w:t>
            </w:r>
          </w:p>
        </w:tc>
      </w:tr>
      <w:tr>
        <w:trPr>
          <w:trHeight w:val="267"/>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North America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7"/>
        </w:trPr>
        <w:tc>
          <w:tcPr>
            <w:tcW w:w="3680" w:type="dxa"/>
            <w:vAlign w:val="bottom"/>
            <w:gridSpan w:val="2"/>
          </w:tcPr>
          <w:p>
            <w:pPr>
              <w:ind w:left="140"/>
              <w:spacing w:after="0"/>
              <w:rPr>
                <w:sz w:val="20"/>
                <w:szCs w:val="20"/>
                <w:color w:val="auto"/>
              </w:rPr>
            </w:pPr>
            <w:r>
              <w:rPr>
                <w:rFonts w:ascii="Arial" w:cs="Arial" w:eastAsia="Arial" w:hAnsi="Arial"/>
                <w:sz w:val="16"/>
                <w:szCs w:val="16"/>
                <w:color w:val="auto"/>
              </w:rPr>
              <w:t>Atkins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142,057</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148,163</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408,153</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417,539</w:t>
            </w:r>
          </w:p>
        </w:tc>
      </w:tr>
      <w:tr>
        <w:trPr>
          <w:trHeight w:val="260"/>
        </w:trPr>
        <w:tc>
          <w:tcPr>
            <w:tcW w:w="3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Quest</w:t>
            </w: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174,477</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490,547</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451,128</w:t>
            </w:r>
          </w:p>
        </w:tc>
      </w:tr>
      <w:tr>
        <w:trPr>
          <w:trHeight w:val="260"/>
        </w:trPr>
        <w:tc>
          <w:tcPr>
            <w:tcW w:w="3680" w:type="dxa"/>
            <w:vAlign w:val="bottom"/>
            <w:gridSpan w:val="2"/>
          </w:tcPr>
          <w:p>
            <w:pPr>
              <w:ind w:left="240"/>
              <w:spacing w:after="0"/>
              <w:rPr>
                <w:sz w:val="20"/>
                <w:szCs w:val="20"/>
                <w:color w:val="auto"/>
              </w:rPr>
            </w:pPr>
            <w:r>
              <w:rPr>
                <w:rFonts w:ascii="Arial" w:cs="Arial" w:eastAsia="Arial" w:hAnsi="Arial"/>
                <w:sz w:val="16"/>
                <w:szCs w:val="16"/>
                <w:color w:val="auto"/>
              </w:rPr>
              <w:t>Total North America</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316,534</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308,424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898,700</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868,667</w:t>
            </w:r>
          </w:p>
        </w:tc>
      </w:tr>
      <w:tr>
        <w:trPr>
          <w:trHeight w:val="260"/>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8,258</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23,554</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25,847</w:t>
            </w:r>
          </w:p>
        </w:tc>
      </w:tr>
      <w:tr>
        <w:trPr>
          <w:trHeight w:val="237"/>
        </w:trPr>
        <w:tc>
          <w:tcPr>
            <w:tcW w:w="3680" w:type="dxa"/>
            <w:vAlign w:val="bottom"/>
            <w:gridSpan w:val="2"/>
          </w:tcPr>
          <w:p>
            <w:pPr>
              <w:ind w:left="140"/>
              <w:spacing w:after="0"/>
              <w:rPr>
                <w:sz w:val="20"/>
                <w:szCs w:val="20"/>
                <w:color w:val="auto"/>
              </w:rPr>
            </w:pPr>
            <w:r>
              <w:rPr>
                <w:rFonts w:ascii="Arial" w:cs="Arial" w:eastAsia="Arial" w:hAnsi="Arial"/>
                <w:sz w:val="16"/>
                <w:szCs w:val="16"/>
                <w:color w:val="auto"/>
              </w:rPr>
              <w:t>Total net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324,792</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316,531</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922,254</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894,514</w:t>
            </w:r>
          </w:p>
        </w:tc>
      </w:tr>
      <w:tr>
        <w:trPr>
          <w:trHeight w:val="20"/>
        </w:trPr>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760" w:right="680" w:hanging="73"/>
        <w:spacing w:after="0" w:line="277" w:lineRule="auto"/>
        <w:tabs>
          <w:tab w:leader="none" w:pos="832"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The North America geographic area consists of net sales substantially related to the United States and there is no individual foreign country to which more than 10% of the Company’s net sales are attributed or that is otherwise deemed individually material.</w:t>
      </w:r>
    </w:p>
    <w:p>
      <w:pPr>
        <w:spacing w:after="0" w:line="380" w:lineRule="exact"/>
        <w:rPr>
          <w:sz w:val="20"/>
          <w:szCs w:val="20"/>
          <w:color w:val="auto"/>
        </w:rPr>
      </w:pPr>
    </w:p>
    <w:p>
      <w:pPr>
        <w:jc w:val="both"/>
        <w:ind w:firstLine="208"/>
        <w:spacing w:after="0" w:line="255" w:lineRule="auto"/>
        <w:rPr>
          <w:sz w:val="20"/>
          <w:szCs w:val="20"/>
          <w:color w:val="auto"/>
        </w:rPr>
      </w:pPr>
      <w:r>
        <w:rPr>
          <w:rFonts w:ascii="Arial" w:cs="Arial" w:eastAsia="Arial" w:hAnsi="Arial"/>
          <w:sz w:val="18"/>
          <w:szCs w:val="18"/>
          <w:color w:val="auto"/>
        </w:rPr>
        <w:t>Charges related to credit loss on accounts receivables from transactions with external customers were $0.2 million and $0.4 million for the thirteen and thirty-nine weeks ended May 27, 2023, respectively. Charges related to credit loss on accounts receivables from transactions with external customers were $0.2 million and $0.1 million for the thirteen and thirty-nine weeks ended May 28, 2022, respectively. As of May 27, 2023 and August 27, 2022, the allowances for doubtful accounts related to these accounts receivable were $1.8 million and $1.2 million, respectively. Additionally, as of May 27, 2023, the Company had an expected credit loss reserve of $1.0 million on a $3.0 million note receivable related to the Company’s sale of its SimplyProtein® brand and related assets during its fiscal year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Intangibles</w:t>
      </w:r>
    </w:p>
    <w:p>
      <w:pPr>
        <w:spacing w:after="0" w:line="256" w:lineRule="exact"/>
        <w:rPr>
          <w:sz w:val="20"/>
          <w:szCs w:val="20"/>
          <w:color w:val="auto"/>
        </w:rPr>
      </w:pPr>
    </w:p>
    <w:p>
      <w:pPr>
        <w:jc w:val="both"/>
        <w:ind w:firstLine="206"/>
        <w:spacing w:after="0" w:line="277" w:lineRule="auto"/>
        <w:rPr>
          <w:sz w:val="20"/>
          <w:szCs w:val="20"/>
          <w:color w:val="auto"/>
        </w:rPr>
      </w:pPr>
      <w:r>
        <w:rPr>
          <w:rFonts w:ascii="Arial" w:cs="Arial" w:eastAsia="Arial" w:hAnsi="Arial"/>
          <w:sz w:val="18"/>
          <w:szCs w:val="18"/>
          <w:color w:val="auto"/>
        </w:rPr>
        <w:t xml:space="preserve">As of May 27, 2023 and August 27, 2022,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in the Consolidated Balance Sheets was $543.1 million. There were no impairment charges related to goodwill during the thirteen and thirty-nine weeks ended May 27, 2023 or since the inception of the Company.</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Intangible assets, net </w:t>
      </w:r>
      <w:r>
        <w:rPr>
          <w:rFonts w:ascii="Arial" w:cs="Arial" w:eastAsia="Arial" w:hAnsi="Arial"/>
          <w:sz w:val="18"/>
          <w:szCs w:val="18"/>
          <w:color w:val="auto"/>
        </w:rPr>
        <w:t>in the Consolidated Balance Sheets consists of the following:</w:t>
      </w:r>
    </w:p>
    <w:p>
      <w:pPr>
        <w:spacing w:after="0" w:line="176" w:lineRule="exact"/>
        <w:rPr>
          <w:sz w:val="20"/>
          <w:szCs w:val="20"/>
          <w:color w:val="auto"/>
        </w:rPr>
      </w:pPr>
    </w:p>
    <w:tbl>
      <w:tblPr>
        <w:tblLayout w:type="fixed"/>
        <w:tblInd w:w="900" w:type="dxa"/>
        <w:tblCellMar>
          <w:top w:w="0" w:type="dxa"/>
          <w:left w:w="0" w:type="dxa"/>
          <w:bottom w:w="0" w:type="dxa"/>
          <w:right w:w="0" w:type="dxa"/>
        </w:tblCellMar>
      </w:tblPr>
      <w:tr>
        <w:trPr>
          <w:trHeight w:val="209"/>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4"/>
              </w:rPr>
              <w:t>May 27, 2023</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5"/>
            <w:vMerge w:val="restart"/>
          </w:tcPr>
          <w:p>
            <w:pPr>
              <w:jc w:val="center"/>
              <w:ind w:right="140"/>
              <w:spacing w:after="0"/>
              <w:rPr>
                <w:sz w:val="20"/>
                <w:szCs w:val="20"/>
                <w:color w:val="auto"/>
              </w:rPr>
            </w:pPr>
            <w:r>
              <w:rPr>
                <w:rFonts w:ascii="Arial" w:cs="Arial" w:eastAsia="Arial" w:hAnsi="Arial"/>
                <w:sz w:val="16"/>
                <w:szCs w:val="16"/>
                <w:color w:val="auto"/>
                <w:w w:val="96"/>
              </w:rPr>
              <w:t>Useful life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color w:val="auto"/>
                <w:w w:val="92"/>
              </w:rPr>
              <w:t>Gross carrying</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color w:val="auto"/>
                <w:w w:val="95"/>
              </w:rPr>
              <w:t>Accumulated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center"/>
              <w:ind w:right="139"/>
              <w:spacing w:after="0"/>
              <w:rPr>
                <w:sz w:val="20"/>
                <w:szCs w:val="20"/>
                <w:color w:val="auto"/>
              </w:rPr>
            </w:pPr>
            <w:r>
              <w:rPr>
                <w:rFonts w:ascii="Arial" w:cs="Arial" w:eastAsia="Arial" w:hAnsi="Arial"/>
                <w:sz w:val="16"/>
                <w:szCs w:val="16"/>
                <w:color w:val="auto"/>
                <w:w w:val="95"/>
              </w:rPr>
              <w:t>Net carrying</w:t>
            </w:r>
          </w:p>
        </w:tc>
        <w:tc>
          <w:tcPr>
            <w:tcW w:w="0" w:type="dxa"/>
            <w:vAlign w:val="bottom"/>
          </w:tcPr>
          <w:p>
            <w:pPr>
              <w:spacing w:after="0"/>
              <w:rPr>
                <w:sz w:val="1"/>
                <w:szCs w:val="1"/>
                <w:color w:val="auto"/>
              </w:rPr>
            </w:pPr>
          </w:p>
        </w:tc>
      </w:tr>
      <w:tr>
        <w:trPr>
          <w:trHeight w:val="213"/>
        </w:trPr>
        <w:tc>
          <w:tcPr>
            <w:tcW w:w="3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5"/>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color w:val="auto"/>
                <w:w w:val="89"/>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color w:val="auto"/>
                <w:w w:val="94"/>
              </w:rPr>
              <w:t>amortization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right="139"/>
              <w:spacing w:after="0"/>
              <w:rPr>
                <w:sz w:val="20"/>
                <w:szCs w:val="20"/>
                <w:color w:val="auto"/>
              </w:rPr>
            </w:pPr>
            <w:r>
              <w:rPr>
                <w:rFonts w:ascii="Arial" w:cs="Arial" w:eastAsia="Arial" w:hAnsi="Arial"/>
                <w:sz w:val="16"/>
                <w:szCs w:val="16"/>
                <w:color w:val="auto"/>
                <w:w w:val="93"/>
              </w:rPr>
              <w:t>amount</w:t>
            </w:r>
          </w:p>
        </w:tc>
        <w:tc>
          <w:tcPr>
            <w:tcW w:w="0" w:type="dxa"/>
            <w:vAlign w:val="bottom"/>
          </w:tcPr>
          <w:p>
            <w:pPr>
              <w:spacing w:after="0"/>
              <w:rPr>
                <w:sz w:val="1"/>
                <w:szCs w:val="1"/>
                <w:color w:val="auto"/>
              </w:rPr>
            </w:pPr>
          </w:p>
        </w:tc>
      </w:tr>
      <w:tr>
        <w:trPr>
          <w:trHeight w:val="253"/>
        </w:trPr>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Intangible assets with indefinite life:</w:t>
            </w: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420" w:type="dxa"/>
            <w:vAlign w:val="bottom"/>
          </w:tcPr>
          <w:p>
            <w:pPr>
              <w:ind w:left="20"/>
              <w:spacing w:after="0"/>
              <w:rPr>
                <w:sz w:val="20"/>
                <w:szCs w:val="20"/>
                <w:color w:val="auto"/>
              </w:rPr>
            </w:pPr>
            <w:r>
              <w:rPr>
                <w:rFonts w:ascii="Arial" w:cs="Arial" w:eastAsia="Arial" w:hAnsi="Arial"/>
                <w:sz w:val="16"/>
                <w:szCs w:val="16"/>
                <w:color w:val="auto"/>
              </w:rPr>
              <w:t>Brands and trademarks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gridSpan w:val="5"/>
          </w:tcPr>
          <w:p>
            <w:pPr>
              <w:jc w:val="center"/>
              <w:ind w:right="140"/>
              <w:spacing w:after="0"/>
              <w:rPr>
                <w:sz w:val="20"/>
                <w:szCs w:val="20"/>
                <w:color w:val="auto"/>
              </w:rPr>
            </w:pPr>
            <w:r>
              <w:rPr>
                <w:rFonts w:ascii="Arial" w:cs="Arial" w:eastAsia="Arial" w:hAnsi="Arial"/>
                <w:sz w:val="16"/>
                <w:szCs w:val="16"/>
                <w:color w:val="auto"/>
                <w:w w:val="97"/>
              </w:rPr>
              <w:t>Indefinite life</w:t>
            </w: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974,000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974,000</w:t>
            </w:r>
          </w:p>
        </w:tc>
        <w:tc>
          <w:tcPr>
            <w:tcW w:w="0" w:type="dxa"/>
            <w:vAlign w:val="bottom"/>
          </w:tcPr>
          <w:p>
            <w:pPr>
              <w:spacing w:after="0"/>
              <w:rPr>
                <w:sz w:val="1"/>
                <w:szCs w:val="1"/>
                <w:color w:val="auto"/>
              </w:rPr>
            </w:pPr>
          </w:p>
        </w:tc>
      </w:tr>
      <w:tr>
        <w:trPr>
          <w:trHeight w:val="273"/>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with finite lives:</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2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6"/>
                <w:szCs w:val="16"/>
                <w:color w:val="auto"/>
                <w:w w:val="91"/>
              </w:rPr>
              <w:t>15 years</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174,000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50,403</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123,597</w:t>
            </w:r>
          </w:p>
        </w:tc>
        <w:tc>
          <w:tcPr>
            <w:tcW w:w="0" w:type="dxa"/>
            <w:vAlign w:val="bottom"/>
          </w:tcPr>
          <w:p>
            <w:pPr>
              <w:spacing w:after="0"/>
              <w:rPr>
                <w:sz w:val="1"/>
                <w:szCs w:val="1"/>
                <w:color w:val="auto"/>
              </w:rPr>
            </w:pPr>
          </w:p>
        </w:tc>
      </w:tr>
      <w:tr>
        <w:trPr>
          <w:trHeight w:val="273"/>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Licensing agreements</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gridSpan w:val="4"/>
            <w:shd w:val="clear" w:color="auto" w:fill="CCEEFF"/>
          </w:tcPr>
          <w:p>
            <w:pPr>
              <w:jc w:val="center"/>
              <w:ind w:right="360"/>
              <w:spacing w:after="0"/>
              <w:rPr>
                <w:sz w:val="20"/>
                <w:szCs w:val="20"/>
                <w:color w:val="auto"/>
              </w:rPr>
            </w:pPr>
            <w:r>
              <w:rPr>
                <w:rFonts w:ascii="Arial" w:cs="Arial" w:eastAsia="Arial" w:hAnsi="Arial"/>
                <w:sz w:val="16"/>
                <w:szCs w:val="16"/>
                <w:color w:val="auto"/>
                <w:w w:val="91"/>
              </w:rPr>
              <w:t>13 years</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10,019</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11,981</w:t>
            </w:r>
          </w:p>
        </w:tc>
        <w:tc>
          <w:tcPr>
            <w:tcW w:w="0" w:type="dxa"/>
            <w:vAlign w:val="bottom"/>
          </w:tcPr>
          <w:p>
            <w:pPr>
              <w:spacing w:after="0"/>
              <w:rPr>
                <w:sz w:val="1"/>
                <w:szCs w:val="1"/>
                <w:color w:val="auto"/>
              </w:rPr>
            </w:pPr>
          </w:p>
        </w:tc>
      </w:tr>
      <w:tr>
        <w:trPr>
          <w:trHeight w:val="267"/>
        </w:trPr>
        <w:tc>
          <w:tcPr>
            <w:tcW w:w="3420" w:type="dxa"/>
            <w:vAlign w:val="bottom"/>
          </w:tcPr>
          <w:p>
            <w:pPr>
              <w:ind w:left="20"/>
              <w:spacing w:after="0"/>
              <w:rPr>
                <w:sz w:val="20"/>
                <w:szCs w:val="20"/>
                <w:color w:val="auto"/>
              </w:rPr>
            </w:pPr>
            <w:r>
              <w:rPr>
                <w:rFonts w:ascii="Arial" w:cs="Arial" w:eastAsia="Arial" w:hAnsi="Arial"/>
                <w:sz w:val="16"/>
                <w:szCs w:val="16"/>
                <w:color w:val="auto"/>
              </w:rPr>
              <w:t>Proprietary recipes and formulas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6"/>
                <w:szCs w:val="16"/>
                <w:color w:val="auto"/>
                <w:w w:val="91"/>
              </w:rPr>
              <w:t>7 years</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5,881</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73"/>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website development costs</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5 years</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6,022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5,068</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67"/>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assets in progress</w:t>
            </w:r>
          </w:p>
        </w:tc>
        <w:tc>
          <w:tcPr>
            <w:tcW w:w="36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3"/>
          </w:tcPr>
          <w:p>
            <w:pPr>
              <w:ind w:left="60"/>
              <w:spacing w:after="0"/>
              <w:rPr>
                <w:sz w:val="20"/>
                <w:szCs w:val="20"/>
                <w:color w:val="auto"/>
              </w:rPr>
            </w:pPr>
            <w:r>
              <w:rPr>
                <w:rFonts w:ascii="Arial" w:cs="Arial" w:eastAsia="Arial" w:hAnsi="Arial"/>
                <w:sz w:val="16"/>
                <w:szCs w:val="16"/>
                <w:color w:val="auto"/>
              </w:rPr>
              <w:t>5 years</w:t>
            </w: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214</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1,183,236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71,371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1,111,865</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2"/>
              </w:rPr>
              <w:t>August 27, 2022</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4"/>
            <w:vMerge w:val="restart"/>
          </w:tcPr>
          <w:p>
            <w:pPr>
              <w:jc w:val="center"/>
              <w:ind w:right="340"/>
              <w:spacing w:after="0"/>
              <w:rPr>
                <w:sz w:val="20"/>
                <w:szCs w:val="20"/>
                <w:color w:val="auto"/>
              </w:rPr>
            </w:pPr>
            <w:r>
              <w:rPr>
                <w:rFonts w:ascii="Arial" w:cs="Arial" w:eastAsia="Arial" w:hAnsi="Arial"/>
                <w:sz w:val="16"/>
                <w:szCs w:val="16"/>
                <w:color w:val="auto"/>
                <w:w w:val="99"/>
              </w:rPr>
              <w:t>Useful life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color w:val="auto"/>
                <w:w w:val="92"/>
              </w:rPr>
              <w:t>Gross carrying</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color w:val="auto"/>
                <w:w w:val="95"/>
              </w:rPr>
              <w:t>Accumulated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39"/>
              <w:spacing w:after="0"/>
              <w:rPr>
                <w:sz w:val="20"/>
                <w:szCs w:val="20"/>
                <w:color w:val="auto"/>
              </w:rPr>
            </w:pPr>
            <w:r>
              <w:rPr>
                <w:rFonts w:ascii="Arial" w:cs="Arial" w:eastAsia="Arial" w:hAnsi="Arial"/>
                <w:sz w:val="16"/>
                <w:szCs w:val="16"/>
                <w:color w:val="auto"/>
                <w:w w:val="95"/>
              </w:rPr>
              <w:t>Net carrying</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color w:val="auto"/>
                <w:w w:val="93"/>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color w:val="auto"/>
                <w:w w:val="94"/>
              </w:rPr>
              <w:t>amortization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right="139"/>
              <w:spacing w:after="0"/>
              <w:rPr>
                <w:sz w:val="20"/>
                <w:szCs w:val="20"/>
                <w:color w:val="auto"/>
              </w:rPr>
            </w:pPr>
            <w:r>
              <w:rPr>
                <w:rFonts w:ascii="Arial" w:cs="Arial" w:eastAsia="Arial" w:hAnsi="Arial"/>
                <w:sz w:val="16"/>
                <w:szCs w:val="16"/>
                <w:color w:val="auto"/>
                <w:w w:val="93"/>
              </w:rPr>
              <w:t>amount</w:t>
            </w:r>
          </w:p>
        </w:tc>
        <w:tc>
          <w:tcPr>
            <w:tcW w:w="0" w:type="dxa"/>
            <w:vAlign w:val="bottom"/>
          </w:tcPr>
          <w:p>
            <w:pPr>
              <w:spacing w:after="0"/>
              <w:rPr>
                <w:sz w:val="1"/>
                <w:szCs w:val="1"/>
                <w:color w:val="auto"/>
              </w:rPr>
            </w:pPr>
          </w:p>
        </w:tc>
      </w:tr>
      <w:tr>
        <w:trPr>
          <w:trHeight w:val="253"/>
        </w:trPr>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Intangible assets with indefinite life:</w:t>
            </w: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420" w:type="dxa"/>
            <w:vAlign w:val="bottom"/>
          </w:tcPr>
          <w:p>
            <w:pPr>
              <w:ind w:left="120"/>
              <w:spacing w:after="0"/>
              <w:rPr>
                <w:sz w:val="20"/>
                <w:szCs w:val="20"/>
                <w:color w:val="auto"/>
              </w:rPr>
            </w:pPr>
            <w:r>
              <w:rPr>
                <w:rFonts w:ascii="Arial" w:cs="Arial" w:eastAsia="Arial" w:hAnsi="Arial"/>
                <w:sz w:val="16"/>
                <w:szCs w:val="16"/>
                <w:color w:val="auto"/>
              </w:rPr>
              <w:t>Brands and trademarks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6"/>
                <w:szCs w:val="16"/>
                <w:color w:val="auto"/>
              </w:rPr>
              <w:t>Indefinite life</w:t>
            </w: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974,000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974,000</w:t>
            </w:r>
          </w:p>
        </w:tc>
        <w:tc>
          <w:tcPr>
            <w:tcW w:w="0" w:type="dxa"/>
            <w:vAlign w:val="bottom"/>
          </w:tcPr>
          <w:p>
            <w:pPr>
              <w:spacing w:after="0"/>
              <w:rPr>
                <w:sz w:val="1"/>
                <w:szCs w:val="1"/>
                <w:color w:val="auto"/>
              </w:rPr>
            </w:pPr>
          </w:p>
        </w:tc>
      </w:tr>
      <w:tr>
        <w:trPr>
          <w:trHeight w:val="273"/>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with finite lives:</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20" w:type="dxa"/>
            <w:vAlign w:val="bottom"/>
          </w:tcPr>
          <w:p>
            <w:pPr>
              <w:ind w:left="120"/>
              <w:spacing w:after="0"/>
              <w:rPr>
                <w:sz w:val="20"/>
                <w:szCs w:val="20"/>
                <w:color w:val="auto"/>
              </w:rPr>
            </w:pPr>
            <w:r>
              <w:rPr>
                <w:rFonts w:ascii="Arial" w:cs="Arial" w:eastAsia="Arial" w:hAnsi="Arial"/>
                <w:sz w:val="16"/>
                <w:szCs w:val="16"/>
                <w:color w:val="auto"/>
              </w:rPr>
              <w:t>Customer relationships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4"/>
          </w:tcPr>
          <w:p>
            <w:pPr>
              <w:jc w:val="center"/>
              <w:ind w:right="340"/>
              <w:spacing w:after="0"/>
              <w:rPr>
                <w:sz w:val="20"/>
                <w:szCs w:val="20"/>
                <w:color w:val="auto"/>
              </w:rPr>
            </w:pPr>
            <w:r>
              <w:rPr>
                <w:rFonts w:ascii="Arial" w:cs="Arial" w:eastAsia="Arial" w:hAnsi="Arial"/>
                <w:sz w:val="16"/>
                <w:szCs w:val="16"/>
                <w:color w:val="auto"/>
                <w:w w:val="87"/>
              </w:rPr>
              <w:t>15 years</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174,000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41,703</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132,297</w:t>
            </w:r>
          </w:p>
        </w:tc>
        <w:tc>
          <w:tcPr>
            <w:tcW w:w="0" w:type="dxa"/>
            <w:vAlign w:val="bottom"/>
          </w:tcPr>
          <w:p>
            <w:pPr>
              <w:spacing w:after="0"/>
              <w:rPr>
                <w:sz w:val="1"/>
                <w:szCs w:val="1"/>
                <w:color w:val="auto"/>
              </w:rPr>
            </w:pPr>
          </w:p>
        </w:tc>
      </w:tr>
      <w:tr>
        <w:trPr>
          <w:trHeight w:val="273"/>
        </w:trPr>
        <w:tc>
          <w:tcPr>
            <w:tcW w:w="3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Licensing agreements</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gridSpan w:val="4"/>
            <w:shd w:val="clear" w:color="auto" w:fill="CCEEFF"/>
          </w:tcPr>
          <w:p>
            <w:pPr>
              <w:jc w:val="center"/>
              <w:ind w:right="340"/>
              <w:spacing w:after="0"/>
              <w:rPr>
                <w:sz w:val="20"/>
                <w:szCs w:val="20"/>
                <w:color w:val="auto"/>
              </w:rPr>
            </w:pPr>
            <w:r>
              <w:rPr>
                <w:rFonts w:ascii="Arial" w:cs="Arial" w:eastAsia="Arial" w:hAnsi="Arial"/>
                <w:sz w:val="16"/>
                <w:szCs w:val="16"/>
                <w:color w:val="auto"/>
                <w:w w:val="87"/>
              </w:rPr>
              <w:t>13 years</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8,581</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13,419</w:t>
            </w:r>
          </w:p>
        </w:tc>
        <w:tc>
          <w:tcPr>
            <w:tcW w:w="0" w:type="dxa"/>
            <w:vAlign w:val="bottom"/>
          </w:tcPr>
          <w:p>
            <w:pPr>
              <w:spacing w:after="0"/>
              <w:rPr>
                <w:sz w:val="1"/>
                <w:szCs w:val="1"/>
                <w:color w:val="auto"/>
              </w:rPr>
            </w:pPr>
          </w:p>
        </w:tc>
      </w:tr>
      <w:tr>
        <w:trPr>
          <w:trHeight w:val="267"/>
        </w:trPr>
        <w:tc>
          <w:tcPr>
            <w:tcW w:w="3420" w:type="dxa"/>
            <w:vAlign w:val="bottom"/>
          </w:tcPr>
          <w:p>
            <w:pPr>
              <w:ind w:left="120"/>
              <w:spacing w:after="0"/>
              <w:rPr>
                <w:sz w:val="20"/>
                <w:szCs w:val="20"/>
                <w:color w:val="auto"/>
              </w:rPr>
            </w:pPr>
            <w:r>
              <w:rPr>
                <w:rFonts w:ascii="Arial" w:cs="Arial" w:eastAsia="Arial" w:hAnsi="Arial"/>
                <w:sz w:val="16"/>
                <w:szCs w:val="16"/>
                <w:color w:val="auto"/>
              </w:rPr>
              <w:t>Proprietary recipes and formulas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4"/>
          </w:tcPr>
          <w:p>
            <w:pPr>
              <w:jc w:val="center"/>
              <w:ind w:right="340"/>
              <w:spacing w:after="0"/>
              <w:rPr>
                <w:sz w:val="20"/>
                <w:szCs w:val="20"/>
                <w:color w:val="auto"/>
              </w:rPr>
            </w:pPr>
            <w:r>
              <w:rPr>
                <w:rFonts w:ascii="Arial" w:cs="Arial" w:eastAsia="Arial" w:hAnsi="Arial"/>
                <w:sz w:val="16"/>
                <w:szCs w:val="16"/>
                <w:color w:val="auto"/>
                <w:w w:val="87"/>
              </w:rPr>
              <w:t>7 years</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5,131</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1,869</w:t>
            </w:r>
          </w:p>
        </w:tc>
        <w:tc>
          <w:tcPr>
            <w:tcW w:w="0" w:type="dxa"/>
            <w:vAlign w:val="bottom"/>
          </w:tcPr>
          <w:p>
            <w:pPr>
              <w:spacing w:after="0"/>
              <w:rPr>
                <w:sz w:val="1"/>
                <w:szCs w:val="1"/>
                <w:color w:val="auto"/>
              </w:rPr>
            </w:pPr>
          </w:p>
        </w:tc>
      </w:tr>
      <w:tr>
        <w:trPr>
          <w:trHeight w:val="270"/>
        </w:trPr>
        <w:tc>
          <w:tcPr>
            <w:tcW w:w="3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Software and website development costs</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5 years</w:t>
            </w:r>
          </w:p>
        </w:tc>
        <w:tc>
          <w:tcPr>
            <w:tcW w:w="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5,863</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4,190</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1,182,863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59,605</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1,123,258</w:t>
            </w: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340"/>
        <w:spacing w:after="0" w:line="279" w:lineRule="auto"/>
        <w:rPr>
          <w:sz w:val="20"/>
          <w:szCs w:val="20"/>
          <w:color w:val="auto"/>
        </w:rPr>
      </w:pPr>
      <w:r>
        <w:rPr>
          <w:rFonts w:ascii="Arial" w:cs="Arial" w:eastAsia="Arial" w:hAnsi="Arial"/>
          <w:sz w:val="17"/>
          <w:szCs w:val="17"/>
          <w:color w:val="auto"/>
        </w:rPr>
        <w:t xml:space="preserve">Changes in </w:t>
      </w:r>
      <w:r>
        <w:rPr>
          <w:rFonts w:ascii="Arial" w:cs="Arial" w:eastAsia="Arial" w:hAnsi="Arial"/>
          <w:sz w:val="17"/>
          <w:szCs w:val="17"/>
          <w:i w:val="1"/>
          <w:iCs w:val="1"/>
          <w:color w:val="auto"/>
        </w:rPr>
        <w:t>Intangible assets, net</w:t>
      </w:r>
      <w:r>
        <w:rPr>
          <w:rFonts w:ascii="Arial" w:cs="Arial" w:eastAsia="Arial" w:hAnsi="Arial"/>
          <w:sz w:val="17"/>
          <w:szCs w:val="17"/>
          <w:color w:val="auto"/>
        </w:rPr>
        <w:t xml:space="preserve"> during the thirty-nine weeks ended May 27, 2023 were primarily related to recurring amortization expense. Amortization expense related to intangible assets was $3.9 million and $4.0 million for the thirteen weeks ended May 27, 2023 and May 28, 2022, respectively, and $11.8 million and $11.9 million for the thirty-nine weeks ended May 27, 2023 and May 28, 2022, respectively. There were no impairment charges related to intangible assets during the thirteen and thirty-nine weeks ended May 27, 2023 and May 28, 2022.</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Estimated future amortization for each of the next five fiscal years and thereafter is as follows:</w:t>
      </w:r>
    </w:p>
    <w:p>
      <w:pPr>
        <w:spacing w:after="0" w:line="324" w:lineRule="exact"/>
        <w:rPr>
          <w:sz w:val="20"/>
          <w:szCs w:val="20"/>
          <w:color w:val="auto"/>
        </w:rPr>
      </w:pPr>
    </w:p>
    <w:tbl>
      <w:tblPr>
        <w:tblLayout w:type="fixed"/>
        <w:tblInd w:w="2940" w:type="dxa"/>
        <w:tblCellMar>
          <w:top w:w="0" w:type="dxa"/>
          <w:left w:w="0" w:type="dxa"/>
          <w:bottom w:w="0" w:type="dxa"/>
          <w:right w:w="0" w:type="dxa"/>
        </w:tblCellMar>
      </w:tblPr>
      <w:tr>
        <w:trPr>
          <w:trHeight w:val="209"/>
        </w:trPr>
        <w:tc>
          <w:tcPr>
            <w:tcW w:w="37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Amortization</w:t>
            </w:r>
          </w:p>
        </w:tc>
      </w:tr>
      <w:tr>
        <w:trPr>
          <w:trHeight w:val="266"/>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Remainder of 2023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3,867</w:t>
            </w:r>
          </w:p>
        </w:tc>
      </w:tr>
      <w:tr>
        <w:trPr>
          <w:trHeight w:val="267"/>
        </w:trPr>
        <w:tc>
          <w:tcPr>
            <w:tcW w:w="3720" w:type="dxa"/>
            <w:vAlign w:val="bottom"/>
          </w:tcPr>
          <w:p>
            <w:pPr>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14,846</w:t>
            </w:r>
          </w:p>
        </w:tc>
      </w:tr>
      <w:tr>
        <w:trPr>
          <w:trHeight w:val="27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13,554</w:t>
            </w:r>
          </w:p>
        </w:tc>
      </w:tr>
      <w:tr>
        <w:trPr>
          <w:trHeight w:val="267"/>
        </w:trPr>
        <w:tc>
          <w:tcPr>
            <w:tcW w:w="3720" w:type="dxa"/>
            <w:vAlign w:val="bottom"/>
          </w:tcPr>
          <w:p>
            <w:pPr>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13,517</w:t>
            </w:r>
          </w:p>
        </w:tc>
      </w:tr>
      <w:tr>
        <w:trPr>
          <w:trHeight w:val="27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13,517</w:t>
            </w:r>
          </w:p>
        </w:tc>
      </w:tr>
      <w:tr>
        <w:trPr>
          <w:trHeight w:val="256"/>
        </w:trPr>
        <w:tc>
          <w:tcPr>
            <w:tcW w:w="3720" w:type="dxa"/>
            <w:vAlign w:val="bottom"/>
          </w:tcPr>
          <w:p>
            <w:pPr>
              <w:spacing w:after="0"/>
              <w:rPr>
                <w:sz w:val="20"/>
                <w:szCs w:val="20"/>
                <w:color w:val="auto"/>
              </w:rPr>
            </w:pPr>
            <w:r>
              <w:rPr>
                <w:rFonts w:ascii="Arial" w:cs="Arial" w:eastAsia="Arial" w:hAnsi="Arial"/>
                <w:sz w:val="16"/>
                <w:szCs w:val="16"/>
                <w:color w:val="auto"/>
              </w:rPr>
              <w:t>2028 and thereafter</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78,350</w:t>
            </w:r>
          </w:p>
        </w:tc>
      </w:tr>
      <w:tr>
        <w:trPr>
          <w:trHeight w:val="256"/>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137,651</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Long-Term Debt and Line of Credit</w:t>
      </w:r>
    </w:p>
    <w:p>
      <w:pPr>
        <w:spacing w:after="0" w:line="256" w:lineRule="exact"/>
        <w:rPr>
          <w:sz w:val="20"/>
          <w:szCs w:val="20"/>
          <w:color w:val="auto"/>
        </w:rPr>
      </w:pPr>
    </w:p>
    <w:p>
      <w:pPr>
        <w:jc w:val="both"/>
        <w:ind w:firstLine="192"/>
        <w:spacing w:after="0" w:line="257" w:lineRule="auto"/>
        <w:rPr>
          <w:sz w:val="20"/>
          <w:szCs w:val="20"/>
          <w:color w:val="auto"/>
        </w:rPr>
      </w:pPr>
      <w:r>
        <w:rPr>
          <w:rFonts w:ascii="Arial" w:cs="Arial" w:eastAsia="Arial" w:hAnsi="Arial"/>
          <w:sz w:val="18"/>
          <w:szCs w:val="18"/>
          <w:color w:val="auto"/>
        </w:rPr>
        <w:t>On July 7, 2017, the Company (through certain of its subsidiaries) entered into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5" w:lineRule="exact"/>
        <w:rPr>
          <w:sz w:val="20"/>
          <w:szCs w:val="20"/>
          <w:color w:val="auto"/>
        </w:rPr>
      </w:pPr>
    </w:p>
    <w:p>
      <w:pPr>
        <w:jc w:val="both"/>
        <w:ind w:firstLine="197"/>
        <w:spacing w:after="0" w:line="301" w:lineRule="auto"/>
        <w:rPr>
          <w:sz w:val="20"/>
          <w:szCs w:val="20"/>
          <w:color w:val="auto"/>
        </w:rPr>
      </w:pPr>
      <w:r>
        <w:rPr>
          <w:rFonts w:ascii="Arial" w:cs="Arial" w:eastAsia="Arial" w:hAnsi="Arial"/>
          <w:sz w:val="16"/>
          <w:szCs w:val="16"/>
          <w:color w:val="auto"/>
        </w:rPr>
        <w:t>On November 7, 2019, the Company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184" w:lineRule="exact"/>
        <w:rPr>
          <w:sz w:val="20"/>
          <w:szCs w:val="20"/>
          <w:color w:val="auto"/>
        </w:rPr>
      </w:pPr>
    </w:p>
    <w:p>
      <w:pPr>
        <w:jc w:val="both"/>
        <w:ind w:firstLine="189"/>
        <w:spacing w:after="0" w:line="311" w:lineRule="auto"/>
        <w:rPr>
          <w:sz w:val="20"/>
          <w:szCs w:val="20"/>
          <w:color w:val="auto"/>
        </w:rPr>
      </w:pPr>
      <w:r>
        <w:rPr>
          <w:rFonts w:ascii="Arial" w:cs="Arial" w:eastAsia="Arial" w:hAnsi="Arial"/>
          <w:sz w:val="16"/>
          <w:szCs w:val="16"/>
          <w:color w:val="auto"/>
        </w:rPr>
        <w:t>Effective as of December 16, 2021, the Company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176" w:lineRule="exact"/>
        <w:rPr>
          <w:sz w:val="20"/>
          <w:szCs w:val="20"/>
          <w:color w:val="auto"/>
        </w:rPr>
      </w:pPr>
    </w:p>
    <w:p>
      <w:pPr>
        <w:jc w:val="both"/>
        <w:ind w:firstLine="227"/>
        <w:spacing w:after="0" w:line="257" w:lineRule="auto"/>
        <w:rPr>
          <w:sz w:val="20"/>
          <w:szCs w:val="20"/>
          <w:color w:val="auto"/>
        </w:rPr>
      </w:pPr>
      <w:r>
        <w:rPr>
          <w:rFonts w:ascii="Arial" w:cs="Arial" w:eastAsia="Arial" w:hAnsi="Arial"/>
          <w:sz w:val="18"/>
          <w:szCs w:val="18"/>
          <w:color w:val="auto"/>
        </w:rPr>
        <w:t>On January 21, 2022, the Company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0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19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 2023 Repricing Amendment did not change the interest rate on the Revolving Credit Facility, which continues to bear interest based upon the Company’s consolidated net leverage ratio as of the end of the fiscal quarter for which consolidated financial statements are delivered to the Administrative Agent under the Credit Agreement. No additional debt was incurred, or any proceeds received by the Company in connection with the 2023 Repricing Amendment. No amounts under the Term Facility were repaid as a result of the execution of the 2023 Repricing Amendment.</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Effective as of the 2023 Repricing Amendment, the interest rate per annum for the Initial Term Loans is based on either:</w:t>
      </w:r>
    </w:p>
    <w:p>
      <w:pPr>
        <w:spacing w:after="0" w:line="104" w:lineRule="exact"/>
        <w:rPr>
          <w:sz w:val="20"/>
          <w:szCs w:val="20"/>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base rate equaling the higher of (a) the “prime rate,” (b) the federal funds effective rate plus 0.50%, or (c) the Adjusted Term SOFR Rate (as defined in the Credit Agreement) applicable for an interest period of one month plus 1.00% plus (x) 1.50% margin for the Term Loan or (y) 2.00% margin for the Revolving Credit Facility; or</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SOFR plus a credit spread adjustment equal to 0.10% for one-month SOFR, 0.15% for up to three-month SOFR and 0.25% for up to six-month SOFR, subject to a floor of 0.50%, plus (x) 2.50% margin for the Term Loan or (y) 3.00% margin for the Revolving Credit Facility.</w:t>
      </w:r>
    </w:p>
    <w:p>
      <w:pPr>
        <w:spacing w:after="0" w:line="160" w:lineRule="exact"/>
        <w:rPr>
          <w:sz w:val="20"/>
          <w:szCs w:val="20"/>
          <w:color w:val="auto"/>
        </w:rPr>
      </w:pPr>
    </w:p>
    <w:p>
      <w:pPr>
        <w:ind w:right="740" w:firstLine="648"/>
        <w:spacing w:after="0" w:line="261" w:lineRule="auto"/>
        <w:rPr>
          <w:sz w:val="20"/>
          <w:szCs w:val="20"/>
          <w:color w:val="auto"/>
        </w:rPr>
      </w:pPr>
      <w:r>
        <w:rPr>
          <w:rFonts w:ascii="Arial" w:cs="Arial" w:eastAsia="Arial" w:hAnsi="Arial"/>
          <w:sz w:val="18"/>
          <w:szCs w:val="18"/>
          <w:color w:val="auto"/>
        </w:rPr>
        <w:t>In connection with the closing of the 2023 Repricing Amendment, the Company expensed $2.4 million primarily for third-party fees and capitalized an additional $2.7 million primarily for the payment of upfront lender fees (original issue discount).</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05" w:lineRule="exact"/>
        <w:rPr>
          <w:sz w:val="20"/>
          <w:szCs w:val="20"/>
          <w:color w:val="auto"/>
        </w:rPr>
      </w:pPr>
    </w:p>
    <w:p>
      <w:pPr>
        <w:jc w:val="both"/>
        <w:ind w:firstLine="245"/>
        <w:spacing w:after="0" w:line="257" w:lineRule="auto"/>
        <w:rPr>
          <w:sz w:val="20"/>
          <w:szCs w:val="20"/>
          <w:color w:val="auto"/>
        </w:rPr>
      </w:pPr>
      <w:r>
        <w:rPr>
          <w:rFonts w:ascii="Arial" w:cs="Arial" w:eastAsia="Arial" w:hAnsi="Arial"/>
          <w:sz w:val="18"/>
          <w:szCs w:val="18"/>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extensions in excess of 30% of the total amount of commitments available under the Revolving Credit Facility. Any failure to comply with the restrictions of the credit facilities may result in an event of default. The Company was in compliance with all covenants as of May 27, 2023 and August 27, 2022, respectively.</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Long-term debt consists of the following:</w:t>
      </w:r>
    </w:p>
    <w:p>
      <w:pPr>
        <w:spacing w:after="0" w:line="149" w:lineRule="exact"/>
        <w:rPr>
          <w:sz w:val="20"/>
          <w:szCs w:val="20"/>
          <w:color w:val="auto"/>
        </w:rPr>
      </w:pPr>
    </w:p>
    <w:tbl>
      <w:tblPr>
        <w:tblLayout w:type="fixed"/>
        <w:tblInd w:w="2180" w:type="dxa"/>
        <w:tblCellMar>
          <w:top w:w="0" w:type="dxa"/>
          <w:left w:w="0" w:type="dxa"/>
          <w:bottom w:w="0" w:type="dxa"/>
          <w:right w:w="0" w:type="dxa"/>
        </w:tblCellMar>
      </w:tblPr>
      <w:tr>
        <w:trPr>
          <w:trHeight w:val="209"/>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May 27, 2023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27, 2022</w:t>
            </w:r>
          </w:p>
        </w:tc>
        <w:tc>
          <w:tcPr>
            <w:tcW w:w="0" w:type="dxa"/>
            <w:vAlign w:val="bottom"/>
          </w:tcPr>
          <w:p>
            <w:pPr>
              <w:spacing w:after="0"/>
              <w:rPr>
                <w:sz w:val="1"/>
                <w:szCs w:val="1"/>
                <w:color w:val="auto"/>
              </w:rPr>
            </w:pPr>
          </w:p>
        </w:tc>
      </w:tr>
      <w:tr>
        <w:trPr>
          <w:trHeight w:val="162"/>
        </w:trPr>
        <w:tc>
          <w:tcPr>
            <w:tcW w:w="36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Term Facility (effective rate of 7.7% at May 27,</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325,000</w:t>
            </w:r>
          </w:p>
        </w:tc>
        <w:tc>
          <w:tcPr>
            <w:tcW w:w="3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406,500</w:t>
            </w: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2023)</w:t>
            </w:r>
          </w:p>
        </w:tc>
        <w:tc>
          <w:tcPr>
            <w:tcW w:w="320" w:type="dxa"/>
            <w:vAlign w:val="bottom"/>
            <w:gridSpan w:val="2"/>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640" w:type="dxa"/>
            <w:vAlign w:val="bottom"/>
          </w:tcPr>
          <w:p>
            <w:pPr>
              <w:ind w:left="20"/>
              <w:spacing w:after="0" w:line="166" w:lineRule="exact"/>
              <w:rPr>
                <w:sz w:val="20"/>
                <w:szCs w:val="20"/>
                <w:color w:val="auto"/>
              </w:rPr>
            </w:pPr>
            <w:r>
              <w:rPr>
                <w:rFonts w:ascii="Arial" w:cs="Arial" w:eastAsia="Arial" w:hAnsi="Arial"/>
                <w:sz w:val="16"/>
                <w:szCs w:val="16"/>
                <w:color w:val="auto"/>
              </w:rPr>
              <w:t>Finance lease liabilities (effective rate of 5.6% at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202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19"/>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9"/>
        </w:trPr>
        <w:tc>
          <w:tcPr>
            <w:tcW w:w="3640" w:type="dxa"/>
            <w:vAlign w:val="bottom"/>
          </w:tcPr>
          <w:p>
            <w:pPr>
              <w:ind w:left="180"/>
              <w:spacing w:after="0"/>
              <w:rPr>
                <w:sz w:val="20"/>
                <w:szCs w:val="20"/>
                <w:color w:val="auto"/>
              </w:rPr>
            </w:pPr>
            <w:r>
              <w:rPr>
                <w:rFonts w:ascii="Arial" w:cs="Arial" w:eastAsia="Arial" w:hAnsi="Arial"/>
                <w:sz w:val="16"/>
                <w:szCs w:val="16"/>
                <w:color w:val="auto"/>
              </w:rPr>
              <w:t>May 27, 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Deferred financing fees</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4,103</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3,620</w:t>
            </w:r>
          </w:p>
        </w:tc>
        <w:tc>
          <w:tcPr>
            <w:tcW w:w="0" w:type="dxa"/>
            <w:vAlign w:val="bottom"/>
          </w:tcPr>
          <w:p>
            <w:pPr>
              <w:spacing w:after="0"/>
              <w:rPr>
                <w:sz w:val="1"/>
                <w:szCs w:val="1"/>
                <w:color w:val="auto"/>
              </w:rPr>
            </w:pPr>
          </w:p>
        </w:tc>
      </w:tr>
      <w:tr>
        <w:trPr>
          <w:trHeight w:val="207"/>
        </w:trPr>
        <w:tc>
          <w:tcPr>
            <w:tcW w:w="364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321,099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403,286</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finance lease liabilities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3"/>
        </w:trPr>
        <w:tc>
          <w:tcPr>
            <w:tcW w:w="3640" w:type="dxa"/>
            <w:vAlign w:val="bottom"/>
          </w:tcPr>
          <w:p>
            <w:pPr>
              <w:ind w:left="20"/>
              <w:spacing w:after="0"/>
              <w:rPr>
                <w:sz w:val="20"/>
                <w:szCs w:val="20"/>
                <w:color w:val="auto"/>
              </w:rPr>
            </w:pPr>
            <w:r>
              <w:rPr>
                <w:rFonts w:ascii="Arial" w:cs="Arial" w:eastAsia="Arial" w:hAnsi="Arial"/>
                <w:sz w:val="16"/>
                <w:szCs w:val="16"/>
                <w:color w:val="auto"/>
              </w:rPr>
              <w:t>Long-term debt, net of deferred financing fees</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320,900</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403,022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218"/>
        <w:spacing w:after="0" w:line="277" w:lineRule="auto"/>
        <w:rPr>
          <w:sz w:val="20"/>
          <w:szCs w:val="20"/>
          <w:color w:val="auto"/>
        </w:rPr>
      </w:pPr>
      <w:r>
        <w:rPr>
          <w:rFonts w:ascii="Arial" w:cs="Arial" w:eastAsia="Arial" w:hAnsi="Arial"/>
          <w:sz w:val="18"/>
          <w:szCs w:val="18"/>
          <w:color w:val="auto"/>
        </w:rPr>
        <w:t>The Company is not required to make principal payments on the Term Facility over the twelve months following the period ended May 27, 2023. The outstanding balance of the Term Facility is due upon its maturity in March 2027.</w:t>
      </w:r>
    </w:p>
    <w:p>
      <w:pPr>
        <w:spacing w:after="0" w:line="184" w:lineRule="exact"/>
        <w:rPr>
          <w:sz w:val="20"/>
          <w:szCs w:val="20"/>
          <w:color w:val="auto"/>
        </w:rPr>
      </w:pPr>
    </w:p>
    <w:p>
      <w:pPr>
        <w:jc w:val="both"/>
        <w:ind w:firstLine="199"/>
        <w:spacing w:after="0" w:line="248" w:lineRule="auto"/>
        <w:rPr>
          <w:sz w:val="20"/>
          <w:szCs w:val="20"/>
          <w:color w:val="auto"/>
        </w:rPr>
      </w:pPr>
      <w:r>
        <w:rPr>
          <w:rFonts w:ascii="Arial" w:cs="Arial" w:eastAsia="Arial" w:hAnsi="Arial"/>
          <w:sz w:val="18"/>
          <w:szCs w:val="18"/>
          <w:color w:val="auto"/>
        </w:rPr>
        <w:t>As of May 27, 2023, the Company had letters of credit in the amount of $3.5 million outstanding. These letters of credit offset against the $75.0 million availability of the Revolving Credit Facility and exist to support three of the Company’s leased buildings and insurance programs relating to workers’ compensation. No amounts were drawn against these letters of credit at May 27, 2023.</w:t>
      </w:r>
    </w:p>
    <w:p>
      <w:pPr>
        <w:spacing w:after="0" w:line="222" w:lineRule="exact"/>
        <w:rPr>
          <w:sz w:val="20"/>
          <w:szCs w:val="20"/>
          <w:color w:val="auto"/>
        </w:rPr>
      </w:pPr>
    </w:p>
    <w:p>
      <w:pPr>
        <w:jc w:val="both"/>
        <w:ind w:firstLine="273"/>
        <w:spacing w:after="0" w:line="279" w:lineRule="auto"/>
        <w:rPr>
          <w:sz w:val="20"/>
          <w:szCs w:val="20"/>
          <w:color w:val="auto"/>
        </w:rPr>
      </w:pPr>
      <w:r>
        <w:rPr>
          <w:rFonts w:ascii="Arial" w:cs="Arial" w:eastAsia="Arial" w:hAnsi="Arial"/>
          <w:sz w:val="17"/>
          <w:szCs w:val="17"/>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May 27, 2023 and August 27, 2022, the book value of the Company’s debt approximated fair value. The estimated fair value of the Term Loan is valued based on observable inputs and classified as Level 2 in the fair value hierarchy.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256" w:lineRule="exact"/>
        <w:rPr>
          <w:sz w:val="20"/>
          <w:szCs w:val="20"/>
          <w:color w:val="auto"/>
        </w:rPr>
      </w:pPr>
    </w:p>
    <w:p>
      <w:pPr>
        <w:jc w:val="both"/>
        <w:ind w:firstLine="182"/>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quoted prices for identical assets and liabilities in active markets.</w:t>
      </w:r>
    </w:p>
    <w:p>
      <w:pPr>
        <w:spacing w:after="0" w:line="11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7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3 Measurements</w:t>
      </w:r>
    </w:p>
    <w:p>
      <w:pPr>
        <w:spacing w:after="0" w:line="239"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8"/>
          <w:szCs w:val="18"/>
          <w:color w:val="auto"/>
        </w:rPr>
        <w:t>During the thirty-nine weeks ended May 28, 2022, the Company had outstanding liability-classified Private Warrants that allowed holders to purchase 6,700,000 shares of the Company’s common stock. Such Private Warrants were held by Conyers Park Sponsor, LLC (“Conyers Park”), a related party, and were exercised on a cashless basis on January 7, 2022 resulting in a net issuance of 4,830,761 shares of the Company’s common stock. As a result, there were no outstanding liability-classified Private Warrants as of May 27, 2023 and August 27, 2022. Refer to Note 10, Stockholders’ Equity, for additional details regarding the cashless exercise of the Private Warrants.</w:t>
      </w:r>
    </w:p>
    <w:p>
      <w:pPr>
        <w:spacing w:after="0" w:line="215" w:lineRule="exact"/>
        <w:rPr>
          <w:sz w:val="20"/>
          <w:szCs w:val="20"/>
          <w:color w:val="auto"/>
        </w:rPr>
      </w:pPr>
    </w:p>
    <w:p>
      <w:pPr>
        <w:jc w:val="both"/>
        <w:ind w:firstLine="222"/>
        <w:spacing w:after="0" w:line="272" w:lineRule="auto"/>
        <w:rPr>
          <w:sz w:val="20"/>
          <w:szCs w:val="20"/>
          <w:color w:val="auto"/>
        </w:rPr>
      </w:pPr>
      <w:r>
        <w:rPr>
          <w:rFonts w:ascii="Arial" w:cs="Arial" w:eastAsia="Arial" w:hAnsi="Arial"/>
          <w:sz w:val="17"/>
          <w:szCs w:val="17"/>
          <w:color w:val="auto"/>
        </w:rPr>
        <w:t>The Company utilized the Black-Scholes model to estimate the fair value of the Private Warrants at each reporting date. The application of the Black-Scholes model utilizes significant assumptions, including volatility. Significant judgment is required in determining the expected volatility, historically the key assumption, of the Private Warrants. In order to determine the most accurate measure of this volatility, the Company measured expected volatility based on several inputs, including considering a peer group of publicly traded companies, the Company’s implied volatility based on traded options, the implied volatility of comparable warrants, and the implied volatility of any outstanding public warrants during the periods they were outstanding. As a result of the unobservable inputs that were used to determine the expected volatility of the Private Warrants, the fair value measurement of these warrants reflected a Level 3 measurement within the fair value measurement hierarchy.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firstLine="302"/>
        <w:spacing w:after="0" w:line="308" w:lineRule="auto"/>
        <w:rPr>
          <w:sz w:val="20"/>
          <w:szCs w:val="20"/>
          <w:color w:val="auto"/>
        </w:rPr>
      </w:pPr>
      <w:r>
        <w:rPr>
          <w:rFonts w:ascii="Arial" w:cs="Arial" w:eastAsia="Arial" w:hAnsi="Arial"/>
          <w:sz w:val="17"/>
          <w:szCs w:val="17"/>
          <w:color w:val="auto"/>
        </w:rPr>
        <w:t xml:space="preserve">The periodic remeasurement of the warrant liability has been reflected in </w:t>
      </w:r>
      <w:r>
        <w:rPr>
          <w:rFonts w:ascii="Arial" w:cs="Arial" w:eastAsia="Arial" w:hAnsi="Arial"/>
          <w:sz w:val="17"/>
          <w:szCs w:val="17"/>
          <w:i w:val="1"/>
          <w:iCs w:val="1"/>
          <w:color w:val="auto"/>
        </w:rPr>
        <w:t>Loss in fair value change of warrant liability</w:t>
      </w:r>
      <w:r>
        <w:rPr>
          <w:rFonts w:ascii="Arial" w:cs="Arial" w:eastAsia="Arial" w:hAnsi="Arial"/>
          <w:sz w:val="17"/>
          <w:szCs w:val="17"/>
          <w:color w:val="auto"/>
        </w:rPr>
        <w:t xml:space="preserve"> within the Consolidated Statements of Operations and Comprehensive Income. The adjustment for the thirty-nine weeks ended May 28, 2022 was a gain of $30.1 million.</w:t>
      </w:r>
    </w:p>
    <w:p>
      <w:pPr>
        <w:spacing w:after="0" w:line="169"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color w:val="auto"/>
        </w:rPr>
        <w:t>The tax expense and the effective tax rate resulting from operations were as follows:</w:t>
      </w:r>
    </w:p>
    <w:p>
      <w:pPr>
        <w:spacing w:after="0" w:line="324" w:lineRule="exact"/>
        <w:rPr>
          <w:sz w:val="20"/>
          <w:szCs w:val="20"/>
          <w:color w:val="auto"/>
        </w:rPr>
      </w:pPr>
    </w:p>
    <w:tbl>
      <w:tblPr>
        <w:tblLayout w:type="fixed"/>
        <w:tblInd w:w="2180" w:type="dxa"/>
        <w:tblCellMar>
          <w:top w:w="0" w:type="dxa"/>
          <w:left w:w="0" w:type="dxa"/>
          <w:bottom w:w="0" w:type="dxa"/>
          <w:right w:w="0" w:type="dxa"/>
        </w:tblCellMar>
      </w:tblPr>
      <w:tr>
        <w:trPr>
          <w:trHeight w:val="209"/>
        </w:trPr>
        <w:tc>
          <w:tcPr>
            <w:tcW w:w="3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color w:val="auto"/>
              </w:rPr>
              <w:t>Thirty-Nine Weeks Ended</w:t>
            </w:r>
          </w:p>
        </w:tc>
      </w:tr>
      <w:tr>
        <w:trPr>
          <w:trHeight w:val="237"/>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May 27, 2023</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May 28, 2022</w:t>
            </w:r>
          </w:p>
        </w:tc>
      </w:tr>
      <w:tr>
        <w:trPr>
          <w:trHeight w:val="25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126,743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113,173</w:t>
            </w:r>
          </w:p>
        </w:tc>
      </w:tr>
      <w:tr>
        <w:trPr>
          <w:trHeight w:val="267"/>
        </w:trPr>
        <w:tc>
          <w:tcPr>
            <w:tcW w:w="36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29,810</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34,726</w:t>
            </w:r>
          </w:p>
        </w:tc>
      </w:tr>
      <w:tr>
        <w:trPr>
          <w:trHeight w:val="27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30.7 %</w:t>
            </w:r>
          </w:p>
        </w:tc>
      </w:tr>
    </w:tbl>
    <w:p>
      <w:pPr>
        <w:spacing w:after="0" w:line="323" w:lineRule="exact"/>
        <w:rPr>
          <w:sz w:val="20"/>
          <w:szCs w:val="20"/>
          <w:color w:val="auto"/>
        </w:rPr>
      </w:pPr>
    </w:p>
    <w:p>
      <w:pPr>
        <w:jc w:val="both"/>
        <w:ind w:firstLine="221"/>
        <w:spacing w:after="0" w:line="342" w:lineRule="auto"/>
        <w:rPr>
          <w:sz w:val="20"/>
          <w:szCs w:val="20"/>
          <w:color w:val="auto"/>
        </w:rPr>
      </w:pPr>
      <w:r>
        <w:rPr>
          <w:rFonts w:ascii="Arial" w:cs="Arial" w:eastAsia="Arial" w:hAnsi="Arial"/>
          <w:sz w:val="16"/>
          <w:szCs w:val="16"/>
          <w:color w:val="auto"/>
        </w:rPr>
        <w:t>The effective tax rate for the thirty-nine weeks ended May 27, 2023 was 7.2% less than the effective tax rate for the thirty-nine weeks ended May 28, 2022, which was primarily driven by the non-cash change in the fair value of the warrant liability in the prior fiscal period and other permanent differences.</w:t>
      </w:r>
    </w:p>
    <w:p>
      <w:pPr>
        <w:spacing w:after="0" w:line="14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color w:val="auto"/>
        </w:rPr>
        <w:t>The components of lease expense were as follows:</w:t>
      </w:r>
    </w:p>
    <w:p>
      <w:pPr>
        <w:spacing w:after="0" w:line="297" w:lineRule="exact"/>
        <w:rPr>
          <w:sz w:val="20"/>
          <w:szCs w:val="20"/>
          <w:color w:val="auto"/>
        </w:rPr>
      </w:pPr>
    </w:p>
    <w:tbl>
      <w:tblPr>
        <w:tblLayout w:type="fixed"/>
        <w:tblInd w:w="700" w:type="dxa"/>
        <w:tblCellMar>
          <w:top w:w="0" w:type="dxa"/>
          <w:left w:w="0" w:type="dxa"/>
          <w:bottom w:w="0" w:type="dxa"/>
          <w:right w:w="0" w:type="dxa"/>
        </w:tblCellMar>
      </w:tblPr>
      <w:tr>
        <w:trPr>
          <w:trHeight w:val="206"/>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color w:val="auto"/>
              </w:rPr>
              <w:t>Thirteen Weeks Ended</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color w:val="auto"/>
              </w:rPr>
              <w:t>Thirty-Nine Weeks Ended</w:t>
            </w:r>
          </w:p>
        </w:tc>
        <w:tc>
          <w:tcPr>
            <w:tcW w:w="0" w:type="dxa"/>
            <w:vAlign w:val="bottom"/>
          </w:tcPr>
          <w:p>
            <w:pPr>
              <w:spacing w:after="0"/>
              <w:rPr>
                <w:sz w:val="1"/>
                <w:szCs w:val="1"/>
                <w:color w:val="auto"/>
              </w:rPr>
            </w:pPr>
          </w:p>
        </w:tc>
      </w:tr>
      <w:tr>
        <w:trPr>
          <w:trHeight w:val="152"/>
        </w:trPr>
        <w:tc>
          <w:tcPr>
            <w:tcW w:w="19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3"/>
                <w:szCs w:val="13"/>
                <w:color w:val="auto"/>
              </w:rPr>
            </w:pPr>
          </w:p>
        </w:tc>
        <w:tc>
          <w:tcPr>
            <w:tcW w:w="230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Statements of Operations</w:t>
            </w:r>
          </w:p>
        </w:tc>
        <w:tc>
          <w:tcPr>
            <w:tcW w:w="140" w:type="dxa"/>
            <w:vAlign w:val="bottom"/>
          </w:tcPr>
          <w:p>
            <w:pPr>
              <w:spacing w:after="0"/>
              <w:rPr>
                <w:sz w:val="13"/>
                <w:szCs w:val="13"/>
                <w:color w:val="auto"/>
              </w:rPr>
            </w:pPr>
          </w:p>
        </w:tc>
        <w:tc>
          <w:tcPr>
            <w:tcW w:w="1120" w:type="dxa"/>
            <w:vAlign w:val="bottom"/>
            <w:vMerge w:val="restart"/>
          </w:tcPr>
          <w:p>
            <w:pPr>
              <w:jc w:val="right"/>
              <w:ind w:right="99"/>
              <w:spacing w:after="0"/>
              <w:rPr>
                <w:sz w:val="20"/>
                <w:szCs w:val="20"/>
                <w:color w:val="auto"/>
              </w:rPr>
            </w:pPr>
            <w:r>
              <w:rPr>
                <w:rFonts w:ascii="Arial" w:cs="Arial" w:eastAsia="Arial" w:hAnsi="Arial"/>
                <w:sz w:val="16"/>
                <w:szCs w:val="16"/>
                <w:color w:val="auto"/>
                <w:w w:val="94"/>
              </w:rPr>
              <w:t>May 27, 2023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ind w:right="99"/>
              <w:spacing w:after="0"/>
              <w:rPr>
                <w:sz w:val="20"/>
                <w:szCs w:val="20"/>
                <w:color w:val="auto"/>
              </w:rPr>
            </w:pPr>
            <w:r>
              <w:rPr>
                <w:rFonts w:ascii="Arial" w:cs="Arial" w:eastAsia="Arial" w:hAnsi="Arial"/>
                <w:sz w:val="16"/>
                <w:szCs w:val="16"/>
                <w:color w:val="auto"/>
                <w:w w:val="94"/>
              </w:rPr>
              <w:t>May 28, 2022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ind w:right="99"/>
              <w:spacing w:after="0"/>
              <w:rPr>
                <w:sz w:val="20"/>
                <w:szCs w:val="20"/>
                <w:color w:val="auto"/>
              </w:rPr>
            </w:pPr>
            <w:r>
              <w:rPr>
                <w:rFonts w:ascii="Arial" w:cs="Arial" w:eastAsia="Arial" w:hAnsi="Arial"/>
                <w:sz w:val="16"/>
                <w:szCs w:val="16"/>
                <w:color w:val="auto"/>
                <w:w w:val="94"/>
              </w:rPr>
              <w:t>May 27, 2023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color w:val="auto"/>
                <w:w w:val="94"/>
              </w:rPr>
              <w:t>May 28, 2022</w:t>
            </w:r>
          </w:p>
        </w:tc>
        <w:tc>
          <w:tcPr>
            <w:tcW w:w="0" w:type="dxa"/>
            <w:vAlign w:val="bottom"/>
          </w:tcPr>
          <w:p>
            <w:pPr>
              <w:spacing w:after="0"/>
              <w:rPr>
                <w:sz w:val="1"/>
                <w:szCs w:val="1"/>
                <w:color w:val="auto"/>
              </w:rPr>
            </w:pPr>
          </w:p>
        </w:tc>
      </w:tr>
      <w:tr>
        <w:trPr>
          <w:trHeight w:val="209"/>
        </w:trPr>
        <w:tc>
          <w:tcPr>
            <w:tcW w:w="1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ind w:left="20"/>
              <w:spacing w:after="0"/>
              <w:rPr>
                <w:sz w:val="20"/>
                <w:szCs w:val="20"/>
                <w:color w:val="auto"/>
              </w:rPr>
            </w:pPr>
            <w:r>
              <w:rPr>
                <w:rFonts w:ascii="Arial" w:cs="Arial" w:eastAsia="Arial" w:hAnsi="Arial"/>
                <w:sz w:val="16"/>
                <w:szCs w:val="16"/>
                <w:color w:val="auto"/>
              </w:rPr>
              <w:t>Caption</w:t>
            </w: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20" w:type="dxa"/>
            <w:vAlign w:val="bottom"/>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60" w:type="dxa"/>
            <w:vAlign w:val="bottom"/>
            <w:vMerge w:val="restart"/>
          </w:tcPr>
          <w:p>
            <w:pPr>
              <w:ind w:left="140"/>
              <w:spacing w:after="0"/>
              <w:rPr>
                <w:sz w:val="20"/>
                <w:szCs w:val="20"/>
                <w:color w:val="auto"/>
              </w:rPr>
            </w:pPr>
            <w:r>
              <w:rPr>
                <w:rFonts w:ascii="Arial" w:cs="Arial" w:eastAsia="Arial" w:hAnsi="Arial"/>
                <w:sz w:val="16"/>
                <w:szCs w:val="16"/>
                <w:color w:val="auto"/>
              </w:rPr>
              <w:t>Lease cost</w:t>
            </w:r>
          </w:p>
        </w:tc>
        <w:tc>
          <w:tcPr>
            <w:tcW w:w="120" w:type="dxa"/>
            <w:vAlign w:val="bottom"/>
          </w:tcPr>
          <w:p>
            <w:pPr>
              <w:spacing w:after="0"/>
              <w:rPr>
                <w:sz w:val="14"/>
                <w:szCs w:val="14"/>
                <w:color w:val="auto"/>
              </w:rPr>
            </w:pPr>
          </w:p>
        </w:tc>
        <w:tc>
          <w:tcPr>
            <w:tcW w:w="2300" w:type="dxa"/>
            <w:vAlign w:val="bottom"/>
            <w:gridSpan w:val="2"/>
          </w:tcPr>
          <w:p>
            <w:pPr>
              <w:ind w:left="20"/>
              <w:spacing w:after="0" w:line="166" w:lineRule="exact"/>
              <w:rPr>
                <w:sz w:val="20"/>
                <w:szCs w:val="20"/>
                <w:color w:val="auto"/>
              </w:rPr>
            </w:pPr>
            <w:r>
              <w:rPr>
                <w:rFonts w:ascii="Arial" w:cs="Arial" w:eastAsia="Arial" w:hAnsi="Arial"/>
                <w:sz w:val="16"/>
                <w:szCs w:val="16"/>
                <w:i w:val="1"/>
                <w:iCs w:val="1"/>
                <w:color w:val="auto"/>
              </w:rPr>
              <w:t>Cost of goods sold and</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2,245</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2,278</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6,745</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19"/>
              <w:spacing w:after="0"/>
              <w:rPr>
                <w:sz w:val="20"/>
                <w:szCs w:val="20"/>
                <w:color w:val="auto"/>
              </w:rPr>
            </w:pPr>
            <w:r>
              <w:rPr>
                <w:rFonts w:ascii="Arial" w:cs="Arial" w:eastAsia="Arial" w:hAnsi="Arial"/>
                <w:sz w:val="16"/>
                <w:szCs w:val="16"/>
                <w:color w:val="auto"/>
              </w:rPr>
              <w:t>6,806</w:t>
            </w:r>
          </w:p>
        </w:tc>
        <w:tc>
          <w:tcPr>
            <w:tcW w:w="0" w:type="dxa"/>
            <w:vAlign w:val="bottom"/>
          </w:tcPr>
          <w:p>
            <w:pPr>
              <w:spacing w:after="0"/>
              <w:rPr>
                <w:sz w:val="1"/>
                <w:szCs w:val="1"/>
                <w:color w:val="auto"/>
              </w:rPr>
            </w:pPr>
          </w:p>
        </w:tc>
      </w:tr>
      <w:tr>
        <w:trPr>
          <w:trHeight w:val="209"/>
        </w:trPr>
        <w:tc>
          <w:tcPr>
            <w:tcW w:w="1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ind w:left="20"/>
              <w:spacing w:after="0"/>
              <w:rPr>
                <w:sz w:val="20"/>
                <w:szCs w:val="20"/>
                <w:color w:val="auto"/>
              </w:rPr>
            </w:pPr>
            <w:r>
              <w:rPr>
                <w:rFonts w:ascii="Arial" w:cs="Arial" w:eastAsia="Arial" w:hAnsi="Arial"/>
                <w:sz w:val="16"/>
                <w:szCs w:val="16"/>
                <w:i w:val="1"/>
                <w:iCs w:val="1"/>
                <w:color w:val="auto"/>
              </w:rPr>
              <w:t>General and administrative</w:t>
            </w:r>
          </w:p>
        </w:tc>
        <w:tc>
          <w:tcPr>
            <w:tcW w:w="1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96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i w:val="1"/>
                <w:iCs w:val="1"/>
                <w:color w:val="auto"/>
              </w:rPr>
              <w:t>Cost of goods sold and</w:t>
            </w: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2,565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12"/>
        </w:trPr>
        <w:tc>
          <w:tcPr>
            <w:tcW w:w="1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960" w:type="dxa"/>
            <w:vAlign w:val="bottom"/>
          </w:tcPr>
          <w:p>
            <w:pPr>
              <w:ind w:left="220"/>
              <w:spacing w:after="0"/>
              <w:rPr>
                <w:sz w:val="20"/>
                <w:szCs w:val="20"/>
                <w:color w:val="auto"/>
              </w:rPr>
            </w:pPr>
            <w:r>
              <w:rPr>
                <w:rFonts w:ascii="Arial" w:cs="Arial" w:eastAsia="Arial" w:hAnsi="Arial"/>
                <w:sz w:val="16"/>
                <w:szCs w:val="16"/>
                <w:color w:val="auto"/>
                <w:w w:val="93"/>
              </w:rPr>
              <w:t>Total operating lease cost</w:t>
            </w: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3,292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9,106</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cost:</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140"/>
              <w:spacing w:after="0" w:line="166" w:lineRule="exact"/>
              <w:rPr>
                <w:sz w:val="20"/>
                <w:szCs w:val="20"/>
                <w:color w:val="auto"/>
              </w:rPr>
            </w:pPr>
            <w:r>
              <w:rPr>
                <w:rFonts w:ascii="Arial" w:cs="Arial" w:eastAsia="Arial" w:hAnsi="Arial"/>
                <w:sz w:val="16"/>
                <w:szCs w:val="16"/>
                <w:color w:val="auto"/>
              </w:rPr>
              <w:t>Amortization of right-of-</w:t>
            </w:r>
          </w:p>
        </w:tc>
        <w:tc>
          <w:tcPr>
            <w:tcW w:w="120" w:type="dxa"/>
            <w:vAlign w:val="bottom"/>
          </w:tcPr>
          <w:p>
            <w:pPr>
              <w:spacing w:after="0"/>
              <w:rPr>
                <w:sz w:val="14"/>
                <w:szCs w:val="14"/>
                <w:color w:val="auto"/>
              </w:rPr>
            </w:pPr>
          </w:p>
        </w:tc>
        <w:tc>
          <w:tcPr>
            <w:tcW w:w="23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Cost of goods sold</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9"/>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09"/>
        </w:trPr>
        <w:tc>
          <w:tcPr>
            <w:tcW w:w="1960" w:type="dxa"/>
            <w:vAlign w:val="bottom"/>
          </w:tcPr>
          <w:p>
            <w:pPr>
              <w:ind w:left="140"/>
              <w:spacing w:after="0"/>
              <w:rPr>
                <w:sz w:val="20"/>
                <w:szCs w:val="20"/>
                <w:color w:val="auto"/>
              </w:rPr>
            </w:pPr>
            <w:r>
              <w:rPr>
                <w:rFonts w:ascii="Arial" w:cs="Arial" w:eastAsia="Arial" w:hAnsi="Arial"/>
                <w:sz w:val="16"/>
                <w:szCs w:val="16"/>
                <w:color w:val="auto"/>
              </w:rPr>
              <w:t>use assets</w:t>
            </w:r>
          </w:p>
        </w:tc>
        <w:tc>
          <w:tcPr>
            <w:tcW w:w="120" w:type="dxa"/>
            <w:vAlign w:val="bottom"/>
          </w:tcPr>
          <w:p>
            <w:pPr>
              <w:spacing w:after="0"/>
              <w:rPr>
                <w:sz w:val="18"/>
                <w:szCs w:val="18"/>
                <w:color w:val="auto"/>
              </w:rPr>
            </w:pPr>
          </w:p>
        </w:tc>
        <w:tc>
          <w:tcPr>
            <w:tcW w:w="2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Interest on lease liabilities</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Interest expense</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6"/>
        </w:trPr>
        <w:tc>
          <w:tcPr>
            <w:tcW w:w="1960" w:type="dxa"/>
            <w:vAlign w:val="bottom"/>
          </w:tcPr>
          <w:p>
            <w:pPr>
              <w:ind w:left="220"/>
              <w:spacing w:after="0"/>
              <w:rPr>
                <w:sz w:val="20"/>
                <w:szCs w:val="20"/>
                <w:color w:val="auto"/>
              </w:rPr>
            </w:pPr>
            <w:r>
              <w:rPr>
                <w:rFonts w:ascii="Arial" w:cs="Arial" w:eastAsia="Arial" w:hAnsi="Arial"/>
                <w:sz w:val="16"/>
                <w:szCs w:val="16"/>
                <w:color w:val="auto"/>
              </w:rPr>
              <w:t>Total finance lease cost</w:t>
            </w: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60" w:type="dxa"/>
            <w:vAlign w:val="bottom"/>
          </w:tcPr>
          <w:p>
            <w:pPr>
              <w:ind w:left="20"/>
              <w:spacing w:after="0"/>
              <w:rPr>
                <w:sz w:val="20"/>
                <w:szCs w:val="20"/>
                <w:color w:val="auto"/>
              </w:rPr>
            </w:pPr>
            <w:r>
              <w:rPr>
                <w:rFonts w:ascii="Arial" w:cs="Arial" w:eastAsia="Arial" w:hAnsi="Arial"/>
                <w:sz w:val="16"/>
                <w:szCs w:val="16"/>
                <w:color w:val="auto"/>
              </w:rPr>
              <w:t>Total lease cost</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3,353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3,141</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9,511</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9,335</w:t>
            </w: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860" w:hanging="146"/>
        <w:spacing w:after="0"/>
        <w:tabs>
          <w:tab w:leader="none" w:pos="860"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Variable lease cost primarily consists of common area maintenance, such as cleaning and repairs.</w:t>
      </w:r>
    </w:p>
    <w:p>
      <w:pPr>
        <w:spacing w:after="0" w:line="3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right-of-use assets and corresponding liabilities related to both operating and finance leases are as follows:</w:t>
      </w:r>
    </w:p>
    <w:p>
      <w:pPr>
        <w:spacing w:after="0" w:line="324" w:lineRule="exact"/>
        <w:rPr>
          <w:sz w:val="20"/>
          <w:szCs w:val="20"/>
          <w:color w:val="auto"/>
        </w:rPr>
      </w:pPr>
    </w:p>
    <w:tbl>
      <w:tblPr>
        <w:tblLayout w:type="fixed"/>
        <w:tblInd w:w="1020" w:type="dxa"/>
        <w:tblCellMar>
          <w:top w:w="0" w:type="dxa"/>
          <w:left w:w="0" w:type="dxa"/>
          <w:bottom w:w="0" w:type="dxa"/>
          <w:right w:w="0" w:type="dxa"/>
        </w:tblCellMar>
      </w:tblPr>
      <w:tr>
        <w:trPr>
          <w:trHeight w:val="20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Sheets Caption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May 27, 2023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4"/>
              </w:rPr>
              <w:t>August 27, 2022</w:t>
            </w:r>
          </w:p>
        </w:tc>
      </w:tr>
      <w:tr>
        <w:trPr>
          <w:trHeight w:val="253"/>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shd w:val="clear" w:color="auto" w:fill="CCEEFF"/>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7"/>
        </w:trPr>
        <w:tc>
          <w:tcPr>
            <w:tcW w:w="26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20" w:type="dxa"/>
            <w:vAlign w:val="bottom"/>
          </w:tcPr>
          <w:p>
            <w:pPr>
              <w:spacing w:after="0"/>
              <w:rPr>
                <w:sz w:val="23"/>
                <w:szCs w:val="23"/>
                <w:color w:val="auto"/>
              </w:rPr>
            </w:pPr>
          </w:p>
        </w:tc>
        <w:tc>
          <w:tcPr>
            <w:tcW w:w="3240" w:type="dxa"/>
            <w:vAlign w:val="bottom"/>
          </w:tcPr>
          <w:p>
            <w:pPr>
              <w:ind w:left="20"/>
              <w:spacing w:after="0"/>
              <w:rPr>
                <w:sz w:val="20"/>
                <w:szCs w:val="20"/>
                <w:color w:val="auto"/>
              </w:rPr>
            </w:pPr>
            <w:r>
              <w:rPr>
                <w:rFonts w:ascii="Arial" w:cs="Arial" w:eastAsia="Arial" w:hAnsi="Arial"/>
                <w:sz w:val="16"/>
                <w:szCs w:val="16"/>
                <w:i w:val="1"/>
                <w:iCs w:val="1"/>
                <w:color w:val="auto"/>
              </w:rPr>
              <w:t>Other long-term assets</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41,444</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46,460</w:t>
            </w:r>
          </w:p>
        </w:tc>
      </w:tr>
      <w:tr>
        <w:trPr>
          <w:trHeight w:val="270"/>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right-of-use assets</w:t>
            </w:r>
          </w:p>
        </w:tc>
        <w:tc>
          <w:tcPr>
            <w:tcW w:w="120" w:type="dxa"/>
            <w:vAlign w:val="bottom"/>
            <w:shd w:val="clear" w:color="auto" w:fill="CCEEFF"/>
          </w:tcPr>
          <w:p>
            <w:pPr>
              <w:spacing w:after="0"/>
              <w:rPr>
                <w:sz w:val="23"/>
                <w:szCs w:val="23"/>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Property and equipment, net</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226"/>
        </w:trPr>
        <w:tc>
          <w:tcPr>
            <w:tcW w:w="2600" w:type="dxa"/>
            <w:vAlign w:val="bottom"/>
          </w:tcPr>
          <w:p>
            <w:pPr>
              <w:ind w:left="140"/>
              <w:spacing w:after="0"/>
              <w:rPr>
                <w:sz w:val="20"/>
                <w:szCs w:val="20"/>
                <w:color w:val="auto"/>
              </w:rPr>
            </w:pPr>
            <w:r>
              <w:rPr>
                <w:rFonts w:ascii="Arial" w:cs="Arial" w:eastAsia="Arial" w:hAnsi="Arial"/>
                <w:sz w:val="16"/>
                <w:szCs w:val="16"/>
                <w:color w:val="auto"/>
              </w:rPr>
              <w:t>Total lease assets</w:t>
            </w:r>
          </w:p>
        </w:tc>
        <w:tc>
          <w:tcPr>
            <w:tcW w:w="1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41,622</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46,827</w:t>
            </w: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2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67"/>
        </w:trPr>
        <w:tc>
          <w:tcPr>
            <w:tcW w:w="2600" w:type="dxa"/>
            <w:vAlign w:val="bottom"/>
          </w:tcPr>
          <w:p>
            <w:pPr>
              <w:ind w:left="20"/>
              <w:spacing w:after="0"/>
              <w:rPr>
                <w:sz w:val="20"/>
                <w:szCs w:val="20"/>
                <w:color w:val="auto"/>
              </w:rPr>
            </w:pPr>
            <w:r>
              <w:rPr>
                <w:rFonts w:ascii="Arial" w:cs="Arial" w:eastAsia="Arial" w:hAnsi="Arial"/>
                <w:sz w:val="16"/>
                <w:szCs w:val="16"/>
                <w:color w:val="auto"/>
              </w:rPr>
              <w:t>Current:</w:t>
            </w:r>
          </w:p>
        </w:tc>
        <w:tc>
          <w:tcPr>
            <w:tcW w:w="1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3"/>
        </w:trPr>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120" w:type="dxa"/>
            <w:vAlign w:val="bottom"/>
            <w:shd w:val="clear" w:color="auto" w:fill="CCEEFF"/>
          </w:tcPr>
          <w:p>
            <w:pPr>
              <w:spacing w:after="0"/>
              <w:rPr>
                <w:sz w:val="23"/>
                <w:szCs w:val="23"/>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w w:val="99"/>
              </w:rPr>
              <w:t>Accrued expenses and other current liabilities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6,249</w:t>
            </w:r>
          </w:p>
        </w:tc>
      </w:tr>
      <w:tr>
        <w:trPr>
          <w:trHeight w:val="267"/>
        </w:trPr>
        <w:tc>
          <w:tcPr>
            <w:tcW w:w="2600" w:type="dxa"/>
            <w:vAlign w:val="bottom"/>
          </w:tcPr>
          <w:p>
            <w:pPr>
              <w:ind w:left="140"/>
              <w:spacing w:after="0"/>
              <w:rPr>
                <w:sz w:val="20"/>
                <w:szCs w:val="20"/>
                <w:color w:val="auto"/>
              </w:rPr>
            </w:pPr>
            <w:r>
              <w:rPr>
                <w:rFonts w:ascii="Arial" w:cs="Arial" w:eastAsia="Arial" w:hAnsi="Arial"/>
                <w:sz w:val="16"/>
                <w:szCs w:val="16"/>
                <w:color w:val="auto"/>
              </w:rPr>
              <w:t>Finance lease liabilities</w:t>
            </w:r>
          </w:p>
        </w:tc>
        <w:tc>
          <w:tcPr>
            <w:tcW w:w="120" w:type="dxa"/>
            <w:vAlign w:val="bottom"/>
          </w:tcPr>
          <w:p>
            <w:pPr>
              <w:spacing w:after="0"/>
              <w:rPr>
                <w:sz w:val="23"/>
                <w:szCs w:val="23"/>
                <w:color w:val="auto"/>
              </w:rPr>
            </w:pPr>
          </w:p>
        </w:tc>
        <w:tc>
          <w:tcPr>
            <w:tcW w:w="3240" w:type="dxa"/>
            <w:vAlign w:val="bottom"/>
          </w:tcPr>
          <w:p>
            <w:pPr>
              <w:ind w:left="20"/>
              <w:spacing w:after="0"/>
              <w:rPr>
                <w:sz w:val="20"/>
                <w:szCs w:val="20"/>
                <w:color w:val="auto"/>
              </w:rPr>
            </w:pPr>
            <w:r>
              <w:rPr>
                <w:rFonts w:ascii="Arial" w:cs="Arial" w:eastAsia="Arial" w:hAnsi="Arial"/>
                <w:sz w:val="16"/>
                <w:szCs w:val="16"/>
                <w:i w:val="1"/>
                <w:iCs w:val="1"/>
                <w:color w:val="auto"/>
              </w:rPr>
              <w:t>Current maturities of long-term debt</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199</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73"/>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w:t>
            </w:r>
          </w:p>
        </w:tc>
        <w:tc>
          <w:tcPr>
            <w:tcW w:w="120" w:type="dxa"/>
            <w:vAlign w:val="bottom"/>
            <w:shd w:val="clear" w:color="auto" w:fill="CCEEFF"/>
          </w:tcPr>
          <w:p>
            <w:pPr>
              <w:spacing w:after="0"/>
              <w:rPr>
                <w:sz w:val="23"/>
                <w:szCs w:val="23"/>
                <w:color w:val="auto"/>
              </w:rPr>
            </w:pPr>
          </w:p>
        </w:tc>
        <w:tc>
          <w:tcPr>
            <w:tcW w:w="3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7"/>
        </w:trPr>
        <w:tc>
          <w:tcPr>
            <w:tcW w:w="2600" w:type="dxa"/>
            <w:vAlign w:val="bottom"/>
          </w:tcPr>
          <w:p>
            <w:pPr>
              <w:ind w:left="140"/>
              <w:spacing w:after="0"/>
              <w:rPr>
                <w:sz w:val="20"/>
                <w:szCs w:val="20"/>
                <w:color w:val="auto"/>
              </w:rPr>
            </w:pPr>
            <w:r>
              <w:rPr>
                <w:rFonts w:ascii="Arial" w:cs="Arial" w:eastAsia="Arial" w:hAnsi="Arial"/>
                <w:sz w:val="16"/>
                <w:szCs w:val="16"/>
                <w:color w:val="auto"/>
              </w:rPr>
              <w:t>Operating lease liabilities</w:t>
            </w:r>
          </w:p>
        </w:tc>
        <w:tc>
          <w:tcPr>
            <w:tcW w:w="120" w:type="dxa"/>
            <w:vAlign w:val="bottom"/>
          </w:tcPr>
          <w:p>
            <w:pPr>
              <w:spacing w:after="0"/>
              <w:rPr>
                <w:sz w:val="23"/>
                <w:szCs w:val="23"/>
                <w:color w:val="auto"/>
              </w:rPr>
            </w:pPr>
          </w:p>
        </w:tc>
        <w:tc>
          <w:tcPr>
            <w:tcW w:w="3240" w:type="dxa"/>
            <w:vAlign w:val="bottom"/>
          </w:tcPr>
          <w:p>
            <w:pPr>
              <w:ind w:left="20"/>
              <w:spacing w:after="0"/>
              <w:rPr>
                <w:sz w:val="20"/>
                <w:szCs w:val="20"/>
                <w:color w:val="auto"/>
              </w:rPr>
            </w:pPr>
            <w:r>
              <w:rPr>
                <w:rFonts w:ascii="Arial" w:cs="Arial" w:eastAsia="Arial" w:hAnsi="Arial"/>
                <w:sz w:val="16"/>
                <w:szCs w:val="16"/>
                <w:i w:val="1"/>
                <w:iCs w:val="1"/>
                <w:color w:val="auto"/>
              </w:rPr>
              <w:t>Other long-term liabilities</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38,933</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44,482</w:t>
            </w:r>
          </w:p>
        </w:tc>
      </w:tr>
      <w:tr>
        <w:trPr>
          <w:trHeight w:val="270"/>
        </w:trPr>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 liabilities</w:t>
            </w:r>
          </w:p>
        </w:tc>
        <w:tc>
          <w:tcPr>
            <w:tcW w:w="120" w:type="dxa"/>
            <w:vAlign w:val="bottom"/>
            <w:shd w:val="clear" w:color="auto" w:fill="CCEEFF"/>
          </w:tcPr>
          <w:p>
            <w:pPr>
              <w:spacing w:after="0"/>
              <w:rPr>
                <w:sz w:val="23"/>
                <w:szCs w:val="23"/>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Long-term debt, less current maturities</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26"/>
        </w:trPr>
        <w:tc>
          <w:tcPr>
            <w:tcW w:w="2600" w:type="dxa"/>
            <w:vAlign w:val="bottom"/>
          </w:tcPr>
          <w:p>
            <w:pPr>
              <w:ind w:left="220"/>
              <w:spacing w:after="0"/>
              <w:rPr>
                <w:sz w:val="20"/>
                <w:szCs w:val="20"/>
                <w:color w:val="auto"/>
              </w:rPr>
            </w:pPr>
            <w:r>
              <w:rPr>
                <w:rFonts w:ascii="Arial" w:cs="Arial" w:eastAsia="Arial" w:hAnsi="Arial"/>
                <w:sz w:val="16"/>
                <w:szCs w:val="16"/>
                <w:color w:val="auto"/>
              </w:rPr>
              <w:t>Total lease liabilities</w:t>
            </w:r>
          </w:p>
        </w:tc>
        <w:tc>
          <w:tcPr>
            <w:tcW w:w="1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46,531</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51,137</w:t>
            </w:r>
          </w:p>
        </w:tc>
      </w:tr>
      <w:tr>
        <w:trPr>
          <w:trHeight w:val="21"/>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Future maturities of lease liabilities as of May 27, 2023 were as follows:</w:t>
      </w:r>
    </w:p>
    <w:p>
      <w:pPr>
        <w:spacing w:after="0" w:line="324" w:lineRule="exact"/>
        <w:rPr>
          <w:sz w:val="20"/>
          <w:szCs w:val="20"/>
          <w:color w:val="auto"/>
        </w:rPr>
      </w:pPr>
    </w:p>
    <w:tbl>
      <w:tblPr>
        <w:tblLayout w:type="fixed"/>
        <w:tblInd w:w="2180" w:type="dxa"/>
        <w:tblCellMar>
          <w:top w:w="0" w:type="dxa"/>
          <w:left w:w="0" w:type="dxa"/>
          <w:bottom w:w="0" w:type="dxa"/>
          <w:right w:w="0" w:type="dxa"/>
        </w:tblCellMar>
      </w:tblPr>
      <w:tr>
        <w:trPr>
          <w:trHeight w:val="209"/>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1"/>
              </w:rPr>
              <w:t>Operating Leases</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93"/>
              </w:rPr>
              <w:t>Finance Leases</w:t>
            </w:r>
          </w:p>
        </w:tc>
      </w:tr>
      <w:tr>
        <w:trPr>
          <w:trHeight w:val="26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ending:</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7"/>
        </w:trPr>
        <w:tc>
          <w:tcPr>
            <w:tcW w:w="3640" w:type="dxa"/>
            <w:vAlign w:val="bottom"/>
          </w:tcPr>
          <w:p>
            <w:pPr>
              <w:ind w:left="20"/>
              <w:spacing w:after="0"/>
              <w:rPr>
                <w:sz w:val="20"/>
                <w:szCs w:val="20"/>
                <w:color w:val="auto"/>
              </w:rPr>
            </w:pPr>
            <w:r>
              <w:rPr>
                <w:rFonts w:ascii="Arial" w:cs="Arial" w:eastAsia="Arial" w:hAnsi="Arial"/>
                <w:sz w:val="16"/>
                <w:szCs w:val="16"/>
                <w:color w:val="auto"/>
              </w:rPr>
              <w:t>Remainder of 2023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2,321</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27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9,424</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r>
      <w:tr>
        <w:trPr>
          <w:trHeight w:val="267"/>
        </w:trPr>
        <w:tc>
          <w:tcPr>
            <w:tcW w:w="3640" w:type="dxa"/>
            <w:vAlign w:val="bottom"/>
          </w:tcPr>
          <w:p>
            <w:pPr>
              <w:ind w:left="20"/>
              <w:spacing w:after="0"/>
              <w:rPr>
                <w:sz w:val="20"/>
                <w:szCs w:val="20"/>
                <w:color w:val="auto"/>
              </w:rPr>
            </w:pPr>
            <w:r>
              <w:rPr>
                <w:rFonts w:ascii="Arial" w:cs="Arial" w:eastAsia="Arial" w:hAnsi="Arial"/>
                <w:sz w:val="16"/>
                <w:szCs w:val="16"/>
                <w:color w:val="auto"/>
              </w:rPr>
              <w:t>2025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8,680</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6,880</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7"/>
        </w:trPr>
        <w:tc>
          <w:tcPr>
            <w:tcW w:w="3640" w:type="dxa"/>
            <w:vAlign w:val="bottom"/>
          </w:tcPr>
          <w:p>
            <w:pPr>
              <w:ind w:left="20"/>
              <w:spacing w:after="0"/>
              <w:rPr>
                <w:sz w:val="20"/>
                <w:szCs w:val="20"/>
                <w:color w:val="auto"/>
              </w:rPr>
            </w:pPr>
            <w:r>
              <w:rPr>
                <w:rFonts w:ascii="Arial" w:cs="Arial" w:eastAsia="Arial" w:hAnsi="Arial"/>
                <w:sz w:val="16"/>
                <w:szCs w:val="16"/>
                <w:color w:val="auto"/>
              </w:rPr>
              <w:t>2027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7,036</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9"/>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19,848</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1"/>
        </w:trPr>
        <w:tc>
          <w:tcPr>
            <w:tcW w:w="3640" w:type="dxa"/>
            <w:vAlign w:val="bottom"/>
          </w:tcPr>
          <w:p>
            <w:pPr>
              <w:ind w:left="20"/>
              <w:spacing w:after="0"/>
              <w:rPr>
                <w:sz w:val="20"/>
                <w:szCs w:val="20"/>
                <w:color w:val="auto"/>
              </w:rPr>
            </w:pPr>
            <w:r>
              <w:rPr>
                <w:rFonts w:ascii="Arial" w:cs="Arial" w:eastAsia="Arial" w:hAnsi="Arial"/>
                <w:sz w:val="16"/>
                <w:szCs w:val="16"/>
                <w:color w:val="auto"/>
              </w:rPr>
              <w:t>Total lease payments</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54,189</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206</w:t>
            </w:r>
          </w:p>
        </w:tc>
      </w:tr>
      <w:tr>
        <w:trPr>
          <w:trHeight w:val="259"/>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(7,860)</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3640" w:type="dxa"/>
            <w:vAlign w:val="bottom"/>
          </w:tcPr>
          <w:p>
            <w:pPr>
              <w:ind w:left="20"/>
              <w:spacing w:after="0"/>
              <w:rPr>
                <w:sz w:val="20"/>
                <w:szCs w:val="20"/>
                <w:color w:val="auto"/>
              </w:rPr>
            </w:pPr>
            <w:r>
              <w:rPr>
                <w:rFonts w:ascii="Arial" w:cs="Arial" w:eastAsia="Arial" w:hAnsi="Arial"/>
                <w:sz w:val="16"/>
                <w:szCs w:val="16"/>
                <w:color w:val="auto"/>
              </w:rPr>
              <w:t>Present value of lease liabilities</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46,329</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202</w:t>
            </w:r>
          </w:p>
        </w:tc>
      </w:tr>
      <w:tr>
        <w:trPr>
          <w:trHeight w:val="21"/>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weighted-average remaining lease terms and weighted-average discount rates for operating and finance leases were as follows:</w:t>
      </w:r>
    </w:p>
    <w:p>
      <w:pPr>
        <w:spacing w:after="0" w:line="324" w:lineRule="exact"/>
        <w:rPr>
          <w:sz w:val="20"/>
          <w:szCs w:val="20"/>
          <w:color w:val="auto"/>
        </w:rPr>
      </w:pPr>
    </w:p>
    <w:tbl>
      <w:tblPr>
        <w:tblLayout w:type="fixed"/>
        <w:tblInd w:w="2180" w:type="dxa"/>
        <w:tblCellMar>
          <w:top w:w="0" w:type="dxa"/>
          <w:left w:w="0" w:type="dxa"/>
          <w:bottom w:w="0" w:type="dxa"/>
          <w:right w:w="0" w:type="dxa"/>
        </w:tblCellMar>
      </w:tblPr>
      <w:tr>
        <w:trPr>
          <w:trHeight w:val="209"/>
        </w:trPr>
        <w:tc>
          <w:tcPr>
            <w:tcW w:w="3740" w:type="dxa"/>
            <w:vAlign w:val="bottom"/>
          </w:tcPr>
          <w:p>
            <w:pPr>
              <w:spacing w:after="0"/>
              <w:rPr>
                <w:sz w:val="18"/>
                <w:szCs w:val="18"/>
                <w:color w:val="auto"/>
              </w:rPr>
            </w:pPr>
          </w:p>
        </w:tc>
        <w:tc>
          <w:tcPr>
            <w:tcW w:w="15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May 27, 2023</w:t>
            </w:r>
          </w:p>
        </w:tc>
        <w:tc>
          <w:tcPr>
            <w:tcW w:w="140" w:type="dxa"/>
            <w:vAlign w:val="bottom"/>
          </w:tcPr>
          <w:p>
            <w:pPr>
              <w:spacing w:after="0"/>
              <w:rPr>
                <w:sz w:val="18"/>
                <w:szCs w:val="18"/>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August 27, 2022</w:t>
            </w:r>
          </w:p>
        </w:tc>
      </w:tr>
      <w:tr>
        <w:trPr>
          <w:trHeight w:val="266"/>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1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7"/>
        </w:trPr>
        <w:tc>
          <w:tcPr>
            <w:tcW w:w="3740" w:type="dxa"/>
            <w:vAlign w:val="bottom"/>
          </w:tcPr>
          <w:p>
            <w:pPr>
              <w:ind w:left="120"/>
              <w:spacing w:after="0"/>
              <w:rPr>
                <w:sz w:val="20"/>
                <w:szCs w:val="20"/>
                <w:color w:val="auto"/>
              </w:rPr>
            </w:pPr>
            <w:r>
              <w:rPr>
                <w:rFonts w:ascii="Arial" w:cs="Arial" w:eastAsia="Arial" w:hAnsi="Arial"/>
                <w:sz w:val="16"/>
                <w:szCs w:val="16"/>
                <w:color w:val="auto"/>
              </w:rPr>
              <w:t>Operating leases</w:t>
            </w:r>
          </w:p>
        </w:tc>
        <w:tc>
          <w:tcPr>
            <w:tcW w:w="1500" w:type="dxa"/>
            <w:vAlign w:val="bottom"/>
          </w:tcPr>
          <w:p>
            <w:pPr>
              <w:jc w:val="right"/>
              <w:spacing w:after="0"/>
              <w:rPr>
                <w:sz w:val="20"/>
                <w:szCs w:val="20"/>
                <w:color w:val="auto"/>
              </w:rPr>
            </w:pPr>
            <w:r>
              <w:rPr>
                <w:rFonts w:ascii="Arial" w:cs="Arial" w:eastAsia="Arial" w:hAnsi="Arial"/>
                <w:sz w:val="16"/>
                <w:szCs w:val="16"/>
                <w:color w:val="auto"/>
              </w:rPr>
              <w:t>6.69</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7.27</w:t>
            </w:r>
          </w:p>
        </w:tc>
      </w:tr>
      <w:tr>
        <w:trPr>
          <w:trHeight w:val="273"/>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leases</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67"/>
        </w:trPr>
        <w:tc>
          <w:tcPr>
            <w:tcW w:w="374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3"/>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4.7 %</w:t>
            </w:r>
          </w:p>
        </w:tc>
      </w:tr>
      <w:tr>
        <w:trPr>
          <w:trHeight w:val="264"/>
        </w:trPr>
        <w:tc>
          <w:tcPr>
            <w:tcW w:w="374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1500" w:type="dxa"/>
            <w:vAlign w:val="bottom"/>
          </w:tcPr>
          <w:p>
            <w:pPr>
              <w:jc w:val="right"/>
              <w:spacing w:after="0"/>
              <w:rPr>
                <w:sz w:val="20"/>
                <w:szCs w:val="20"/>
                <w:color w:val="auto"/>
              </w:rPr>
            </w:pPr>
            <w:r>
              <w:rPr>
                <w:rFonts w:ascii="Arial" w:cs="Arial" w:eastAsia="Arial" w:hAnsi="Arial"/>
                <w:sz w:val="16"/>
                <w:szCs w:val="16"/>
                <w:color w:val="auto"/>
              </w:rPr>
              <w:t>5.6 %</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5.6 %</w:t>
            </w:r>
          </w:p>
        </w:tc>
      </w:tr>
    </w:tbl>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Supplemental and other information related to leases was as follows:</w:t>
      </w:r>
    </w:p>
    <w:p>
      <w:pPr>
        <w:spacing w:after="0" w:line="297" w:lineRule="exact"/>
        <w:rPr>
          <w:sz w:val="20"/>
          <w:szCs w:val="20"/>
          <w:color w:val="auto"/>
        </w:rPr>
      </w:pPr>
    </w:p>
    <w:tbl>
      <w:tblPr>
        <w:tblLayout w:type="fixed"/>
        <w:tblInd w:w="2180" w:type="dxa"/>
        <w:tblCellMar>
          <w:top w:w="0" w:type="dxa"/>
          <w:left w:w="0" w:type="dxa"/>
          <w:bottom w:w="0" w:type="dxa"/>
          <w:right w:w="0" w:type="dxa"/>
        </w:tblCellMar>
      </w:tblPr>
      <w:tr>
        <w:trPr>
          <w:trHeight w:val="206"/>
        </w:trPr>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color w:val="auto"/>
              </w:rPr>
              <w:t>Thirty-Nine Weeks Ended</w:t>
            </w:r>
          </w:p>
        </w:tc>
      </w:tr>
      <w:tr>
        <w:trPr>
          <w:trHeight w:val="213"/>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May 27, 2023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May 28, 2022</w:t>
            </w:r>
          </w:p>
        </w:tc>
      </w:tr>
      <w:tr>
        <w:trPr>
          <w:trHeight w:val="162"/>
        </w:trPr>
        <w:tc>
          <w:tcPr>
            <w:tcW w:w="38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w w:val="96"/>
              </w:rPr>
              <w:t>Cash paid for amounts included in the measurement of</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12"/>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3800" w:type="dxa"/>
            <w:vAlign w:val="bottom"/>
            <w:gridSpan w:val="2"/>
          </w:tcPr>
          <w:p>
            <w:pPr>
              <w:ind w:left="140"/>
              <w:spacing w:after="0"/>
              <w:rPr>
                <w:sz w:val="20"/>
                <w:szCs w:val="20"/>
                <w:color w:val="auto"/>
              </w:rPr>
            </w:pPr>
            <w:r>
              <w:rPr>
                <w:rFonts w:ascii="Arial" w:cs="Arial" w:eastAsia="Arial" w:hAnsi="Arial"/>
                <w:sz w:val="16"/>
                <w:szCs w:val="16"/>
                <w:color w:val="auto"/>
              </w:rPr>
              <w:t>Operating cash flows from operating leases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7,905</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7,155</w:t>
            </w:r>
          </w:p>
        </w:tc>
      </w:tr>
      <w:tr>
        <w:trPr>
          <w:trHeight w:val="219"/>
        </w:trPr>
        <w:tc>
          <w:tcPr>
            <w:tcW w:w="38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cash flows from finance leases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472</w:t>
            </w:r>
          </w:p>
        </w:tc>
      </w:tr>
      <w:tr>
        <w:trPr>
          <w:trHeight w:val="210"/>
        </w:trPr>
        <w:tc>
          <w:tcPr>
            <w:tcW w:w="3800" w:type="dxa"/>
            <w:vAlign w:val="bottom"/>
            <w:gridSpan w:val="2"/>
          </w:tcPr>
          <w:p>
            <w:pPr>
              <w:ind w:left="140"/>
              <w:spacing w:after="0"/>
              <w:rPr>
                <w:sz w:val="20"/>
                <w:szCs w:val="20"/>
                <w:color w:val="auto"/>
              </w:rPr>
            </w:pPr>
            <w:r>
              <w:rPr>
                <w:rFonts w:ascii="Arial" w:cs="Arial" w:eastAsia="Arial" w:hAnsi="Arial"/>
                <w:sz w:val="16"/>
                <w:szCs w:val="16"/>
                <w:color w:val="auto"/>
              </w:rPr>
              <w:t>Financing cash flows from finance leases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217</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235</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firstLine="185"/>
        <w:spacing w:after="0" w:line="259" w:lineRule="auto"/>
        <w:rPr>
          <w:sz w:val="20"/>
          <w:szCs w:val="20"/>
          <w:color w:val="auto"/>
        </w:rPr>
      </w:pPr>
      <w:r>
        <w:rPr>
          <w:rFonts w:ascii="Arial" w:cs="Arial" w:eastAsia="Arial" w:hAnsi="Arial"/>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2" w:lineRule="exact"/>
        <w:rPr>
          <w:sz w:val="20"/>
          <w:szCs w:val="20"/>
          <w:color w:val="auto"/>
        </w:rPr>
      </w:pPr>
    </w:p>
    <w:p>
      <w:pPr>
        <w:jc w:val="both"/>
        <w:ind w:firstLine="203"/>
        <w:spacing w:after="0" w:line="279" w:lineRule="auto"/>
        <w:rPr>
          <w:sz w:val="20"/>
          <w:szCs w:val="20"/>
          <w:color w:val="auto"/>
        </w:rPr>
      </w:pPr>
      <w:r>
        <w:rPr>
          <w:rFonts w:ascii="Arial" w:cs="Arial" w:eastAsia="Arial" w:hAnsi="Arial"/>
          <w:sz w:val="17"/>
          <w:szCs w:val="17"/>
          <w:color w:val="auto"/>
        </w:rPr>
        <w:t>The Company has entered into endorsement contracts with certain celebrity figures and social media influencers to promote and endorse the Atkins and Quest brands and product lines. These contracts contain endorsement fees, which are expensed ratably over the life of the contract, and performance fees, that are recognized at the time of achievement. Based on the terms of the contracts in place and achievement of performance conditions as of May 27, 2023, the Company will be required to make payments of $3.3 million over the next year.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52" w:lineRule="exact"/>
        <w:rPr>
          <w:sz w:val="20"/>
          <w:szCs w:val="20"/>
          <w:color w:val="auto"/>
        </w:rPr>
      </w:pPr>
    </w:p>
    <w:p>
      <w:pPr>
        <w:jc w:val="both"/>
        <w:ind w:firstLine="267"/>
        <w:spacing w:after="0" w:line="255" w:lineRule="auto"/>
        <w:rPr>
          <w:sz w:val="20"/>
          <w:szCs w:val="20"/>
          <w:color w:val="auto"/>
        </w:rPr>
      </w:pPr>
      <w:r>
        <w:rPr>
          <w:rFonts w:ascii="Arial" w:cs="Arial" w:eastAsia="Arial" w:hAnsi="Arial"/>
          <w:sz w:val="18"/>
          <w:szCs w:val="18"/>
          <w:color w:val="auto"/>
        </w:rPr>
        <w:t>The Company adopted a $50.0 million stock repurchase program on November 13, 2018. On April 13, 2022, and October 21, 2022, the Company announced that its Board of Directors had approved the addition of $50.0 million and $50.0 million, respectively, to its stock repurchase program, resulting in authorized stock repurchases of up to an aggregate of $150.0 million.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19" w:lineRule="exact"/>
        <w:rPr>
          <w:sz w:val="20"/>
          <w:szCs w:val="20"/>
          <w:color w:val="auto"/>
        </w:rPr>
      </w:pPr>
    </w:p>
    <w:p>
      <w:pPr>
        <w:jc w:val="both"/>
        <w:ind w:firstLine="261"/>
        <w:spacing w:after="0" w:line="257" w:lineRule="auto"/>
        <w:rPr>
          <w:sz w:val="20"/>
          <w:szCs w:val="20"/>
          <w:color w:val="auto"/>
        </w:rPr>
      </w:pPr>
      <w:r>
        <w:rPr>
          <w:rFonts w:ascii="Arial" w:cs="Arial" w:eastAsia="Arial" w:hAnsi="Arial"/>
          <w:sz w:val="18"/>
          <w:szCs w:val="18"/>
          <w:color w:val="auto"/>
        </w:rPr>
        <w:t>The Company did not repurchase any shares of common stock during the thirteen weeks ended May 27, 2023. During the thirty-nine weeks ended May 27, 2023, the Company repurchased 546,346 shares of common stock at an average share price of $30.11 per share. During the thirteen weeks ended May 28, 2022, the Company repurchased 218,221 shares of common stock at an average share price of 37.16 per share. During the thirty-nine weeks ended May 28, 2022, the Company repurchased 789,742 shares of common stock at an average share price of $36.09. As of May 27, 2023, approximately $71.5 million remained available under the stock repurchase program.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252" w:lineRule="exact"/>
        <w:rPr>
          <w:sz w:val="20"/>
          <w:szCs w:val="20"/>
          <w:color w:val="auto"/>
        </w:rPr>
      </w:pPr>
    </w:p>
    <w:p>
      <w:pPr>
        <w:jc w:val="both"/>
        <w:ind w:firstLine="186"/>
        <w:spacing w:after="0" w:line="296" w:lineRule="auto"/>
        <w:rPr>
          <w:sz w:val="20"/>
          <w:szCs w:val="20"/>
          <w:color w:val="auto"/>
        </w:rPr>
      </w:pPr>
      <w:r>
        <w:rPr>
          <w:rFonts w:ascii="Arial" w:cs="Arial" w:eastAsia="Arial" w:hAnsi="Arial"/>
          <w:sz w:val="16"/>
          <w:szCs w:val="16"/>
          <w:color w:val="auto"/>
        </w:rPr>
        <w:t>During the thirteen and thirty-nine weeks ended May 28, 2022, the Company had outstanding liability-classified Private Warrants that allowed holders to purchase 6,700,000 shares of the Company’s common stock. Such Private Warrants were held by Conyers Park, a related party. Each whole warrant entitled the holder to purchase one share of the Company’s common stock at a price of $11.50 per share. On January 7, 2022, Conyers Park elected to exercise the Private Warrants on a cashless basis, resulting in a net issuance of 4,830,761 shares of the Company’s common stock. As a result of the cashless exercise on January 7, 2022, there were no outstanding liability-classified Private Warrants as of May 27, 2023 and August 27, 2022.</w:t>
      </w:r>
    </w:p>
    <w:p>
      <w:pPr>
        <w:spacing w:after="0" w:line="188" w:lineRule="exact"/>
        <w:rPr>
          <w:sz w:val="20"/>
          <w:szCs w:val="20"/>
          <w:color w:val="auto"/>
        </w:rPr>
      </w:pPr>
    </w:p>
    <w:p>
      <w:pPr>
        <w:jc w:val="both"/>
        <w:ind w:firstLine="225"/>
        <w:spacing w:after="0" w:line="279" w:lineRule="auto"/>
        <w:rPr>
          <w:sz w:val="20"/>
          <w:szCs w:val="20"/>
          <w:color w:val="auto"/>
        </w:rPr>
      </w:pPr>
      <w:r>
        <w:rPr>
          <w:rFonts w:ascii="Arial" w:cs="Arial" w:eastAsia="Arial" w:hAnsi="Arial"/>
          <w:sz w:val="17"/>
          <w:szCs w:val="17"/>
          <w:color w:val="auto"/>
        </w:rPr>
        <w:t xml:space="preserve">As discussed in Note 6, Fair Value of Financial Instruments, the liability-classified warrants were remeasured on a recurring basis, primarily based on observable market data while the related theoretical private warrant volatility assumption within the Black-Scholes model represents a Level 3 measurement within the fair value measurement hierarchy. The periodic fair value remeasurements of the warrant liability have been reflected in </w:t>
      </w:r>
      <w:r>
        <w:rPr>
          <w:rFonts w:ascii="Arial" w:cs="Arial" w:eastAsia="Arial" w:hAnsi="Arial"/>
          <w:sz w:val="17"/>
          <w:szCs w:val="17"/>
          <w:i w:val="1"/>
          <w:iCs w:val="1"/>
          <w:color w:val="auto"/>
        </w:rPr>
        <w:t>Loss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fair value change of warrant liability </w:t>
      </w:r>
      <w:r>
        <w:rPr>
          <w:rFonts w:ascii="Arial" w:cs="Arial" w:eastAsia="Arial" w:hAnsi="Arial"/>
          <w:sz w:val="17"/>
          <w:szCs w:val="17"/>
          <w:color w:val="auto"/>
        </w:rPr>
        <w:t>within the Consolidated Statements of Operations and Comprehensive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56" w:lineRule="exact"/>
        <w:rPr>
          <w:sz w:val="20"/>
          <w:szCs w:val="20"/>
          <w:color w:val="auto"/>
        </w:rPr>
      </w:pPr>
    </w:p>
    <w:p>
      <w:pPr>
        <w:jc w:val="both"/>
        <w:ind w:firstLine="208"/>
        <w:spacing w:after="0" w:line="293" w:lineRule="auto"/>
        <w:rPr>
          <w:sz w:val="20"/>
          <w:szCs w:val="20"/>
          <w:color w:val="auto"/>
        </w:rPr>
      </w:pPr>
      <w:r>
        <w:rPr>
          <w:rFonts w:ascii="Arial" w:cs="Arial" w:eastAsia="Arial" w:hAnsi="Arial"/>
          <w:sz w:val="16"/>
          <w:szCs w:val="16"/>
          <w:color w:val="auto"/>
        </w:rPr>
        <w:t>Basic earnings or loss per share is based on the weighted average number of common shares issued and outstanding. In computing diluted earnings per share, basic earnings per share is adjusted for the assumed issuance of all potentially dilutive securities, including the Company’s employee stock options, non-vested stock units, and Private Warrants for the periods during which they were outstanding. During periods when the effect of the outstanding Private Warrants was dilutive, the Company assumed share settlement of the instruments as of the beginning of the reporting period and adjusted the numerator to remove the change in fair value of the warrant liability and adjusted the denominator to include the dilutive shares, calculated using the treasury stock method. During periods when the effect of the outstanding Private Warrants was anti-dilutive, the share settlement was excluded.</w:t>
      </w:r>
    </w:p>
    <w:p>
      <w:pPr>
        <w:spacing w:after="0" w:line="191" w:lineRule="exact"/>
        <w:rPr>
          <w:sz w:val="20"/>
          <w:szCs w:val="20"/>
          <w:color w:val="auto"/>
        </w:rPr>
      </w:pPr>
    </w:p>
    <w:p>
      <w:pPr>
        <w:jc w:val="both"/>
        <w:ind w:firstLine="298"/>
        <w:spacing w:after="0" w:line="277" w:lineRule="auto"/>
        <w:rPr>
          <w:sz w:val="20"/>
          <w:szCs w:val="20"/>
          <w:color w:val="auto"/>
        </w:rPr>
      </w:pPr>
      <w:r>
        <w:rPr>
          <w:rFonts w:ascii="Arial" w:cs="Arial" w:eastAsia="Arial" w:hAnsi="Arial"/>
          <w:sz w:val="18"/>
          <w:szCs w:val="18"/>
          <w:color w:val="auto"/>
        </w:rPr>
        <w:t>In periods in which the Company has a net loss, diluted loss per share is based on the weighted average number of common shares issued and outstanding as the effect of including common stock equivalents outstanding would be anti-dilutive.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the numerators and denominators used in the computations of both basic and diluted earnings per share:</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206"/>
        </w:trPr>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color w:val="auto"/>
              </w:rPr>
              <w:t>Thirteen Weeks Ended</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color w:val="auto"/>
              </w:rPr>
              <w:t>Thirty-Nine Weeks Ended</w:t>
            </w:r>
          </w:p>
        </w:tc>
        <w:tc>
          <w:tcPr>
            <w:tcW w:w="0" w:type="dxa"/>
            <w:vAlign w:val="bottom"/>
          </w:tcPr>
          <w:p>
            <w:pPr>
              <w:spacing w:after="0"/>
              <w:rPr>
                <w:sz w:val="1"/>
                <w:szCs w:val="1"/>
                <w:color w:val="auto"/>
              </w:rPr>
            </w:pPr>
          </w:p>
        </w:tc>
      </w:tr>
      <w:tr>
        <w:trPr>
          <w:trHeight w:val="212"/>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May 27, 2023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May 28, 2022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May 27, 2023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8"/>
              </w:rPr>
              <w:t>May 28, 2022</w:t>
            </w:r>
          </w:p>
        </w:tc>
        <w:tc>
          <w:tcPr>
            <w:tcW w:w="0" w:type="dxa"/>
            <w:vAlign w:val="bottom"/>
          </w:tcPr>
          <w:p>
            <w:pPr>
              <w:spacing w:after="0"/>
              <w:rPr>
                <w:sz w:val="1"/>
                <w:szCs w:val="1"/>
                <w:color w:val="auto"/>
              </w:rPr>
            </w:pPr>
          </w:p>
        </w:tc>
      </w:tr>
      <w:tr>
        <w:trPr>
          <w:trHeight w:val="267"/>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Basic earnings per share computation:</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620" w:type="dxa"/>
            <w:vAlign w:val="bottom"/>
            <w:gridSpan w:val="2"/>
          </w:tcPr>
          <w:p>
            <w:pPr>
              <w:ind w:left="120"/>
              <w:spacing w:after="0"/>
              <w:rPr>
                <w:sz w:val="20"/>
                <w:szCs w:val="20"/>
                <w:color w:val="auto"/>
              </w:rPr>
            </w:pPr>
            <w:r>
              <w:rPr>
                <w:rFonts w:ascii="Arial" w:cs="Arial" w:eastAsia="Arial" w:hAnsi="Arial"/>
                <w:sz w:val="16"/>
                <w:szCs w:val="16"/>
                <w:color w:val="auto"/>
              </w:rPr>
              <w:t>Numerator:</w:t>
            </w: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Net income available to common stockholders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38,834</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96,933</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78,447</w:t>
            </w:r>
          </w:p>
        </w:tc>
        <w:tc>
          <w:tcPr>
            <w:tcW w:w="0" w:type="dxa"/>
            <w:vAlign w:val="bottom"/>
          </w:tcPr>
          <w:p>
            <w:pPr>
              <w:spacing w:after="0"/>
              <w:rPr>
                <w:sz w:val="1"/>
                <w:szCs w:val="1"/>
                <w:color w:val="auto"/>
              </w:rPr>
            </w:pPr>
          </w:p>
        </w:tc>
      </w:tr>
      <w:tr>
        <w:trPr>
          <w:trHeight w:val="267"/>
        </w:trPr>
        <w:tc>
          <w:tcPr>
            <w:tcW w:w="3620" w:type="dxa"/>
            <w:vAlign w:val="bottom"/>
            <w:gridSpan w:val="2"/>
          </w:tcPr>
          <w:p>
            <w:pPr>
              <w:ind w:left="120"/>
              <w:spacing w:after="0"/>
              <w:rPr>
                <w:sz w:val="20"/>
                <w:szCs w:val="20"/>
                <w:color w:val="auto"/>
              </w:rPr>
            </w:pPr>
            <w:r>
              <w:rPr>
                <w:rFonts w:ascii="Arial" w:cs="Arial" w:eastAsia="Arial" w:hAnsi="Arial"/>
                <w:sz w:val="16"/>
                <w:szCs w:val="16"/>
                <w:color w:val="auto"/>
              </w:rPr>
              <w:t>Denominator:</w:t>
            </w: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3620" w:type="dxa"/>
            <w:vAlign w:val="bottom"/>
            <w:gridSpan w:val="2"/>
            <w:shd w:val="clear" w:color="auto" w:fill="CCEEFF"/>
          </w:tcPr>
          <w:p>
            <w:pPr>
              <w:ind w:left="240"/>
              <w:spacing w:after="0" w:line="169" w:lineRule="exact"/>
              <w:rPr>
                <w:sz w:val="20"/>
                <w:szCs w:val="20"/>
                <w:color w:val="auto"/>
              </w:rPr>
            </w:pPr>
            <w:r>
              <w:rPr>
                <w:rFonts w:ascii="Arial" w:cs="Arial" w:eastAsia="Arial" w:hAnsi="Arial"/>
                <w:sz w:val="16"/>
                <w:szCs w:val="16"/>
                <w:color w:val="auto"/>
                <w:w w:val="97"/>
              </w:rPr>
              <w:t>Weighted average common shares outstanding -</w:t>
            </w: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99,518,546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100,426,227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99,404,174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98,294,114</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20" w:type="dxa"/>
            <w:vAlign w:val="bottom"/>
            <w:gridSpan w:val="2"/>
          </w:tcPr>
          <w:p>
            <w:pPr>
              <w:ind w:left="140"/>
              <w:spacing w:after="0"/>
              <w:rPr>
                <w:sz w:val="20"/>
                <w:szCs w:val="20"/>
                <w:color w:val="auto"/>
              </w:rPr>
            </w:pPr>
            <w:r>
              <w:rPr>
                <w:rFonts w:ascii="Arial" w:cs="Arial" w:eastAsia="Arial" w:hAnsi="Arial"/>
                <w:sz w:val="16"/>
                <w:szCs w:val="16"/>
                <w:color w:val="auto"/>
              </w:rPr>
              <w:t>Basic earnings per share from 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0.36</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0.39</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0.98</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Diluted earnings per share computation:</w:t>
            </w: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6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Numerator:</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620" w:type="dxa"/>
            <w:vAlign w:val="bottom"/>
            <w:gridSpan w:val="2"/>
          </w:tcPr>
          <w:p>
            <w:pPr>
              <w:ind w:left="240"/>
              <w:spacing w:after="0"/>
              <w:rPr>
                <w:sz w:val="20"/>
                <w:szCs w:val="20"/>
                <w:color w:val="auto"/>
              </w:rPr>
            </w:pPr>
            <w:r>
              <w:rPr>
                <w:rFonts w:ascii="Arial" w:cs="Arial" w:eastAsia="Arial" w:hAnsi="Arial"/>
                <w:sz w:val="16"/>
                <w:szCs w:val="16"/>
                <w:color w:val="auto"/>
              </w:rPr>
              <w:t>Net income available for common stockholders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35,431</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38,834</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96,933</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78,447</w:t>
            </w:r>
          </w:p>
        </w:tc>
        <w:tc>
          <w:tcPr>
            <w:tcW w:w="0" w:type="dxa"/>
            <w:vAlign w:val="bottom"/>
          </w:tcPr>
          <w:p>
            <w:pPr>
              <w:spacing w:after="0"/>
              <w:rPr>
                <w:sz w:val="1"/>
                <w:szCs w:val="1"/>
                <w:color w:val="auto"/>
              </w:rPr>
            </w:pPr>
          </w:p>
        </w:tc>
      </w:tr>
      <w:tr>
        <w:trPr>
          <w:trHeight w:val="250"/>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Numerator for diluted earnings per share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38,834</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96,933</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78,447</w:t>
            </w:r>
          </w:p>
        </w:tc>
        <w:tc>
          <w:tcPr>
            <w:tcW w:w="0" w:type="dxa"/>
            <w:vAlign w:val="bottom"/>
          </w:tcPr>
          <w:p>
            <w:pPr>
              <w:spacing w:after="0"/>
              <w:rPr>
                <w:sz w:val="1"/>
                <w:szCs w:val="1"/>
                <w:color w:val="auto"/>
              </w:rPr>
            </w:pPr>
          </w:p>
        </w:tc>
      </w:tr>
      <w:tr>
        <w:trPr>
          <w:trHeight w:val="261"/>
        </w:trPr>
        <w:tc>
          <w:tcPr>
            <w:tcW w:w="3620" w:type="dxa"/>
            <w:vAlign w:val="bottom"/>
            <w:tcBorders>
              <w:top w:val="single" w:sz="8" w:color="CCEEFF"/>
            </w:tcBorders>
            <w:gridSpan w:val="2"/>
          </w:tcPr>
          <w:p>
            <w:pPr>
              <w:ind w:left="120"/>
              <w:spacing w:after="0"/>
              <w:rPr>
                <w:sz w:val="20"/>
                <w:szCs w:val="20"/>
                <w:color w:val="auto"/>
              </w:rPr>
            </w:pPr>
            <w:r>
              <w:rPr>
                <w:rFonts w:ascii="Arial" w:cs="Arial" w:eastAsia="Arial" w:hAnsi="Arial"/>
                <w:sz w:val="16"/>
                <w:szCs w:val="16"/>
                <w:color w:val="auto"/>
              </w:rPr>
              <w:t>Denominator:</w:t>
            </w: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3620" w:type="dxa"/>
            <w:vAlign w:val="bottom"/>
            <w:gridSpan w:val="2"/>
            <w:shd w:val="clear" w:color="auto" w:fill="CCEEFF"/>
          </w:tcPr>
          <w:p>
            <w:pPr>
              <w:ind w:left="240"/>
              <w:spacing w:after="0" w:line="169" w:lineRule="exact"/>
              <w:rPr>
                <w:sz w:val="20"/>
                <w:szCs w:val="20"/>
                <w:color w:val="auto"/>
              </w:rPr>
            </w:pPr>
            <w:r>
              <w:rPr>
                <w:rFonts w:ascii="Arial" w:cs="Arial" w:eastAsia="Arial" w:hAnsi="Arial"/>
                <w:sz w:val="16"/>
                <w:szCs w:val="16"/>
                <w:color w:val="auto"/>
                <w:w w:val="97"/>
              </w:rPr>
              <w:t>Weighted average common shares outstanding -</w:t>
            </w: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99,518,546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100,426,227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99,404,174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98,294,114</w:t>
            </w:r>
          </w:p>
        </w:tc>
        <w:tc>
          <w:tcPr>
            <w:tcW w:w="0" w:type="dxa"/>
            <w:vAlign w:val="bottom"/>
          </w:tcPr>
          <w:p>
            <w:pPr>
              <w:spacing w:after="0"/>
              <w:rPr>
                <w:sz w:val="1"/>
                <w:szCs w:val="1"/>
                <w:color w:val="auto"/>
              </w:rPr>
            </w:pPr>
          </w:p>
        </w:tc>
      </w:tr>
      <w:tr>
        <w:trPr>
          <w:trHeight w:val="212"/>
        </w:trPr>
        <w:tc>
          <w:tcPr>
            <w:tcW w:w="3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20" w:type="dxa"/>
            <w:vAlign w:val="bottom"/>
            <w:gridSpan w:val="2"/>
          </w:tcPr>
          <w:p>
            <w:pPr>
              <w:ind w:left="240"/>
              <w:spacing w:after="0"/>
              <w:rPr>
                <w:sz w:val="20"/>
                <w:szCs w:val="20"/>
                <w:color w:val="auto"/>
              </w:rPr>
            </w:pPr>
            <w:r>
              <w:rPr>
                <w:rFonts w:ascii="Arial" w:cs="Arial" w:eastAsia="Arial" w:hAnsi="Arial"/>
                <w:sz w:val="16"/>
                <w:szCs w:val="16"/>
                <w:color w:val="auto"/>
              </w:rPr>
              <w:t>Employee stock options</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1,228,922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1,604,847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1,256,898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1,633,278</w:t>
            </w:r>
          </w:p>
        </w:tc>
        <w:tc>
          <w:tcPr>
            <w:tcW w:w="0" w:type="dxa"/>
            <w:vAlign w:val="bottom"/>
          </w:tcPr>
          <w:p>
            <w:pPr>
              <w:spacing w:after="0"/>
              <w:rPr>
                <w:sz w:val="1"/>
                <w:szCs w:val="1"/>
                <w:color w:val="auto"/>
              </w:rPr>
            </w:pPr>
          </w:p>
        </w:tc>
      </w:tr>
      <w:tr>
        <w:trPr>
          <w:trHeight w:val="260"/>
        </w:trPr>
        <w:tc>
          <w:tcPr>
            <w:tcW w:w="3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Non-vested stock units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162,504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206,383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186,898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262,676</w:t>
            </w:r>
          </w:p>
        </w:tc>
        <w:tc>
          <w:tcPr>
            <w:tcW w:w="0" w:type="dxa"/>
            <w:vAlign w:val="bottom"/>
          </w:tcPr>
          <w:p>
            <w:pPr>
              <w:spacing w:after="0"/>
              <w:rPr>
                <w:sz w:val="1"/>
                <w:szCs w:val="1"/>
                <w:color w:val="auto"/>
              </w:rPr>
            </w:pPr>
          </w:p>
        </w:tc>
      </w:tr>
      <w:tr>
        <w:trPr>
          <w:trHeight w:val="250"/>
        </w:trPr>
        <w:tc>
          <w:tcPr>
            <w:tcW w:w="3620" w:type="dxa"/>
            <w:vAlign w:val="bottom"/>
            <w:gridSpan w:val="2"/>
          </w:tcPr>
          <w:p>
            <w:pPr>
              <w:ind w:left="240"/>
              <w:spacing w:after="0"/>
              <w:rPr>
                <w:sz w:val="20"/>
                <w:szCs w:val="20"/>
                <w:color w:val="auto"/>
              </w:rPr>
            </w:pPr>
            <w:r>
              <w:rPr>
                <w:rFonts w:ascii="Arial" w:cs="Arial" w:eastAsia="Arial" w:hAnsi="Arial"/>
                <w:sz w:val="16"/>
                <w:szCs w:val="16"/>
                <w:color w:val="auto"/>
              </w:rPr>
              <w:t>Weighted average common shares - diluted</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100,909,972</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102,237,457</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100,847,970</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100,190,068</w:t>
            </w:r>
          </w:p>
        </w:tc>
        <w:tc>
          <w:tcPr>
            <w:tcW w:w="0" w:type="dxa"/>
            <w:vAlign w:val="bottom"/>
          </w:tcPr>
          <w:p>
            <w:pPr>
              <w:spacing w:after="0"/>
              <w:rPr>
                <w:sz w:val="1"/>
                <w:szCs w:val="1"/>
                <w:color w:val="auto"/>
              </w:rPr>
            </w:pPr>
          </w:p>
        </w:tc>
      </w:tr>
      <w:tr>
        <w:trPr>
          <w:trHeight w:val="257"/>
        </w:trPr>
        <w:tc>
          <w:tcPr>
            <w:tcW w:w="3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Diluted earnings per share from net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281"/>
        <w:spacing w:after="0" w:line="259" w:lineRule="auto"/>
        <w:rPr>
          <w:sz w:val="20"/>
          <w:szCs w:val="20"/>
          <w:color w:val="auto"/>
        </w:rPr>
      </w:pPr>
      <w:r>
        <w:rPr>
          <w:rFonts w:ascii="Arial" w:cs="Arial" w:eastAsia="Arial" w:hAnsi="Arial"/>
          <w:sz w:val="18"/>
          <w:szCs w:val="18"/>
          <w:color w:val="auto"/>
        </w:rPr>
        <w:t>Diluted earnings per share calculations for the thirteen and thirty-nine weeks ended May 27, 2023 excluded 0.7 million and 0.6 million shares of common stock issuable upon exercise of stock options, respectively, that would have been anti-dilutive. Diluted earnings per share calculations for the thirteen and thirty-nine weeks ended May 28, 2022 excluded 0.3 million and 0.3 million shares of common stock issuable upon exercise of stock options, respectively, that would have been anti-dilutive.</w:t>
      </w:r>
    </w:p>
    <w:p>
      <w:pPr>
        <w:spacing w:after="0" w:line="214" w:lineRule="exact"/>
        <w:rPr>
          <w:sz w:val="20"/>
          <w:szCs w:val="20"/>
          <w:color w:val="auto"/>
        </w:rPr>
      </w:pPr>
    </w:p>
    <w:p>
      <w:pPr>
        <w:jc w:val="both"/>
        <w:ind w:firstLine="218"/>
        <w:spacing w:after="0" w:line="263" w:lineRule="auto"/>
        <w:rPr>
          <w:sz w:val="20"/>
          <w:szCs w:val="20"/>
          <w:color w:val="auto"/>
        </w:rPr>
      </w:pPr>
      <w:r>
        <w:rPr>
          <w:rFonts w:ascii="Arial" w:cs="Arial" w:eastAsia="Arial" w:hAnsi="Arial"/>
          <w:sz w:val="18"/>
          <w:szCs w:val="18"/>
          <w:color w:val="auto"/>
        </w:rPr>
        <w:t>Diluted earnings per share calculations for the thirteen and thirty-nine weeks ended May 27, 2023 excluded an immaterial amount of non-vested stock units that would have been anti-dilutive. Diluted earnings per share calculations for the thirteen and thirty-nine weeks ended May 28, 2022 excluded an immaterial amount of non-vested stock units that would have been anti-dilutive.</w:t>
      </w:r>
    </w:p>
    <w:p>
      <w:pPr>
        <w:spacing w:after="0" w:line="211" w:lineRule="exact"/>
        <w:rPr>
          <w:sz w:val="20"/>
          <w:szCs w:val="20"/>
          <w:color w:val="auto"/>
        </w:rPr>
      </w:pPr>
    </w:p>
    <w:p>
      <w:pPr>
        <w:ind w:right="180" w:firstLine="180"/>
        <w:spacing w:after="0" w:line="277" w:lineRule="auto"/>
        <w:rPr>
          <w:sz w:val="20"/>
          <w:szCs w:val="20"/>
          <w:color w:val="auto"/>
        </w:rPr>
      </w:pPr>
      <w:r>
        <w:rPr>
          <w:rFonts w:ascii="Arial" w:cs="Arial" w:eastAsia="Arial" w:hAnsi="Arial"/>
          <w:sz w:val="18"/>
          <w:szCs w:val="18"/>
          <w:color w:val="auto"/>
        </w:rPr>
        <w:t>The diluted earnings per share calculations for the thirty-nine weeks ended May 28, 2022 excluded 1.0 million shares issuable upon exercise of Private Warrants that would have been anti-dilutive.</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Omnibus Incentive Plan</w:t>
      </w:r>
    </w:p>
    <w:p>
      <w:pPr>
        <w:spacing w:after="0" w:line="256" w:lineRule="exact"/>
        <w:rPr>
          <w:sz w:val="20"/>
          <w:szCs w:val="20"/>
          <w:color w:val="auto"/>
        </w:rPr>
      </w:pPr>
    </w:p>
    <w:p>
      <w:pPr>
        <w:jc w:val="both"/>
        <w:ind w:firstLine="186"/>
        <w:spacing w:after="0" w:line="301" w:lineRule="auto"/>
        <w:rPr>
          <w:sz w:val="20"/>
          <w:szCs w:val="20"/>
          <w:color w:val="auto"/>
        </w:rPr>
      </w:pPr>
      <w:r>
        <w:rPr>
          <w:rFonts w:ascii="Arial" w:cs="Arial" w:eastAsia="Arial" w:hAnsi="Arial"/>
          <w:sz w:val="16"/>
          <w:szCs w:val="16"/>
          <w:color w:val="auto"/>
        </w:rPr>
        <w:t xml:space="preserve">Stock-based compensation includes stock options, restricted stock units, performance stock unit awards and stock appreciation rights, which are awarded to employees, directors, and consultants of the Company. Stock-based compensation expense for equity-classified awards is recognized on a straight-line basis over the requisite service period of the award based on their grant date fair value. Stock-based compensation expense is included within </w:t>
      </w:r>
      <w:r>
        <w:rPr>
          <w:rFonts w:ascii="Arial" w:cs="Arial" w:eastAsia="Arial" w:hAnsi="Arial"/>
          <w:sz w:val="16"/>
          <w:szCs w:val="16"/>
          <w:i w:val="1"/>
          <w:iCs w:val="1"/>
          <w:color w:val="auto"/>
        </w:rPr>
        <w:t>General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administrative </w:t>
      </w:r>
      <w:r>
        <w:rPr>
          <w:rFonts w:ascii="Arial" w:cs="Arial" w:eastAsia="Arial" w:hAnsi="Arial"/>
          <w:sz w:val="16"/>
          <w:szCs w:val="16"/>
          <w:color w:val="auto"/>
        </w:rPr>
        <w:t>expense, which is the same financial statement caption where the recipient’s other compensation is reported.</w:t>
      </w:r>
    </w:p>
    <w:p>
      <w:pPr>
        <w:spacing w:after="0" w:line="184" w:lineRule="exact"/>
        <w:rPr>
          <w:sz w:val="20"/>
          <w:szCs w:val="20"/>
          <w:color w:val="auto"/>
        </w:rPr>
      </w:pPr>
    </w:p>
    <w:p>
      <w:pPr>
        <w:jc w:val="both"/>
        <w:ind w:firstLine="246"/>
        <w:spacing w:after="0" w:line="308" w:lineRule="auto"/>
        <w:rPr>
          <w:sz w:val="20"/>
          <w:szCs w:val="20"/>
          <w:color w:val="auto"/>
        </w:rPr>
      </w:pPr>
      <w:r>
        <w:rPr>
          <w:rFonts w:ascii="Arial" w:cs="Arial" w:eastAsia="Arial" w:hAnsi="Arial"/>
          <w:sz w:val="17"/>
          <w:szCs w:val="17"/>
          <w:color w:val="auto"/>
        </w:rPr>
        <w:t>The Company recorded stock-based compensation expense of $4.1 million and $3.0 million in the thirteen weeks ended May 27, 2023 and May 28, 2022, respectively, and $10.5 million and $8.7 million in the thirty-nine weeks ended May 27, 2023 and May 28, 2022,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stock option activity for the thirty-nine weeks ended May 27, 2023:</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Weighted average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restart"/>
          </w:tcPr>
          <w:p>
            <w:pPr>
              <w:jc w:val="right"/>
              <w:ind w:right="59"/>
              <w:spacing w:after="0"/>
              <w:rPr>
                <w:sz w:val="20"/>
                <w:szCs w:val="20"/>
                <w:color w:val="auto"/>
              </w:rPr>
            </w:pPr>
            <w:r>
              <w:rPr>
                <w:rFonts w:ascii="Arial" w:cs="Arial" w:eastAsia="Arial" w:hAnsi="Arial"/>
                <w:sz w:val="16"/>
                <w:szCs w:val="16"/>
                <w:color w:val="auto"/>
                <w:w w:val="99"/>
              </w:rPr>
              <w:t>Shares underlying</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Weighted average</w:t>
            </w:r>
          </w:p>
        </w:tc>
        <w:tc>
          <w:tcPr>
            <w:tcW w:w="140" w:type="dxa"/>
            <w:vAlign w:val="bottom"/>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Arial" w:cs="Arial" w:eastAsia="Arial" w:hAnsi="Arial"/>
                <w:sz w:val="16"/>
                <w:szCs w:val="16"/>
                <w:color w:val="auto"/>
                <w:w w:val="93"/>
              </w:rPr>
              <w:t>remaining</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Arial" w:cs="Arial" w:eastAsia="Arial" w:hAnsi="Arial"/>
                <w:sz w:val="16"/>
                <w:szCs w:val="16"/>
                <w:color w:val="auto"/>
                <w:w w:val="94"/>
              </w:rPr>
              <w:t>contractual life</w:t>
            </w:r>
          </w:p>
        </w:tc>
        <w:tc>
          <w:tcPr>
            <w:tcW w:w="0" w:type="dxa"/>
            <w:vAlign w:val="bottom"/>
          </w:tcPr>
          <w:p>
            <w:pPr>
              <w:spacing w:after="0"/>
              <w:rPr>
                <w:sz w:val="1"/>
                <w:szCs w:val="1"/>
                <w:color w:val="auto"/>
              </w:rPr>
            </w:pPr>
          </w:p>
        </w:tc>
      </w:tr>
      <w:tr>
        <w:trPr>
          <w:trHeight w:val="209"/>
        </w:trPr>
        <w:tc>
          <w:tcPr>
            <w:tcW w:w="3760" w:type="dxa"/>
            <w:vAlign w:val="bottom"/>
          </w:tcPr>
          <w:p>
            <w:pPr>
              <w:spacing w:after="0"/>
              <w:rPr>
                <w:sz w:val="18"/>
                <w:szCs w:val="18"/>
                <w:color w:val="auto"/>
              </w:rPr>
            </w:pPr>
          </w:p>
        </w:tc>
        <w:tc>
          <w:tcPr>
            <w:tcW w:w="14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options</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exercise price</w:t>
            </w:r>
          </w:p>
        </w:tc>
        <w:tc>
          <w:tcPr>
            <w:tcW w:w="14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(years)</w:t>
            </w:r>
          </w:p>
        </w:tc>
        <w:tc>
          <w:tcPr>
            <w:tcW w:w="0" w:type="dxa"/>
            <w:vAlign w:val="bottom"/>
          </w:tcPr>
          <w:p>
            <w:pPr>
              <w:spacing w:after="0"/>
              <w:rPr>
                <w:sz w:val="1"/>
                <w:szCs w:val="1"/>
                <w:color w:val="auto"/>
              </w:rPr>
            </w:pPr>
          </w:p>
        </w:tc>
      </w:tr>
      <w:tr>
        <w:trPr>
          <w:trHeight w:val="253"/>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August 27,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2,776,551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60"/>
        </w:trPr>
        <w:tc>
          <w:tcPr>
            <w:tcW w:w="376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spacing w:after="0"/>
              <w:rPr>
                <w:sz w:val="20"/>
                <w:szCs w:val="20"/>
                <w:color w:val="auto"/>
              </w:rPr>
            </w:pPr>
            <w:r>
              <w:rPr>
                <w:rFonts w:ascii="Arial" w:cs="Arial" w:eastAsia="Arial" w:hAnsi="Arial"/>
                <w:sz w:val="16"/>
                <w:szCs w:val="16"/>
                <w:color w:val="auto"/>
              </w:rPr>
              <w:t>285,001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37.73</w:t>
            </w: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(346,956)</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6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(35,624)</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32.04</w:t>
            </w: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May 27,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2,678,972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50"/>
        </w:trPr>
        <w:tc>
          <w:tcPr>
            <w:tcW w:w="3760" w:type="dxa"/>
            <w:vAlign w:val="bottom"/>
          </w:tcPr>
          <w:p>
            <w:pPr>
              <w:ind w:left="20"/>
              <w:spacing w:after="0"/>
              <w:rPr>
                <w:sz w:val="20"/>
                <w:szCs w:val="20"/>
                <w:color w:val="auto"/>
              </w:rPr>
            </w:pPr>
            <w:r>
              <w:rPr>
                <w:rFonts w:ascii="Arial" w:cs="Arial" w:eastAsia="Arial" w:hAnsi="Arial"/>
                <w:sz w:val="16"/>
                <w:szCs w:val="16"/>
                <w:color w:val="auto"/>
              </w:rPr>
              <w:t>Vested and expected to vest as of May 27, 2023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2,678,972</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20.41</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63"/>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as of May 27, 2023</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2,029,757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248"/>
        <w:spacing w:after="0" w:line="263" w:lineRule="auto"/>
        <w:rPr>
          <w:sz w:val="20"/>
          <w:szCs w:val="20"/>
          <w:color w:val="auto"/>
        </w:rPr>
      </w:pPr>
      <w:r>
        <w:rPr>
          <w:rFonts w:ascii="Arial" w:cs="Arial" w:eastAsia="Arial" w:hAnsi="Arial"/>
          <w:sz w:val="18"/>
          <w:szCs w:val="18"/>
          <w:color w:val="auto"/>
        </w:rPr>
        <w:t>As of May 27, 2023, the Company had $6.4 million of total unrecognized compensation cost related to stock options that will be recognized over a weighted average period of 1.8 years. During the thirty-nine weeks ended May 27, 2023 and May 28, 2022, the Company received $5.0 million and $4.3 million in cash from stock option exercises,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restricted stock unit activity for the thirty-nine weeks ended May 27, 2023:</w:t>
      </w:r>
    </w:p>
    <w:p>
      <w:pPr>
        <w:spacing w:after="0" w:line="302"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5"/>
                <w:szCs w:val="15"/>
                <w:color w:val="auto"/>
              </w:rPr>
            </w:pPr>
          </w:p>
        </w:tc>
        <w:tc>
          <w:tcPr>
            <w:tcW w:w="1460" w:type="dxa"/>
            <w:vAlign w:val="bottom"/>
            <w:vMerge w:val="restart"/>
          </w:tcPr>
          <w:p>
            <w:pPr>
              <w:jc w:val="right"/>
              <w:ind w:right="479"/>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color w:val="auto"/>
                <w:w w:val="90"/>
              </w:rPr>
              <w:t>Weighted average</w:t>
            </w:r>
          </w:p>
        </w:tc>
        <w:tc>
          <w:tcPr>
            <w:tcW w:w="0" w:type="dxa"/>
            <w:vAlign w:val="bottom"/>
          </w:tcPr>
          <w:p>
            <w:pPr>
              <w:spacing w:after="0"/>
              <w:rPr>
                <w:sz w:val="1"/>
                <w:szCs w:val="1"/>
                <w:color w:val="auto"/>
              </w:rPr>
            </w:pPr>
          </w:p>
        </w:tc>
      </w:tr>
      <w:tr>
        <w:trPr>
          <w:trHeight w:val="209"/>
        </w:trPr>
        <w:tc>
          <w:tcPr>
            <w:tcW w:w="3800" w:type="dxa"/>
            <w:vAlign w:val="bottom"/>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w w:val="96"/>
              </w:rPr>
              <w:t>grant-date fair value</w:t>
            </w:r>
          </w:p>
        </w:tc>
        <w:tc>
          <w:tcPr>
            <w:tcW w:w="0" w:type="dxa"/>
            <w:vAlign w:val="bottom"/>
          </w:tcPr>
          <w:p>
            <w:pPr>
              <w:spacing w:after="0"/>
              <w:rPr>
                <w:sz w:val="1"/>
                <w:szCs w:val="1"/>
                <w:color w:val="auto"/>
              </w:rPr>
            </w:pPr>
          </w:p>
        </w:tc>
      </w:tr>
      <w:tr>
        <w:trPr>
          <w:trHeight w:val="253"/>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August 27, 2022</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453,003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30.68</w:t>
            </w:r>
          </w:p>
        </w:tc>
        <w:tc>
          <w:tcPr>
            <w:tcW w:w="0" w:type="dxa"/>
            <w:vAlign w:val="bottom"/>
          </w:tcPr>
          <w:p>
            <w:pPr>
              <w:spacing w:after="0"/>
              <w:rPr>
                <w:sz w:val="1"/>
                <w:szCs w:val="1"/>
                <w:color w:val="auto"/>
              </w:rPr>
            </w:pPr>
          </w:p>
        </w:tc>
      </w:tr>
      <w:tr>
        <w:trPr>
          <w:trHeight w:val="260"/>
        </w:trPr>
        <w:tc>
          <w:tcPr>
            <w:tcW w:w="380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289,046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37.16</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(203,880)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28.11</w:t>
            </w:r>
          </w:p>
        </w:tc>
        <w:tc>
          <w:tcPr>
            <w:tcW w:w="0" w:type="dxa"/>
            <w:vAlign w:val="bottom"/>
          </w:tcPr>
          <w:p>
            <w:pPr>
              <w:spacing w:after="0"/>
              <w:rPr>
                <w:sz w:val="1"/>
                <w:szCs w:val="1"/>
                <w:color w:val="auto"/>
              </w:rPr>
            </w:pPr>
          </w:p>
        </w:tc>
      </w:tr>
      <w:tr>
        <w:trPr>
          <w:trHeight w:val="257"/>
        </w:trPr>
        <w:tc>
          <w:tcPr>
            <w:tcW w:w="380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(48,883)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33.38</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May 27, 2023</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489,286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35.31</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231"/>
        <w:spacing w:after="0" w:line="277" w:lineRule="auto"/>
        <w:rPr>
          <w:sz w:val="20"/>
          <w:szCs w:val="20"/>
          <w:color w:val="auto"/>
        </w:rPr>
      </w:pPr>
      <w:r>
        <w:rPr>
          <w:rFonts w:ascii="Arial" w:cs="Arial" w:eastAsia="Arial" w:hAnsi="Arial"/>
          <w:sz w:val="18"/>
          <w:szCs w:val="18"/>
          <w:color w:val="auto"/>
        </w:rPr>
        <w:t>As of May 27, 2023, the Company had $11.9 million of total unrecognized compensation cost related to restricted stock units that will be recognized over a weighted average period of 1.5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252" w:lineRule="exact"/>
        <w:rPr>
          <w:sz w:val="20"/>
          <w:szCs w:val="20"/>
          <w:color w:val="auto"/>
        </w:rPr>
      </w:pPr>
    </w:p>
    <w:p>
      <w:pPr>
        <w:jc w:val="both"/>
        <w:ind w:firstLine="187"/>
        <w:spacing w:after="0" w:line="263" w:lineRule="auto"/>
        <w:rPr>
          <w:sz w:val="20"/>
          <w:szCs w:val="20"/>
          <w:color w:val="auto"/>
        </w:rPr>
      </w:pPr>
      <w:r>
        <w:rPr>
          <w:rFonts w:ascii="Arial" w:cs="Arial" w:eastAsia="Arial" w:hAnsi="Arial"/>
          <w:sz w:val="18"/>
          <w:szCs w:val="18"/>
          <w:color w:val="auto"/>
        </w:rPr>
        <w:t>During the thirty-nine weeks ended May 27, 2023, the Company granted performance stock units under its equity compensation plan. Performance stock units vest in a range between 0% and 200% based upon certain performance criteria in a three-year period. Performance stock units were valued using a Monte Carlo simulation.</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performance stock unit activity for the thirty-nine weeks ended May 27, 2023:</w:t>
      </w:r>
    </w:p>
    <w:p>
      <w:pPr>
        <w:spacing w:after="0" w:line="302"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w w:val="90"/>
              </w:rPr>
              <w:t>Weighted average</w:t>
            </w:r>
          </w:p>
        </w:tc>
        <w:tc>
          <w:tcPr>
            <w:tcW w:w="0" w:type="dxa"/>
            <w:vAlign w:val="bottom"/>
          </w:tcPr>
          <w:p>
            <w:pPr>
              <w:spacing w:after="0"/>
              <w:rPr>
                <w:sz w:val="1"/>
                <w:szCs w:val="1"/>
                <w:color w:val="auto"/>
              </w:rPr>
            </w:pPr>
          </w:p>
        </w:tc>
      </w:tr>
      <w:tr>
        <w:trPr>
          <w:trHeight w:val="209"/>
        </w:trPr>
        <w:tc>
          <w:tcPr>
            <w:tcW w:w="3800" w:type="dxa"/>
            <w:vAlign w:val="bottom"/>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8"/>
              </w:rPr>
              <w:t>grant-date fair value</w:t>
            </w:r>
          </w:p>
        </w:tc>
        <w:tc>
          <w:tcPr>
            <w:tcW w:w="0" w:type="dxa"/>
            <w:vAlign w:val="bottom"/>
          </w:tcPr>
          <w:p>
            <w:pPr>
              <w:spacing w:after="0"/>
              <w:rPr>
                <w:sz w:val="1"/>
                <w:szCs w:val="1"/>
                <w:color w:val="auto"/>
              </w:rPr>
            </w:pPr>
          </w:p>
        </w:tc>
      </w:tr>
      <w:tr>
        <w:trPr>
          <w:trHeight w:val="253"/>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August 27, 2022</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255,023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32.82</w:t>
            </w:r>
          </w:p>
        </w:tc>
        <w:tc>
          <w:tcPr>
            <w:tcW w:w="0" w:type="dxa"/>
            <w:vAlign w:val="bottom"/>
          </w:tcPr>
          <w:p>
            <w:pPr>
              <w:spacing w:after="0"/>
              <w:rPr>
                <w:sz w:val="1"/>
                <w:szCs w:val="1"/>
                <w:color w:val="auto"/>
              </w:rPr>
            </w:pPr>
          </w:p>
        </w:tc>
      </w:tr>
      <w:tr>
        <w:trPr>
          <w:trHeight w:val="260"/>
        </w:trPr>
        <w:tc>
          <w:tcPr>
            <w:tcW w:w="380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50,629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62.55</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(72,452)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w:t>
            </w:r>
          </w:p>
        </w:tc>
        <w:tc>
          <w:tcPr>
            <w:tcW w:w="0" w:type="dxa"/>
            <w:vAlign w:val="bottom"/>
          </w:tcPr>
          <w:p>
            <w:pPr>
              <w:spacing w:after="0"/>
              <w:rPr>
                <w:sz w:val="1"/>
                <w:szCs w:val="1"/>
                <w:color w:val="auto"/>
              </w:rPr>
            </w:pPr>
          </w:p>
        </w:tc>
      </w:tr>
      <w:tr>
        <w:trPr>
          <w:trHeight w:val="256"/>
        </w:trPr>
        <w:tc>
          <w:tcPr>
            <w:tcW w:w="380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31.00</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May 27, 2023</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195,959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42.85</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firstLine="208"/>
        <w:spacing w:after="0" w:line="277" w:lineRule="auto"/>
        <w:rPr>
          <w:sz w:val="20"/>
          <w:szCs w:val="20"/>
          <w:color w:val="auto"/>
        </w:rPr>
      </w:pPr>
      <w:r>
        <w:rPr>
          <w:rFonts w:ascii="Arial" w:cs="Arial" w:eastAsia="Arial" w:hAnsi="Arial"/>
          <w:sz w:val="18"/>
          <w:szCs w:val="18"/>
          <w:color w:val="auto"/>
        </w:rPr>
        <w:t>As of May 27, 2023, the Company had $4.2 million of total unrecognized compensation cost related to performance stock units that will be recognized over a weighted average period of 1.2 years.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252" w:lineRule="exact"/>
        <w:rPr>
          <w:sz w:val="20"/>
          <w:szCs w:val="20"/>
          <w:color w:val="auto"/>
        </w:rPr>
      </w:pPr>
    </w:p>
    <w:p>
      <w:pPr>
        <w:jc w:val="both"/>
        <w:ind w:firstLine="217"/>
        <w:spacing w:after="0" w:line="286" w:lineRule="auto"/>
        <w:rPr>
          <w:sz w:val="20"/>
          <w:szCs w:val="20"/>
          <w:color w:val="auto"/>
        </w:rPr>
      </w:pPr>
      <w:r>
        <w:rPr>
          <w:rFonts w:ascii="Arial" w:cs="Arial" w:eastAsia="Arial" w:hAnsi="Arial"/>
          <w:sz w:val="17"/>
          <w:szCs w:val="17"/>
          <w:color w:val="auto"/>
        </w:rPr>
        <w:t>Stock appreciation rights (“SARs”) permit the holder to participate in the appreciation of the Company’s common stock price and are awarded to non-employee consultants of the Company. The Company’s SARs settle in shares of its common stock once the applicable vesting criteria have been met. The SARs outstanding as of May 27, 2023 cliff vest two years from the date of grant and must be exercised within five years.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SARs activity for the thirty-nine weeks ended May 27, 2023:</w:t>
      </w:r>
    </w:p>
    <w:p>
      <w:pPr>
        <w:spacing w:after="0" w:line="275"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Shares underlying</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w w:val="89"/>
              </w:rPr>
              <w:t>Weighted average</w:t>
            </w:r>
          </w:p>
        </w:tc>
      </w:tr>
      <w:tr>
        <w:trPr>
          <w:trHeight w:val="209"/>
        </w:trPr>
        <w:tc>
          <w:tcPr>
            <w:tcW w:w="3800" w:type="dxa"/>
            <w:vAlign w:val="bottom"/>
          </w:tcPr>
          <w:p>
            <w:pPr>
              <w:spacing w:after="0"/>
              <w:rPr>
                <w:sz w:val="18"/>
                <w:szCs w:val="18"/>
                <w:color w:val="auto"/>
              </w:rPr>
            </w:pPr>
          </w:p>
        </w:tc>
        <w:tc>
          <w:tcPr>
            <w:tcW w:w="14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SARs</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exercise price</w:t>
            </w:r>
          </w:p>
        </w:tc>
      </w:tr>
      <w:tr>
        <w:trPr>
          <w:trHeight w:val="253"/>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August 27,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24.20</w:t>
            </w:r>
          </w:p>
        </w:tc>
      </w:tr>
      <w:tr>
        <w:trPr>
          <w:trHeight w:val="261"/>
        </w:trPr>
        <w:tc>
          <w:tcPr>
            <w:tcW w:w="3800" w:type="dxa"/>
            <w:vAlign w:val="bottom"/>
          </w:tcPr>
          <w:p>
            <w:pPr>
              <w:ind w:left="12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150,000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37.67</w:t>
            </w:r>
          </w:p>
        </w:tc>
      </w:tr>
      <w:tr>
        <w:trPr>
          <w:trHeight w:val="273"/>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24.20</w:t>
            </w:r>
          </w:p>
        </w:tc>
      </w:tr>
      <w:tr>
        <w:trPr>
          <w:trHeight w:val="257"/>
        </w:trPr>
        <w:tc>
          <w:tcPr>
            <w:tcW w:w="3800" w:type="dxa"/>
            <w:vAlign w:val="bottom"/>
          </w:tcPr>
          <w:p>
            <w:pPr>
              <w:ind w:left="120"/>
              <w:spacing w:after="0"/>
              <w:rPr>
                <w:sz w:val="20"/>
                <w:szCs w:val="20"/>
                <w:color w:val="auto"/>
              </w:rPr>
            </w:pPr>
            <w:r>
              <w:rPr>
                <w:rFonts w:ascii="Arial" w:cs="Arial" w:eastAsia="Arial" w:hAnsi="Arial"/>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May 27,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37.67</w:t>
            </w:r>
          </w:p>
        </w:tc>
      </w:tr>
    </w:tbl>
    <w:p>
      <w:pPr>
        <w:spacing w:after="0" w:line="296" w:lineRule="exact"/>
        <w:rPr>
          <w:sz w:val="20"/>
          <w:szCs w:val="20"/>
          <w:color w:val="auto"/>
        </w:rPr>
      </w:pPr>
    </w:p>
    <w:p>
      <w:pPr>
        <w:ind w:right="120" w:firstLine="180"/>
        <w:spacing w:after="0" w:line="248" w:lineRule="auto"/>
        <w:rPr>
          <w:sz w:val="20"/>
          <w:szCs w:val="20"/>
          <w:color w:val="auto"/>
        </w:rPr>
      </w:pPr>
      <w:r>
        <w:rPr>
          <w:rFonts w:ascii="Arial" w:cs="Arial" w:eastAsia="Arial" w:hAnsi="Arial"/>
          <w:sz w:val="18"/>
          <w:szCs w:val="18"/>
          <w:color w:val="auto"/>
        </w:rPr>
        <w:t>The SARs exercised in the thirty-nine weeks ended May 27, 2023 resulted in a net issuance of 38,850 shares of the Company’s common stock. The SARs granted in the thirty-nine weeks ended May 27, 2023 are liability-classified; therefore the related stock-based compensation expense is based on the vesting provisions and the fair value of the awards.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and Related Charges</w:t>
      </w:r>
    </w:p>
    <w:p>
      <w:pPr>
        <w:spacing w:after="0" w:line="256" w:lineRule="exact"/>
        <w:rPr>
          <w:sz w:val="20"/>
          <w:szCs w:val="20"/>
          <w:color w:val="auto"/>
        </w:rPr>
      </w:pPr>
    </w:p>
    <w:p>
      <w:pPr>
        <w:jc w:val="both"/>
        <w:ind w:firstLine="187"/>
        <w:spacing w:after="0" w:line="259" w:lineRule="auto"/>
        <w:rPr>
          <w:sz w:val="20"/>
          <w:szCs w:val="20"/>
          <w:color w:val="auto"/>
        </w:rPr>
      </w:pPr>
      <w:r>
        <w:rPr>
          <w:rFonts w:ascii="Arial" w:cs="Arial" w:eastAsia="Arial" w:hAnsi="Arial"/>
          <w:sz w:val="18"/>
          <w:szCs w:val="18"/>
          <w:color w:val="auto"/>
        </w:rPr>
        <w:t>In May 2020, the Company announced certain restructuring activities in conjunction with the implementation of the Company’s future-state organization design, which created a fully integrated organization with its completed acquisition of Quest Nutrition, LLC on November 7, 2019. The new organization design became effective on August 31, 2020. These restructuring plans primarily included workforce reductions, changes in management structure, and the relocation of business activities from one location to another.</w:t>
      </w:r>
    </w:p>
    <w:p>
      <w:pPr>
        <w:spacing w:after="0" w:line="214" w:lineRule="exact"/>
        <w:rPr>
          <w:sz w:val="20"/>
          <w:szCs w:val="20"/>
          <w:color w:val="auto"/>
        </w:rPr>
      </w:pPr>
    </w:p>
    <w:p>
      <w:pPr>
        <w:jc w:val="both"/>
        <w:ind w:firstLine="182"/>
        <w:spacing w:after="0" w:line="279" w:lineRule="auto"/>
        <w:rPr>
          <w:sz w:val="20"/>
          <w:szCs w:val="20"/>
          <w:color w:val="auto"/>
        </w:rPr>
      </w:pPr>
      <w:r>
        <w:rPr>
          <w:rFonts w:ascii="Arial" w:cs="Arial" w:eastAsia="Arial" w:hAnsi="Arial"/>
          <w:sz w:val="17"/>
          <w:szCs w:val="17"/>
          <w:color w:val="auto"/>
        </w:rPr>
        <w:t>The Company substantially completed its restructuring activities during the third quarter of fiscal 2022; therefore no restructuring or restructuring-related costs were incurred in the thirteen and thirty-nine weeks ended May 27, 2023 and the thirteen weeks ended May 28, 2022. During the thirty-nine weeks ended May 28, 2022, the Company incurred $0.1 million of restructuring and restructuring-related costs. Since the announcement of the restructuring activities in May 2020, the Company incurred aggregate restructuring and restructuring-related costs of $9.9 million.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242"/>
        <w:spacing w:after="0" w:line="288" w:lineRule="auto"/>
        <w:rPr>
          <w:sz w:val="20"/>
          <w:szCs w:val="20"/>
          <w:color w:val="auto"/>
        </w:rPr>
      </w:pPr>
      <w:r>
        <w:rPr>
          <w:rFonts w:ascii="Arial" w:cs="Arial" w:eastAsia="Arial" w:hAnsi="Arial"/>
          <w:sz w:val="16"/>
          <w:szCs w:val="16"/>
          <w:i w:val="1"/>
          <w:iCs w:val="1"/>
          <w:color w:val="auto"/>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include, but are not limited to, our expectations regarding our supply chain, including but not limited to, raw materials and logistics costs, the effect of price increases, inflationary pressure on us and our contract manufacturers, and the unforeseen business disruptions or other effects due to current global geopolitical tensions, including relating to Ukraine. We disclaim any undertaking to publicly update or revise any forward-looking statements contained herein to reflect any change in our expectations with regard thereto or any change in events, conditions or circumstances on which any such statement is based, except as required by applicable law. These statements reflect our current views with respect to future events and are based on assumptions subject to risks and uncertainties. Such risks and uncertainties include those related to our ability to sell our products.</w:t>
      </w:r>
    </w:p>
    <w:p>
      <w:pPr>
        <w:spacing w:after="0" w:line="195" w:lineRule="exact"/>
        <w:rPr>
          <w:sz w:val="20"/>
          <w:szCs w:val="20"/>
          <w:color w:val="auto"/>
        </w:rPr>
      </w:pPr>
    </w:p>
    <w:p>
      <w:pPr>
        <w:jc w:val="both"/>
        <w:ind w:firstLine="197"/>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in our Annual Report on Form 10-K for the fiscal year ended August 27, 2022 (“Annual Report”) and our unaudited consolidated financial statements and the related notes appearing elsewhere in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in Item 1A. “Risk Factors” of our Annual Report. The Company assumes no obligation to update any of these forward-looking statements.</w:t>
      </w:r>
    </w:p>
    <w:p>
      <w:pPr>
        <w:spacing w:after="0" w:line="219" w:lineRule="exact"/>
        <w:rPr>
          <w:sz w:val="20"/>
          <w:szCs w:val="20"/>
          <w:color w:val="auto"/>
        </w:rPr>
      </w:pPr>
    </w:p>
    <w:p>
      <w:pPr>
        <w:ind w:right="60" w:firstLine="180"/>
        <w:spacing w:after="0" w:line="277" w:lineRule="auto"/>
        <w:rPr>
          <w:sz w:val="20"/>
          <w:szCs w:val="20"/>
          <w:color w:val="auto"/>
        </w:rPr>
      </w:pPr>
      <w:r>
        <w:rPr>
          <w:rFonts w:ascii="Arial" w:cs="Arial" w:eastAsia="Arial" w:hAnsi="Arial"/>
          <w:sz w:val="18"/>
          <w:szCs w:val="18"/>
          <w:i w:val="1"/>
          <w:iCs w:val="1"/>
          <w:color w:val="auto"/>
        </w:rPr>
        <w:t>Unless the context requires otherwise in this Report, the terms “we,” “us,” “our,” the “Company” and “Simply Good Foods” refer to The Simply Good Foods Company and its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192"/>
        <w:spacing w:after="0" w:line="258" w:lineRule="auto"/>
        <w:rPr>
          <w:sz w:val="20"/>
          <w:szCs w:val="20"/>
          <w:color w:val="auto"/>
        </w:rPr>
      </w:pPr>
      <w:r>
        <w:rPr>
          <w:rFonts w:ascii="Arial" w:cs="Arial" w:eastAsia="Arial" w:hAnsi="Arial"/>
          <w:sz w:val="17"/>
          <w:szCs w:val="17"/>
          <w:color w:val="auto"/>
        </w:rPr>
        <w:t>The Simply Good Foods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we develop, market and sell consists primarily of protein bars, ready-to-drink (“RTD”) shakes, sweet and salty snacks and confectionery products marketed under the Atkins®, Atkins Endulge®, Quest® and Quest Hero</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brand names. We believe Simply Good Foods is poised to expand its wellness platform through innovation and organic growth along with acquisition opportunities in the nutritional snacking space.</w:t>
      </w:r>
    </w:p>
    <w:p>
      <w:pPr>
        <w:spacing w:after="0" w:line="211" w:lineRule="exact"/>
        <w:rPr>
          <w:sz w:val="20"/>
          <w:szCs w:val="20"/>
          <w:color w:val="auto"/>
        </w:rPr>
      </w:pPr>
    </w:p>
    <w:p>
      <w:pPr>
        <w:jc w:val="both"/>
        <w:ind w:firstLine="215"/>
        <w:spacing w:after="0" w:line="275" w:lineRule="auto"/>
        <w:rPr>
          <w:sz w:val="20"/>
          <w:szCs w:val="20"/>
          <w:color w:val="auto"/>
        </w:rPr>
      </w:pPr>
      <w:r>
        <w:rPr>
          <w:rFonts w:ascii="Arial" w:cs="Arial" w:eastAsia="Arial" w:hAnsi="Arial"/>
          <w:sz w:val="17"/>
          <w:szCs w:val="17"/>
          <w:color w:val="auto"/>
        </w:rPr>
        <w:t>Our nutritious snacking platform consists of brands that specialize in providing products for consumers that follow certain nutritional philosophies and health-and-wellness trends: Atkins® for those following a low-carb lifestyle and Quest® for consumers seeking a variety of protein-rich foods and beverages that also limit sugars and simple carbs.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w:t>
      </w:r>
    </w:p>
    <w:p>
      <w:pPr>
        <w:spacing w:after="0" w:line="256" w:lineRule="exact"/>
        <w:rPr>
          <w:sz w:val="20"/>
          <w:szCs w:val="20"/>
          <w:color w:val="auto"/>
        </w:rPr>
      </w:pPr>
    </w:p>
    <w:p>
      <w:pPr>
        <w:jc w:val="both"/>
        <w:ind w:firstLine="210"/>
        <w:spacing w:after="0" w:line="272" w:lineRule="auto"/>
        <w:rPr>
          <w:sz w:val="20"/>
          <w:szCs w:val="20"/>
          <w:color w:val="auto"/>
        </w:rPr>
      </w:pPr>
      <w:r>
        <w:rPr>
          <w:rFonts w:ascii="Arial" w:cs="Arial" w:eastAsia="Arial" w:hAnsi="Arial"/>
          <w:sz w:val="17"/>
          <w:szCs w:val="17"/>
          <w:color w:val="auto"/>
        </w:rPr>
        <w:t>We continue to actively monitor the effect of the dynamic macroeconomic inflationary environment in the United States and elsewhere, elevated levels of supply chain costs, and the level of consumer mobility, which includes the rate at which consumers return to working outside the home. Current or future governmental policies may increase the risk of inflation and possible economic recession, which could further increase the costs of ingredients, packaging and finished goods for our business as well as negatively effect consumer behavior and demand for our products. Additionally, management is continuing to monitor the conflict in Ukraine, especially regarding the availability and cost of raw materials that are produced in this region and Europe in general. Management is also monitoring for signs of any expansion of economic or supply chain disruptions or broader supply chain inflationary costs resulting either directly or indirectly from the crisis in Eastern Europe.</w:t>
      </w:r>
    </w:p>
    <w:p>
      <w:pPr>
        <w:spacing w:after="0" w:line="204" w:lineRule="exact"/>
        <w:rPr>
          <w:sz w:val="20"/>
          <w:szCs w:val="20"/>
          <w:color w:val="auto"/>
        </w:rPr>
      </w:pPr>
    </w:p>
    <w:p>
      <w:pPr>
        <w:jc w:val="both"/>
        <w:ind w:firstLine="261"/>
        <w:spacing w:after="0" w:line="259" w:lineRule="auto"/>
        <w:rPr>
          <w:sz w:val="20"/>
          <w:szCs w:val="20"/>
          <w:color w:val="auto"/>
        </w:rPr>
      </w:pPr>
      <w:r>
        <w:rPr>
          <w:rFonts w:ascii="Arial" w:cs="Arial" w:eastAsia="Arial" w:hAnsi="Arial"/>
          <w:sz w:val="18"/>
          <w:szCs w:val="18"/>
          <w:color w:val="auto"/>
        </w:rPr>
        <w:t>During the thirteen and thirty-nine weeks ended May 27, 2023, our business performance was affected by the corresponding unfavorable effects of higher raw material costs, higher co-manufacturing costs, and supply chain challenges, including supply chain disruptions resulting from labor shortages and disruptions in ingredients, and we expect on balance that these inflationary cost pressures and supply chain challenges to continue for the remainder of fiscal year 2023.</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ind w:firstLine="201"/>
        <w:spacing w:after="0" w:line="259" w:lineRule="auto"/>
        <w:rPr>
          <w:sz w:val="20"/>
          <w:szCs w:val="20"/>
          <w:color w:val="auto"/>
        </w:rPr>
      </w:pPr>
      <w:r>
        <w:rPr>
          <w:rFonts w:ascii="Arial" w:cs="Arial" w:eastAsia="Arial" w:hAnsi="Arial"/>
          <w:sz w:val="18"/>
          <w:szCs w:val="18"/>
          <w:color w:val="auto"/>
        </w:rPr>
        <w:t>We continue to proactively engage with our retail customers, contract manufacturers, and logistics and transportation providers, to meet demand for our products and to remain informed of any challenges within our business operations. Additionally, we instituted price increases effective in the first and fourth quarters of fiscal year 2022. Management believes these price increases and additional cost savings initiatives will partially offset the unfavorable effects of the supply chain cost pressures discussed above.</w:t>
      </w:r>
    </w:p>
    <w:p>
      <w:pPr>
        <w:spacing w:after="0" w:line="214" w:lineRule="exact"/>
        <w:rPr>
          <w:sz w:val="20"/>
          <w:szCs w:val="20"/>
          <w:color w:val="auto"/>
        </w:rPr>
      </w:pPr>
    </w:p>
    <w:p>
      <w:pPr>
        <w:jc w:val="both"/>
        <w:ind w:firstLine="204"/>
        <w:spacing w:after="0" w:line="259" w:lineRule="auto"/>
        <w:rPr>
          <w:sz w:val="20"/>
          <w:szCs w:val="20"/>
          <w:color w:val="auto"/>
        </w:rPr>
      </w:pPr>
      <w:r>
        <w:rPr>
          <w:rFonts w:ascii="Arial" w:cs="Arial" w:eastAsia="Arial" w:hAnsi="Arial"/>
          <w:sz w:val="18"/>
          <w:szCs w:val="18"/>
          <w:color w:val="auto"/>
        </w:rPr>
        <w:t>Based on information available to us as of the date of this Report, we believe we will be able to deliver products at acceptable levels to fulfill customer orders on a timely basis; therefore, we expect our products will continue to be available for purchase to meet consumer meal replacement and snacking needs for the foreseeable future. We continue to monitor customer and consumer demand along with our supply chain and logistics capabilities and intend to adapt our plans as needed to continue to drive our business and meet our obligations.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252" w:lineRule="exact"/>
        <w:rPr>
          <w:sz w:val="20"/>
          <w:szCs w:val="20"/>
          <w:color w:val="auto"/>
        </w:rPr>
      </w:pPr>
    </w:p>
    <w:p>
      <w:pPr>
        <w:jc w:val="both"/>
        <w:ind w:firstLine="273"/>
        <w:spacing w:after="0" w:line="282"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Net sales consist primarily of product sales less the cost of promotional activities, slotting fees and other sales credits and 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product returns.</w:t>
      </w:r>
    </w:p>
    <w:p>
      <w:pPr>
        <w:spacing w:after="0" w:line="189" w:lineRule="exact"/>
        <w:rPr>
          <w:sz w:val="20"/>
          <w:szCs w:val="20"/>
          <w:color w:val="auto"/>
        </w:rPr>
      </w:pPr>
    </w:p>
    <w:p>
      <w:pPr>
        <w:jc w:val="both"/>
        <w:ind w:firstLine="189"/>
        <w:spacing w:after="0" w:line="261" w:lineRule="auto"/>
        <w:rPr>
          <w:sz w:val="20"/>
          <w:szCs w:val="20"/>
          <w:color w:val="auto"/>
        </w:rPr>
      </w:pPr>
      <w:r>
        <w:rPr>
          <w:rFonts w:ascii="Arial" w:cs="Arial" w:eastAsia="Arial" w:hAnsi="Arial"/>
          <w:sz w:val="18"/>
          <w:szCs w:val="18"/>
          <w:b w:val="1"/>
          <w:bCs w:val="1"/>
          <w:color w:val="auto"/>
        </w:rPr>
        <w:t xml:space="preserve">Cost of goods sold. </w:t>
      </w:r>
      <w:r>
        <w:rPr>
          <w:rFonts w:ascii="Arial" w:cs="Arial" w:eastAsia="Arial" w:hAnsi="Arial"/>
          <w:sz w:val="18"/>
          <w:szCs w:val="18"/>
          <w:color w:val="auto"/>
        </w:rPr>
        <w:t>Cost of goods sold consists primarily of the costs we pay to our contract manufacturing partners to produce the products sold. These</w:t>
      </w:r>
      <w:r>
        <w:rPr>
          <w:rFonts w:ascii="Arial" w:cs="Arial" w:eastAsia="Arial" w:hAnsi="Arial"/>
          <w:sz w:val="18"/>
          <w:szCs w:val="18"/>
          <w:b w:val="1"/>
          <w:bCs w:val="1"/>
          <w:color w:val="auto"/>
        </w:rPr>
        <w:t xml:space="preserve"> </w:t>
      </w:r>
      <w:r>
        <w:rPr>
          <w:rFonts w:ascii="Arial" w:cs="Arial" w:eastAsia="Arial" w:hAnsi="Arial"/>
          <w:sz w:val="18"/>
          <w:szCs w:val="18"/>
          <w:color w:val="auto"/>
        </w:rPr>
        <w:t>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207" w:lineRule="exact"/>
        <w:rPr>
          <w:sz w:val="20"/>
          <w:szCs w:val="20"/>
          <w:color w:val="auto"/>
        </w:rPr>
      </w:pPr>
    </w:p>
    <w:p>
      <w:pPr>
        <w:jc w:val="both"/>
        <w:ind w:firstLine="269"/>
        <w:spacing w:after="0" w:line="282"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expenses consist primarily of selling and marketing, general and administrative, and depreciation and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The following is a brief description of the components of operating expenses:</w:t>
      </w:r>
    </w:p>
    <w:p>
      <w:pPr>
        <w:spacing w:after="0" w:line="19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Selling and marketing. </w:t>
      </w:r>
      <w:r>
        <w:rPr>
          <w:rFonts w:ascii="Arial" w:cs="Arial" w:eastAsia="Arial" w:hAnsi="Arial"/>
          <w:sz w:val="16"/>
          <w:szCs w:val="16"/>
          <w:color w:val="auto"/>
        </w:rPr>
        <w:t>Selling and marketing expenses comprise broker commissions, customer marketing, media and other marketing costs.</w:t>
      </w:r>
    </w:p>
    <w:p>
      <w:pPr>
        <w:spacing w:after="0" w:line="140"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comprise expenses associated with corporate and administrative functions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our business, including employee compensation, stock-based compensation, professional services, integration costs, restructuring costs, insurance and other general corporate expenses.</w:t>
      </w:r>
    </w:p>
    <w:p>
      <w:pPr>
        <w:spacing w:after="0" w:line="7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costs consist of costs associated with the depreciation of fixed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leasehold improvements and amortization of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the thirteen weeks ended May 27, 2023, our net sales increased slightly to $324.8 million compared to $316.5 million for the thirteen weeks ended May 28, 2022. The positive effects of the price increase effective in the fourth quarter of fiscal year 2022 drove a 2.6% increase in our North America net sales. Unfavorable effects of higher raw material, packaging, and co-manufacturing costs and supply chain challenges in the thirteen weeks ended May 27, 2023 resulted in decreased gross profit and gross profit margin as compared to the thirteen weeks ended May 28, 2022. As previously discussed above in “Business Trends,” we expect these inflationary cost pressures and supply chain challenges to continue for the remainder of fiscal year 2023.</w:t>
      </w:r>
    </w:p>
    <w:p>
      <w:pPr>
        <w:spacing w:after="0" w:line="219" w:lineRule="exact"/>
        <w:rPr>
          <w:sz w:val="20"/>
          <w:szCs w:val="20"/>
          <w:color w:val="auto"/>
        </w:rPr>
      </w:pPr>
    </w:p>
    <w:p>
      <w:pPr>
        <w:jc w:val="both"/>
        <w:ind w:firstLine="261"/>
        <w:spacing w:after="0" w:line="279" w:lineRule="auto"/>
        <w:rPr>
          <w:sz w:val="20"/>
          <w:szCs w:val="20"/>
          <w:color w:val="auto"/>
        </w:rPr>
      </w:pPr>
      <w:r>
        <w:rPr>
          <w:rFonts w:ascii="Arial" w:cs="Arial" w:eastAsia="Arial" w:hAnsi="Arial"/>
          <w:sz w:val="17"/>
          <w:szCs w:val="17"/>
          <w:color w:val="auto"/>
        </w:rPr>
        <w:t>In assessing the performance of our business, we consider a number of key performance indicators used by management and typically used by our competitors, including the non-GAAP measures EBITDA and Adjusted EBITDA. Because not all companies use identical calculations, this presentation of EBITDA and Adjusted EBITDA may not be comparable to other similarly titled measures of other companies. See “Reconciliation of EBITDA and Adjusted EBITDA” below for a reconciliation of EBITDA and Adjusted EBITDA to net income for each applicable period.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Unaudited Results for the Thirteen Weeks Ended May 27, 2023 and the Thirteen Weeks Ended May 28, 2022</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unaudited table presents, for the periods indicated, selected information from our Consolidated Statements of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including information presented as a percentage of net sales:</w:t>
      </w:r>
    </w:p>
    <w:p>
      <w:pPr>
        <w:spacing w:after="0" w:line="261"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color w:val="auto"/>
                <w:w w:val="91"/>
              </w:rPr>
              <w:t>Thirteen Weeks</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color w:val="auto"/>
                <w:w w:val="91"/>
              </w:rPr>
              <w:t>Thirteen Weeks</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6"/>
        </w:trPr>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color w:val="auto"/>
                <w:w w:val="90"/>
              </w:rPr>
              <w:t>Ended</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color w:val="auto"/>
                <w:w w:val="90"/>
              </w:rPr>
              <w:t>Ended</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46"/>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2"/>
              </w:rPr>
              <w:t>May 27, 2023</w:t>
            </w:r>
          </w:p>
        </w:tc>
        <w:tc>
          <w:tcPr>
            <w:tcW w:w="160" w:type="dxa"/>
            <w:vAlign w:val="bottom"/>
          </w:tcPr>
          <w:p>
            <w:pPr>
              <w:spacing w:after="0"/>
              <w:rPr>
                <w:sz w:val="21"/>
                <w:szCs w:val="21"/>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 of Net Sales</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2"/>
              </w:rPr>
              <w:t>May 28, 2022</w:t>
            </w:r>
          </w:p>
        </w:tc>
        <w:tc>
          <w:tcPr>
            <w:tcW w:w="140" w:type="dxa"/>
            <w:vAlign w:val="bottom"/>
          </w:tcPr>
          <w:p>
            <w:pPr>
              <w:spacing w:after="0"/>
              <w:rPr>
                <w:sz w:val="21"/>
                <w:szCs w:val="21"/>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 of Net Sales</w:t>
            </w:r>
          </w:p>
        </w:tc>
      </w:tr>
      <w:tr>
        <w:trPr>
          <w:trHeight w:val="266"/>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324,792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316,531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57"/>
        </w:trPr>
        <w:tc>
          <w:tcPr>
            <w:tcW w:w="36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205,546</w:t>
            </w:r>
          </w:p>
        </w:tc>
        <w:tc>
          <w:tcPr>
            <w:tcW w:w="160" w:type="dxa"/>
            <w:vAlign w:val="bottom"/>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63.3 %</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197,883</w:t>
            </w:r>
          </w:p>
        </w:tc>
        <w:tc>
          <w:tcPr>
            <w:tcW w:w="14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62.5 %</w:t>
            </w:r>
          </w:p>
        </w:tc>
      </w:tr>
      <w:tr>
        <w:trPr>
          <w:trHeight w:val="26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119,246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36.7 %</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118,648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37.5 %</w:t>
            </w:r>
          </w:p>
        </w:tc>
      </w:tr>
      <w:tr>
        <w:trPr>
          <w:trHeight w:val="270"/>
        </w:trPr>
        <w:tc>
          <w:tcPr>
            <w:tcW w:w="3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7"/>
        </w:trPr>
        <w:tc>
          <w:tcPr>
            <w:tcW w:w="3640" w:type="dxa"/>
            <w:vAlign w:val="bottom"/>
          </w:tcPr>
          <w:p>
            <w:pPr>
              <w:ind w:left="220"/>
              <w:spacing w:after="0"/>
              <w:rPr>
                <w:sz w:val="20"/>
                <w:szCs w:val="20"/>
                <w:color w:val="auto"/>
              </w:rPr>
            </w:pPr>
            <w:r>
              <w:rPr>
                <w:rFonts w:ascii="Arial" w:cs="Arial" w:eastAsia="Arial" w:hAnsi="Arial"/>
                <w:sz w:val="16"/>
                <w:szCs w:val="16"/>
                <w:color w:val="auto"/>
              </w:rPr>
              <w:t>Selling and marketing</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30,168</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9.3 %</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32,334</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10.2 %</w:t>
            </w:r>
          </w:p>
        </w:tc>
      </w:tr>
      <w:tr>
        <w:trPr>
          <w:trHeight w:val="273"/>
        </w:trPr>
        <w:tc>
          <w:tcPr>
            <w:tcW w:w="3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30,510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8.4 %</w:t>
            </w:r>
          </w:p>
        </w:tc>
      </w:tr>
      <w:tr>
        <w:trPr>
          <w:trHeight w:val="257"/>
        </w:trPr>
        <w:tc>
          <w:tcPr>
            <w:tcW w:w="36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4,363</w:t>
            </w:r>
          </w:p>
        </w:tc>
        <w:tc>
          <w:tcPr>
            <w:tcW w:w="160" w:type="dxa"/>
            <w:vAlign w:val="bottom"/>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4,317</w:t>
            </w:r>
          </w:p>
        </w:tc>
        <w:tc>
          <w:tcPr>
            <w:tcW w:w="14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r>
      <w:tr>
        <w:trPr>
          <w:trHeight w:val="26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65,041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63,372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20.0 %</w:t>
            </w:r>
          </w:p>
        </w:tc>
      </w:tr>
      <w:tr>
        <w:trPr>
          <w:trHeight w:val="270"/>
        </w:trPr>
        <w:tc>
          <w:tcPr>
            <w:tcW w:w="3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54,205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55,276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17.5 %</w:t>
            </w:r>
          </w:p>
        </w:tc>
      </w:tr>
      <w:tr>
        <w:trPr>
          <w:trHeight w:val="270"/>
        </w:trPr>
        <w:tc>
          <w:tcPr>
            <w:tcW w:w="3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7"/>
        </w:trPr>
        <w:tc>
          <w:tcPr>
            <w:tcW w:w="36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407</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3"/>
        </w:trPr>
        <w:tc>
          <w:tcPr>
            <w:tcW w:w="3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67"/>
        </w:trPr>
        <w:tc>
          <w:tcPr>
            <w:tcW w:w="3640" w:type="dxa"/>
            <w:vAlign w:val="bottom"/>
          </w:tcPr>
          <w:p>
            <w:pPr>
              <w:ind w:left="220"/>
              <w:spacing w:after="0"/>
              <w:rPr>
                <w:sz w:val="20"/>
                <w:szCs w:val="20"/>
                <w:color w:val="auto"/>
              </w:rPr>
            </w:pPr>
            <w:r>
              <w:rPr>
                <w:rFonts w:ascii="Arial" w:cs="Arial" w:eastAsia="Arial" w:hAnsi="Arial"/>
                <w:sz w:val="16"/>
                <w:szCs w:val="16"/>
                <w:color w:val="auto"/>
              </w:rPr>
              <w:t>Gain on foreign currency transactions</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180</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59"/>
        </w:trPr>
        <w:tc>
          <w:tcPr>
            <w:tcW w:w="3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61"/>
        </w:trPr>
        <w:tc>
          <w:tcPr>
            <w:tcW w:w="3640" w:type="dxa"/>
            <w:vAlign w:val="bottom"/>
          </w:tcPr>
          <w:p>
            <w:pPr>
              <w:ind w:left="20"/>
              <w:spacing w:after="0"/>
              <w:rPr>
                <w:sz w:val="20"/>
                <w:szCs w:val="20"/>
                <w:color w:val="auto"/>
              </w:rPr>
            </w:pPr>
            <w:r>
              <w:rPr>
                <w:rFonts w:ascii="Arial" w:cs="Arial" w:eastAsia="Arial" w:hAnsi="Arial"/>
                <w:sz w:val="16"/>
                <w:szCs w:val="16"/>
                <w:color w:val="auto"/>
              </w:rPr>
              <w:t>Total other expense</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(7,058)</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(4,788)</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(1.5)%</w:t>
            </w:r>
          </w:p>
        </w:tc>
      </w:tr>
      <w:tr>
        <w:trPr>
          <w:trHeight w:val="273"/>
        </w:trPr>
        <w:tc>
          <w:tcPr>
            <w:tcW w:w="3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7"/>
        </w:trPr>
        <w:tc>
          <w:tcPr>
            <w:tcW w:w="36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47,147</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14.5 %</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50,488</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16.0 %</w:t>
            </w:r>
          </w:p>
        </w:tc>
      </w:tr>
      <w:tr>
        <w:trPr>
          <w:trHeight w:val="259"/>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11,716</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11,654</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37"/>
        </w:trPr>
        <w:tc>
          <w:tcPr>
            <w:tcW w:w="36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35,431</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10.9 %</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38,834</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12.3 %</w:t>
            </w: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67"/>
        </w:trPr>
        <w:tc>
          <w:tcPr>
            <w:tcW w:w="3640" w:type="dxa"/>
            <w:vAlign w:val="bottom"/>
          </w:tcPr>
          <w:p>
            <w:pPr>
              <w:ind w:left="20"/>
              <w:spacing w:after="0"/>
              <w:rPr>
                <w:sz w:val="20"/>
                <w:szCs w:val="20"/>
                <w:color w:val="auto"/>
              </w:rPr>
            </w:pPr>
            <w:r>
              <w:rPr>
                <w:rFonts w:ascii="Arial" w:cs="Arial" w:eastAsia="Arial" w:hAnsi="Arial"/>
                <w:sz w:val="16"/>
                <w:szCs w:val="16"/>
                <w:color w:val="auto"/>
              </w:rPr>
              <w:t>Other financial data:</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6"/>
        </w:trPr>
        <w:tc>
          <w:tcPr>
            <w:tcW w:w="3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66,635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20.5 %</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63,291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20.0 %</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700" w:right="760" w:hanging="80"/>
        <w:spacing w:after="0"/>
        <w:tabs>
          <w:tab w:leader="none" w:pos="768"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Adjusted EBITDA is a non-GAAP financial metric. See “Reconciliation of EBITDA and Adjusted EBITDA” below for a reconciliation of net income to EBITDA and Adjusted EBITDA for each applicable period.</w:t>
      </w:r>
    </w:p>
    <w:p>
      <w:pPr>
        <w:spacing w:after="0" w:line="330" w:lineRule="exact"/>
        <w:rPr>
          <w:sz w:val="20"/>
          <w:szCs w:val="20"/>
          <w:color w:val="auto"/>
        </w:rPr>
      </w:pPr>
    </w:p>
    <w:p>
      <w:pPr>
        <w:jc w:val="both"/>
        <w:ind w:firstLine="213"/>
        <w:spacing w:after="0" w:line="286" w:lineRule="auto"/>
        <w:rPr>
          <w:sz w:val="20"/>
          <w:szCs w:val="20"/>
          <w:color w:val="auto"/>
        </w:rPr>
      </w:pPr>
      <w:r>
        <w:rPr>
          <w:rFonts w:ascii="Arial" w:cs="Arial" w:eastAsia="Arial" w:hAnsi="Arial"/>
          <w:sz w:val="17"/>
          <w:szCs w:val="17"/>
          <w:b w:val="1"/>
          <w:bCs w:val="1"/>
          <w:i w:val="1"/>
          <w:iCs w:val="1"/>
          <w:color w:val="auto"/>
        </w:rPr>
        <w:t>Net sales</w:t>
      </w:r>
      <w:r>
        <w:rPr>
          <w:rFonts w:ascii="Arial" w:cs="Arial" w:eastAsia="Arial" w:hAnsi="Arial"/>
          <w:sz w:val="17"/>
          <w:szCs w:val="17"/>
          <w:color w:val="auto"/>
        </w:rPr>
        <w:t>. Net sales were $324.8 million for the thirteen weeks ended May 27, 2023 compared to $316.5 million for the thirteen weeks ended May 28,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representing an increase of $8.3 million. Price increases effective in the fourth quarter of fiscal year 2022 contributed to the 2.6% increase in our North America net sales in the thirteen weeks ended May 27, 2023 compared to the thirteen weeks ended May 28, 2022.</w:t>
      </w:r>
    </w:p>
    <w:p>
      <w:pPr>
        <w:spacing w:after="0" w:line="192" w:lineRule="exact"/>
        <w:rPr>
          <w:sz w:val="20"/>
          <w:szCs w:val="20"/>
          <w:color w:val="auto"/>
        </w:rPr>
      </w:pPr>
    </w:p>
    <w:p>
      <w:pPr>
        <w:jc w:val="both"/>
        <w:ind w:firstLine="182"/>
        <w:spacing w:after="0" w:line="263" w:lineRule="auto"/>
        <w:rPr>
          <w:sz w:val="20"/>
          <w:szCs w:val="20"/>
          <w:color w:val="auto"/>
        </w:rPr>
      </w:pPr>
      <w:r>
        <w:rPr>
          <w:rFonts w:ascii="Arial" w:cs="Arial" w:eastAsia="Arial" w:hAnsi="Arial"/>
          <w:sz w:val="18"/>
          <w:szCs w:val="18"/>
          <w:b w:val="1"/>
          <w:bCs w:val="1"/>
          <w:i w:val="1"/>
          <w:iCs w:val="1"/>
          <w:color w:val="auto"/>
        </w:rPr>
        <w:t>Cost of goods sold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goods sold increased $7.7 million, or 3.9%, for the thirteen weeks ended May 27, 2023 compared to the thirteen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28, 2022. The cost of goods sold increase was primarily driven by higher raw material, packaging, and co-manufacturing costs and supply chain challenges in the thirteen weeks ended May 27, 2023.</w:t>
      </w:r>
    </w:p>
    <w:p>
      <w:pPr>
        <w:spacing w:after="0" w:line="211" w:lineRule="exact"/>
        <w:rPr>
          <w:sz w:val="20"/>
          <w:szCs w:val="20"/>
          <w:color w:val="auto"/>
        </w:rPr>
      </w:pPr>
    </w:p>
    <w:p>
      <w:pPr>
        <w:jc w:val="both"/>
        <w:ind w:firstLine="192"/>
        <w:spacing w:after="0" w:line="29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by $0.6 million, or 0.5%, for the thirteen weeks ended May 27, 2023 compared to the thirteen weeks ended May 28,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Additionally, gross profit of $119.2 million, or 36.7% of net sales, for the thirteen weeks ended May 27, 2023 decreased 80 basis points from 37.5% of net sales for the thirteen weeks ended May 28, 2022. The decrease in gross profit margin was primarily driven by the unfavorable effects of higher raw material, packaging, and co-manufacturing costs and supply chain challenges in the thirteen weeks ended May 27, 2023 as previously discussed. This decrease was partially offset by the favorable effects of the price increase which became effective in the fourth quarter of fiscal year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firstLine="230"/>
        <w:spacing w:after="0" w:line="277" w:lineRule="auto"/>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 Operating expenses increased $1.7 million, or 2.6%, for the thirteen weeks ended May 27, 2023 compared to the thirteen weeks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May 28, 2022 due to the following:</w:t>
      </w:r>
    </w:p>
    <w:p>
      <w:pPr>
        <w:spacing w:after="0" w:line="197" w:lineRule="exact"/>
        <w:rPr>
          <w:sz w:val="20"/>
          <w:szCs w:val="20"/>
          <w:color w:val="auto"/>
        </w:rPr>
      </w:pPr>
    </w:p>
    <w:p>
      <w:pPr>
        <w:ind w:left="660" w:hanging="247"/>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Selling and marketing expenses decreased $2.2 million, or 6.7%, for the thirteen weeks ended May 27, 2023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thirteen weeks ended May 28, 2022, primarily related to the timing of marketing spend.</w:t>
      </w:r>
    </w:p>
    <w:p>
      <w:pPr>
        <w:spacing w:after="0" w:line="62" w:lineRule="exact"/>
        <w:rPr>
          <w:rFonts w:ascii="Arial" w:cs="Arial" w:eastAsia="Arial" w:hAnsi="Arial"/>
          <w:sz w:val="18"/>
          <w:szCs w:val="18"/>
          <w:color w:val="auto"/>
        </w:rPr>
      </w:pPr>
    </w:p>
    <w:p>
      <w:pPr>
        <w:jc w:val="both"/>
        <w:ind w:left="660" w:hanging="247"/>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$3.8 million, or 14.2%, for the thirteen weeks ended May 27,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thirteen weeks ended May 28, 2022. The increase in general and administrative expenses was primarily attributable to $2.4 million of fees related to the extension of the Term Loan, $0.9 million of stock based compensation, $0.7 million of executive officer transition costs, and increased plant trial spend, partially offset by a reduction in employee-related expenses and the discontinuation of costs related to business integration activities.</w:t>
      </w:r>
    </w:p>
    <w:p>
      <w:pPr>
        <w:spacing w:after="0" w:line="79"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were $4.4 million for the thirteen weeks ended May 27, 2023 and</w:t>
      </w:r>
      <w:r>
        <w:rPr>
          <w:rFonts w:ascii="Arial" w:cs="Arial" w:eastAsia="Arial" w:hAnsi="Arial"/>
          <w:sz w:val="18"/>
          <w:szCs w:val="18"/>
          <w:i w:val="1"/>
          <w:iCs w:val="1"/>
          <w:color w:val="auto"/>
        </w:rPr>
        <w:t xml:space="preserve"> </w:t>
      </w:r>
      <w:r>
        <w:rPr>
          <w:rFonts w:ascii="Arial" w:cs="Arial" w:eastAsia="Arial" w:hAnsi="Arial"/>
          <w:sz w:val="18"/>
          <w:szCs w:val="18"/>
          <w:color w:val="auto"/>
        </w:rPr>
        <w:t>May 28, 2022.</w:t>
      </w:r>
    </w:p>
    <w:p>
      <w:pPr>
        <w:spacing w:after="0" w:line="197" w:lineRule="exact"/>
        <w:rPr>
          <w:sz w:val="20"/>
          <w:szCs w:val="20"/>
          <w:color w:val="auto"/>
        </w:rPr>
      </w:pPr>
    </w:p>
    <w:p>
      <w:pPr>
        <w:jc w:val="both"/>
        <w:ind w:firstLine="242"/>
        <w:spacing w:after="0" w:line="275" w:lineRule="auto"/>
        <w:rPr>
          <w:sz w:val="20"/>
          <w:szCs w:val="20"/>
          <w:color w:val="auto"/>
        </w:rPr>
      </w:pPr>
      <w:r>
        <w:rPr>
          <w:rFonts w:ascii="Arial" w:cs="Arial" w:eastAsia="Arial" w:hAnsi="Arial"/>
          <w:sz w:val="17"/>
          <w:szCs w:val="17"/>
          <w:b w:val="1"/>
          <w:bCs w:val="1"/>
          <w:i w:val="1"/>
          <w:iCs w:val="1"/>
          <w:color w:val="auto"/>
        </w:rPr>
        <w:t>Interest expense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expense increased $2.8 million for the thirteen weeks ended May 27, 2023 compared to the thirteen weeks ended May 28,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primarily due to the increase in interest rates on our Term Facility (as defined below) to 7.7% as of May 27, 2023 from 4.7% as of May 28, 2022. The increase was partially offset by the effect of principal payments reducing the outstanding balance of the Term Facility to $325.0 million as of May 27, 2023 from $406.5 million as of May 28, 2022. Additionally, interest expense related to the amortization of deferred financing costs and debt discount increased $0.1 million for the thirteen weeks ended May 27, 2023 compared to the thirteen weeks ended May 28, 2022.</w:t>
      </w:r>
    </w:p>
    <w:p>
      <w:pPr>
        <w:spacing w:after="0" w:line="203" w:lineRule="exact"/>
        <w:rPr>
          <w:sz w:val="20"/>
          <w:szCs w:val="20"/>
          <w:color w:val="auto"/>
        </w:rPr>
      </w:pPr>
    </w:p>
    <w:p>
      <w:pPr>
        <w:jc w:val="both"/>
        <w:ind w:firstLine="189"/>
        <w:spacing w:after="0" w:line="263" w:lineRule="auto"/>
        <w:rPr>
          <w:sz w:val="20"/>
          <w:szCs w:val="20"/>
          <w:color w:val="auto"/>
        </w:rPr>
      </w:pPr>
      <w:r>
        <w:rPr>
          <w:rFonts w:ascii="Arial" w:cs="Arial" w:eastAsia="Arial" w:hAnsi="Arial"/>
          <w:sz w:val="18"/>
          <w:szCs w:val="18"/>
          <w:b w:val="1"/>
          <w:bCs w:val="1"/>
          <w:i w:val="1"/>
          <w:iCs w:val="1"/>
          <w:color w:val="auto"/>
        </w:rPr>
        <w:t xml:space="preserve">Gain on foreign currency transactions. </w:t>
      </w:r>
      <w:r>
        <w:rPr>
          <w:rFonts w:ascii="Arial" w:cs="Arial" w:eastAsia="Arial" w:hAnsi="Arial"/>
          <w:sz w:val="18"/>
          <w:szCs w:val="18"/>
          <w:color w:val="auto"/>
        </w:rPr>
        <w:t>Foreign currency transactions resulted in a gain of $0.2 million and a gain of $0.1 million for the thirteen weeks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May 27, 2023 and May 28, 2022, respectively. The variance is attributable to changes in foreign currency rates related to our international operations.</w:t>
      </w:r>
    </w:p>
    <w:p>
      <w:pPr>
        <w:spacing w:after="0" w:line="211" w:lineRule="exact"/>
        <w:rPr>
          <w:sz w:val="20"/>
          <w:szCs w:val="20"/>
          <w:color w:val="auto"/>
        </w:rPr>
      </w:pPr>
    </w:p>
    <w:p>
      <w:pPr>
        <w:jc w:val="both"/>
        <w:ind w:firstLine="259"/>
        <w:spacing w:after="0" w:line="342"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increased $0.1 million for the thirteen weeks ended May 27, 2023 compared to the thirteen weeks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28, 2022. The decrease in our income tax expense was primarily driven by lower income from operations and changes in permanent differences.</w:t>
      </w:r>
    </w:p>
    <w:p>
      <w:pPr>
        <w:spacing w:after="0" w:line="151"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was $35.4 million for the thirteen weeks ended May 27, 2023, a decrease of $3.4 million compared to net income of $38.8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thirteen weeks ended May 28, 2022. The decrease in net income was partially driven by a $1.1 million decrease in income from operations, unfavorable effects of higher raw material and co-manufacturing costs and supply chain challenges, and the $2.8 million increase in interest expense in the thirteen weeks ended May 27, 2023 as discussed above.</w:t>
      </w:r>
    </w:p>
    <w:p>
      <w:pPr>
        <w:spacing w:after="0" w:line="214" w:lineRule="exact"/>
        <w:rPr>
          <w:sz w:val="20"/>
          <w:szCs w:val="20"/>
          <w:color w:val="auto"/>
        </w:rPr>
      </w:pPr>
    </w:p>
    <w:p>
      <w:pPr>
        <w:jc w:val="both"/>
        <w:ind w:firstLine="187"/>
        <w:spacing w:after="0" w:line="26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increased $3.3 million, or 5.3% for the thirteen weeks ended May 27, 2023 compared to the thirteen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28, 2022, driven primarily by higher gross profit and lower selling and marketing spend.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Unaudited Results for the Thirty-Nine Weeks Ended May 27, 2023 and the Thirty-Nine Weeks Ended May 28, 2022</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unaudited table presents, for the periods indicated, selected information from our Consolidated Statements of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including information presented as a percentage of net sales:</w:t>
      </w:r>
    </w:p>
    <w:p>
      <w:pPr>
        <w:spacing w:after="0" w:line="112"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right="19"/>
              <w:spacing w:after="0"/>
              <w:rPr>
                <w:sz w:val="20"/>
                <w:szCs w:val="20"/>
                <w:color w:val="auto"/>
              </w:rPr>
            </w:pPr>
            <w:r>
              <w:rPr>
                <w:rFonts w:ascii="Arial" w:cs="Arial" w:eastAsia="Arial" w:hAnsi="Arial"/>
                <w:sz w:val="16"/>
                <w:szCs w:val="16"/>
                <w:color w:val="auto"/>
                <w:w w:val="94"/>
              </w:rPr>
              <w:t>Thirty-Nine Weeks</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right="19"/>
              <w:spacing w:after="0"/>
              <w:rPr>
                <w:sz w:val="20"/>
                <w:szCs w:val="20"/>
                <w:color w:val="auto"/>
              </w:rPr>
            </w:pPr>
            <w:r>
              <w:rPr>
                <w:rFonts w:ascii="Arial" w:cs="Arial" w:eastAsia="Arial" w:hAnsi="Arial"/>
                <w:sz w:val="16"/>
                <w:szCs w:val="16"/>
                <w:color w:val="auto"/>
                <w:w w:val="94"/>
              </w:rPr>
              <w:t>Thirty-Nine Weeks</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6"/>
        </w:trPr>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0"/>
              </w:rPr>
              <w:t>Ended</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0"/>
              </w:rPr>
              <w:t>Ended</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46"/>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May 27, 2023</w:t>
            </w:r>
          </w:p>
        </w:tc>
        <w:tc>
          <w:tcPr>
            <w:tcW w:w="160" w:type="dxa"/>
            <w:vAlign w:val="bottom"/>
          </w:tcPr>
          <w:p>
            <w:pPr>
              <w:spacing w:after="0"/>
              <w:rPr>
                <w:sz w:val="21"/>
                <w:szCs w:val="21"/>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 of Net Sales</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May 28, 2022</w:t>
            </w:r>
          </w:p>
        </w:tc>
        <w:tc>
          <w:tcPr>
            <w:tcW w:w="140" w:type="dxa"/>
            <w:vAlign w:val="bottom"/>
          </w:tcPr>
          <w:p>
            <w:pPr>
              <w:spacing w:after="0"/>
              <w:rPr>
                <w:sz w:val="21"/>
                <w:szCs w:val="21"/>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 of Net Sales</w:t>
            </w:r>
          </w:p>
        </w:tc>
      </w:tr>
      <w:tr>
        <w:trPr>
          <w:trHeight w:val="26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922,254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894,514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57"/>
        </w:trPr>
        <w:tc>
          <w:tcPr>
            <w:tcW w:w="36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589,284</w:t>
            </w:r>
          </w:p>
        </w:tc>
        <w:tc>
          <w:tcPr>
            <w:tcW w:w="160" w:type="dxa"/>
            <w:vAlign w:val="bottom"/>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63.9 %</w:t>
            </w: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550,788</w:t>
            </w:r>
          </w:p>
        </w:tc>
        <w:tc>
          <w:tcPr>
            <w:tcW w:w="14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61.6 %</w:t>
            </w:r>
          </w:p>
        </w:tc>
      </w:tr>
      <w:tr>
        <w:trPr>
          <w:trHeight w:val="26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332,970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36.1 %</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343,726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38.4 %</w:t>
            </w:r>
          </w:p>
        </w:tc>
      </w:tr>
      <w:tr>
        <w:trPr>
          <w:trHeight w:val="270"/>
        </w:trPr>
        <w:tc>
          <w:tcPr>
            <w:tcW w:w="3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7"/>
        </w:trPr>
        <w:tc>
          <w:tcPr>
            <w:tcW w:w="3640" w:type="dxa"/>
            <w:vAlign w:val="bottom"/>
          </w:tcPr>
          <w:p>
            <w:pPr>
              <w:ind w:left="220"/>
              <w:spacing w:after="0"/>
              <w:rPr>
                <w:sz w:val="20"/>
                <w:szCs w:val="20"/>
                <w:color w:val="auto"/>
              </w:rPr>
            </w:pPr>
            <w:r>
              <w:rPr>
                <w:rFonts w:ascii="Arial" w:cs="Arial" w:eastAsia="Arial" w:hAnsi="Arial"/>
                <w:sz w:val="16"/>
                <w:szCs w:val="16"/>
                <w:color w:val="auto"/>
              </w:rPr>
              <w:t>Selling and marketing</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88,650</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9.6 %</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94,816</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10.6 %</w:t>
            </w:r>
          </w:p>
        </w:tc>
      </w:tr>
      <w:tr>
        <w:trPr>
          <w:trHeight w:val="273"/>
        </w:trPr>
        <w:tc>
          <w:tcPr>
            <w:tcW w:w="3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82,085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76,711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8.6 %</w:t>
            </w:r>
          </w:p>
        </w:tc>
      </w:tr>
      <w:tr>
        <w:trPr>
          <w:trHeight w:val="257"/>
        </w:trPr>
        <w:tc>
          <w:tcPr>
            <w:tcW w:w="36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13,035</w:t>
            </w:r>
          </w:p>
        </w:tc>
        <w:tc>
          <w:tcPr>
            <w:tcW w:w="160" w:type="dxa"/>
            <w:vAlign w:val="bottom"/>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12,966</w:t>
            </w:r>
          </w:p>
        </w:tc>
        <w:tc>
          <w:tcPr>
            <w:tcW w:w="14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r>
      <w:tr>
        <w:trPr>
          <w:trHeight w:val="26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183,770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19.9 %</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184,493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20.6 %</w:t>
            </w:r>
          </w:p>
        </w:tc>
      </w:tr>
      <w:tr>
        <w:trPr>
          <w:trHeight w:val="270"/>
        </w:trPr>
        <w:tc>
          <w:tcPr>
            <w:tcW w:w="3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16.2 %</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159,233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17.8 %</w:t>
            </w:r>
          </w:p>
        </w:tc>
      </w:tr>
      <w:tr>
        <w:trPr>
          <w:trHeight w:val="270"/>
        </w:trPr>
        <w:tc>
          <w:tcPr>
            <w:tcW w:w="3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7"/>
        </w:trPr>
        <w:tc>
          <w:tcPr>
            <w:tcW w:w="36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660</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3"/>
        </w:trPr>
        <w:tc>
          <w:tcPr>
            <w:tcW w:w="3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67"/>
        </w:trPr>
        <w:tc>
          <w:tcPr>
            <w:tcW w:w="3640" w:type="dxa"/>
            <w:vAlign w:val="bottom"/>
          </w:tcPr>
          <w:p>
            <w:pPr>
              <w:ind w:left="220"/>
              <w:spacing w:after="0"/>
              <w:rPr>
                <w:sz w:val="20"/>
                <w:szCs w:val="20"/>
                <w:color w:val="auto"/>
              </w:rPr>
            </w:pPr>
            <w:r>
              <w:rPr>
                <w:rFonts w:ascii="Arial" w:cs="Arial" w:eastAsia="Arial" w:hAnsi="Arial"/>
                <w:sz w:val="16"/>
                <w:szCs w:val="16"/>
                <w:color w:val="auto"/>
              </w:rPr>
              <w:t>Loss in fair value change of warrant liability</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(30,062)</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73"/>
        </w:trPr>
        <w:tc>
          <w:tcPr>
            <w:tcW w:w="3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foreign currency transactions</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57"/>
        </w:trPr>
        <w:tc>
          <w:tcPr>
            <w:tcW w:w="3640" w:type="dxa"/>
            <w:vAlign w:val="bottom"/>
          </w:tcPr>
          <w:p>
            <w:pPr>
              <w:ind w:left="220"/>
              <w:spacing w:after="0"/>
              <w:rPr>
                <w:sz w:val="20"/>
                <w:szCs w:val="20"/>
                <w:color w:val="auto"/>
              </w:rPr>
            </w:pPr>
            <w:r>
              <w:rPr>
                <w:rFonts w:ascii="Arial" w:cs="Arial" w:eastAsia="Arial" w:hAnsi="Arial"/>
                <w:sz w:val="16"/>
                <w:szCs w:val="16"/>
                <w:color w:val="auto"/>
              </w:rPr>
              <w:t>Other income</w:t>
            </w: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6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(46,060)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70"/>
        </w:trPr>
        <w:tc>
          <w:tcPr>
            <w:tcW w:w="3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126,743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113,173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12.7 %</w:t>
            </w:r>
          </w:p>
        </w:tc>
      </w:tr>
      <w:tr>
        <w:trPr>
          <w:trHeight w:val="257"/>
        </w:trPr>
        <w:tc>
          <w:tcPr>
            <w:tcW w:w="36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29,810</w:t>
            </w:r>
          </w:p>
        </w:tc>
        <w:tc>
          <w:tcPr>
            <w:tcW w:w="160" w:type="dxa"/>
            <w:vAlign w:val="bottom"/>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34,726</w:t>
            </w:r>
          </w:p>
        </w:tc>
        <w:tc>
          <w:tcPr>
            <w:tcW w:w="14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3.9 %</w:t>
            </w:r>
          </w:p>
        </w:tc>
      </w:tr>
      <w:tr>
        <w:trPr>
          <w:trHeight w:val="256"/>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96,933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78,447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8.8 %</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70"/>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financial data:</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3"/>
        </w:trPr>
        <w:tc>
          <w:tcPr>
            <w:tcW w:w="3640" w:type="dxa"/>
            <w:vAlign w:val="bottom"/>
          </w:tcPr>
          <w:p>
            <w:pPr>
              <w:ind w:left="22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178,301</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19.3 %</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183,086</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20.5 %</w:t>
            </w: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700" w:right="760" w:hanging="80"/>
        <w:spacing w:after="0"/>
        <w:tabs>
          <w:tab w:leader="none" w:pos="76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Adjusted EBITDA is a non-GAAP financial metric. See “Reconciliation of EBITDA and Adjusted EBITDA” below for a reconciliation of net income to EBITDA and Adjusted EBITDA for each applicable period.</w:t>
      </w:r>
    </w:p>
    <w:p>
      <w:pPr>
        <w:spacing w:after="0" w:line="316" w:lineRule="exact"/>
        <w:rPr>
          <w:sz w:val="20"/>
          <w:szCs w:val="20"/>
          <w:color w:val="auto"/>
        </w:rPr>
      </w:pPr>
    </w:p>
    <w:p>
      <w:pPr>
        <w:jc w:val="both"/>
        <w:ind w:firstLine="202"/>
        <w:spacing w:after="0" w:line="296"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of $922.3 million represented an increase of $27.7 million, or 3.1%, for the thirty-nine weeks ended May 27, 2023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thirty-nine weeks ended May 28, 2022. The increase was primarily attributable to the price increase effective in the fourth quarter of fiscal year 2022, which drove the 3.5% increase in our North America net sales in the thirty-nine weeks ended May 27, 2023 compared to the thirty-nine weeks ended May 28, 2022. The increase in North America net sales was partially offset by a 8.9% decline in our international business and a 0.8% headwind to net sales growth related to our shift from direct sales to licensing the Quest® frozen pizza business in the third quarter of fiscal year 2022.</w:t>
      </w:r>
    </w:p>
    <w:p>
      <w:pPr>
        <w:spacing w:after="0" w:line="188" w:lineRule="exact"/>
        <w:rPr>
          <w:sz w:val="20"/>
          <w:szCs w:val="20"/>
          <w:color w:val="auto"/>
        </w:rPr>
      </w:pPr>
    </w:p>
    <w:p>
      <w:pPr>
        <w:jc w:val="both"/>
        <w:ind w:firstLine="248"/>
        <w:spacing w:after="0" w:line="263" w:lineRule="auto"/>
        <w:rPr>
          <w:sz w:val="20"/>
          <w:szCs w:val="20"/>
          <w:color w:val="auto"/>
        </w:rPr>
      </w:pPr>
      <w:r>
        <w:rPr>
          <w:rFonts w:ascii="Arial" w:cs="Arial" w:eastAsia="Arial" w:hAnsi="Arial"/>
          <w:sz w:val="18"/>
          <w:szCs w:val="18"/>
          <w:b w:val="1"/>
          <w:bCs w:val="1"/>
          <w:i w:val="1"/>
          <w:iCs w:val="1"/>
          <w:color w:val="auto"/>
        </w:rPr>
        <w:t>Cost of goods sold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goods sold increased $38.5 million, or 7.0%, for the thirty-nine weeks ended May 27, 2023 compared to the thirty-nine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May 28, 2022. The cost of goods sold increase was primarily driven by higher raw material, packaging, and co-manufacturing costs and supply chain challenges in the thirty-nine weeks ended May 27,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ind w:firstLine="244"/>
        <w:spacing w:after="0" w:line="255"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decreased $10.8 million, or 3.1%, for the thirty-nine weeks ended May 27, 2023 compared to the thirty-nine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28, 2022. Additionally, gross profit of $333.0 million, or 36.1% of net sales, for the thirty-nine weeks ended May 27, 2023 decreased 230 basis points from 38.4% of net sales for the thirty-nine weeks ended May 28, 2022. The decreases in gross profit and gross profit margin were primarily driven by the unfavorable effects of higher raw material, packaging, and co-manufacturing costs and supply chain challenges in the thirty-nine weeks ended May 27, 2023 as previously discussed. These decreases were partially offset by the favorable effects of the price increase which became effective in the fourth quarter of fiscal year 2022.</w:t>
      </w:r>
    </w:p>
    <w:p>
      <w:pPr>
        <w:spacing w:after="0" w:line="219" w:lineRule="exact"/>
        <w:rPr>
          <w:sz w:val="20"/>
          <w:szCs w:val="20"/>
          <w:color w:val="auto"/>
        </w:rPr>
      </w:pPr>
    </w:p>
    <w:p>
      <w:pPr>
        <w:jc w:val="both"/>
        <w:ind w:firstLine="240"/>
        <w:spacing w:after="0" w:line="277" w:lineRule="auto"/>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 Operating expenses decreased $0.7 million, or 0.4%, for the thirty-nine weeks ended May 27, 2023 compared to the thirty-nine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May 28, 2022 due to the following:</w:t>
      </w:r>
    </w:p>
    <w:p>
      <w:pPr>
        <w:spacing w:after="0" w:line="197" w:lineRule="exact"/>
        <w:rPr>
          <w:sz w:val="20"/>
          <w:szCs w:val="20"/>
          <w:color w:val="auto"/>
        </w:rPr>
      </w:pPr>
    </w:p>
    <w:p>
      <w:pPr>
        <w:ind w:left="660" w:hanging="247"/>
        <w:spacing w:after="0" w:line="277"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Selling and marketing expenses decreased $6.2 million, or 6.5%, for the thirty-nine weeks ended May 27, 2023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thirty-nine weeks ended May 28, 2022, primarily related to the timing of marketing spend.</w:t>
      </w:r>
    </w:p>
    <w:p>
      <w:pPr>
        <w:spacing w:after="0" w:line="62" w:lineRule="exact"/>
        <w:rPr>
          <w:rFonts w:ascii="Arial" w:cs="Arial" w:eastAsia="Arial" w:hAnsi="Arial"/>
          <w:sz w:val="18"/>
          <w:szCs w:val="18"/>
          <w:i w:val="1"/>
          <w:iCs w:val="1"/>
          <w:color w:val="auto"/>
        </w:rPr>
      </w:pPr>
    </w:p>
    <w:p>
      <w:pPr>
        <w:jc w:val="both"/>
        <w:ind w:left="660" w:hanging="247"/>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$5.4 million, or 7.0%, for the thirty-nine weeks ended May 27,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thirty-nine weeks ended May 28, 2022. The increase in general and administrative expense was primarily attributable to a $1.8 million increase in stock-based compensation, $1.2 million of executive officer transition costs, increased general corporate costs and increased plant trial spend in the thirty-nine weeks ended May 27, 2023. These increases were partially offset by the discontinuation of costs related to business integration activities and restructuring charges of $0.6 million and a reduction in employee-related expenses in the thirty-nine weeks ended May 28, 2022.</w:t>
      </w:r>
    </w:p>
    <w:p>
      <w:pPr>
        <w:spacing w:after="0" w:line="84"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were $13.0 million and $13.0 million for the thirty-nine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May 27, 2023 compared to the thirty-nine weeks ended May 28, 2022, respectively.</w:t>
      </w:r>
    </w:p>
    <w:p>
      <w:pPr>
        <w:spacing w:after="0" w:line="197"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increased $6.7 million for the thirty-nine weeks ended May 27, 2023 compared to the thirty-nine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28, 2022, primarily due to the increase in interest rates on our Term Facility (as defined below) to 7.7% as of May 27, 2023 from 4.7% as of May 28, 2022. Interest expense related to the amortization of deferred financing costs and debt discount decreased $0.1 million for the thirty-nine weeks ended May 27, 2023 compared to the thirty-nine weeks ended May 28, 2022.</w:t>
      </w:r>
    </w:p>
    <w:p>
      <w:pPr>
        <w:spacing w:after="0" w:line="210" w:lineRule="exact"/>
        <w:rPr>
          <w:sz w:val="20"/>
          <w:szCs w:val="20"/>
          <w:color w:val="auto"/>
        </w:rPr>
      </w:pPr>
    </w:p>
    <w:p>
      <w:pPr>
        <w:jc w:val="both"/>
        <w:ind w:firstLine="282"/>
        <w:spacing w:after="0" w:line="261" w:lineRule="auto"/>
        <w:rPr>
          <w:sz w:val="20"/>
          <w:szCs w:val="20"/>
          <w:color w:val="auto"/>
        </w:rPr>
      </w:pPr>
      <w:r>
        <w:rPr>
          <w:rFonts w:ascii="Arial" w:cs="Arial" w:eastAsia="Arial" w:hAnsi="Arial"/>
          <w:sz w:val="18"/>
          <w:szCs w:val="18"/>
          <w:b w:val="1"/>
          <w:bCs w:val="1"/>
          <w:i w:val="1"/>
          <w:iCs w:val="1"/>
          <w:color w:val="auto"/>
        </w:rPr>
        <w:t>Loss in fair value change of warrant liability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were no outstanding liability-classified Private Warrants during the thirty-nine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27, 2023. During the thirty-nine weeks ended May 28, 2022, we recorded a non-cash loss of $30.1 million related to changes in valuation of our Private Warrants, which was primarily driven by movements in our stock price. On January 7, 2022, the Private Warrants were exercised on a cashless basis, resulting in a net issuance of 4,830,761 shares of common stock.</w:t>
      </w:r>
    </w:p>
    <w:p>
      <w:pPr>
        <w:spacing w:after="0" w:line="211" w:lineRule="exact"/>
        <w:rPr>
          <w:sz w:val="20"/>
          <w:szCs w:val="20"/>
          <w:color w:val="auto"/>
        </w:rPr>
      </w:pPr>
    </w:p>
    <w:p>
      <w:pPr>
        <w:jc w:val="both"/>
        <w:ind w:firstLine="231"/>
        <w:spacing w:after="0" w:line="259" w:lineRule="auto"/>
        <w:rPr>
          <w:sz w:val="20"/>
          <w:szCs w:val="20"/>
          <w:color w:val="auto"/>
        </w:rPr>
      </w:pPr>
      <w:r>
        <w:rPr>
          <w:rFonts w:ascii="Arial" w:cs="Arial" w:eastAsia="Arial" w:hAnsi="Arial"/>
          <w:sz w:val="18"/>
          <w:szCs w:val="18"/>
          <w:b w:val="1"/>
          <w:bCs w:val="1"/>
          <w:i w:val="1"/>
          <w:iCs w:val="1"/>
          <w:color w:val="auto"/>
        </w:rPr>
        <w:t xml:space="preserve">Gain on foreign currency transactions. </w:t>
      </w:r>
      <w:r>
        <w:rPr>
          <w:rFonts w:ascii="Arial" w:cs="Arial" w:eastAsia="Arial" w:hAnsi="Arial"/>
          <w:sz w:val="18"/>
          <w:szCs w:val="18"/>
          <w:color w:val="auto"/>
        </w:rPr>
        <w:t>Foreign currency transactions resulted in a gain of $0.1 million and a gain of $0.5 million for the thirty-nine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May 27, 2023 and May 28, 2022, respectively. During the thirty-nine weeks ended, we recognized a foreign currency translation gain of $1.1 million related to the liquidation of a foreign subsidiary. The remaining variance is attributable to changes in foreign currency rates related to our international operations.</w:t>
      </w:r>
    </w:p>
    <w:p>
      <w:pPr>
        <w:spacing w:after="0" w:line="214" w:lineRule="exact"/>
        <w:rPr>
          <w:sz w:val="20"/>
          <w:szCs w:val="20"/>
          <w:color w:val="auto"/>
        </w:rPr>
      </w:pPr>
    </w:p>
    <w:p>
      <w:pPr>
        <w:jc w:val="both"/>
        <w:ind w:firstLine="190"/>
        <w:spacing w:after="0" w:line="342"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decreased $4.9 million for the thirty-nine weeks ended May 27, 2023 compared to the thirty-nine weeks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28, 2022. The decrease in our income tax expense is primarily driven by lower income from operations and changes in permanent differences.</w:t>
      </w:r>
    </w:p>
    <w:p>
      <w:pPr>
        <w:spacing w:after="0" w:line="147" w:lineRule="exact"/>
        <w:rPr>
          <w:sz w:val="20"/>
          <w:szCs w:val="20"/>
          <w:color w:val="auto"/>
        </w:rPr>
      </w:pPr>
    </w:p>
    <w:p>
      <w:pPr>
        <w:jc w:val="both"/>
        <w:ind w:firstLine="190"/>
        <w:spacing w:after="0" w:line="277" w:lineRule="auto"/>
        <w:rPr>
          <w:sz w:val="20"/>
          <w:szCs w:val="20"/>
          <w:color w:val="auto"/>
        </w:rPr>
      </w:pPr>
      <w:r>
        <w:rPr>
          <w:rFonts w:ascii="Arial" w:cs="Arial" w:eastAsia="Arial" w:hAnsi="Arial"/>
          <w:sz w:val="17"/>
          <w:szCs w:val="17"/>
          <w:b w:val="1"/>
          <w:bCs w:val="1"/>
          <w:i w:val="1"/>
          <w:iCs w:val="1"/>
          <w:color w:val="auto"/>
        </w:rPr>
        <w:t>Net income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income was $96.9 million for the thirty-nine weeks ended May 27, 2023, an increase of $18.5 million compared to net income of $78.4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thirty-nine weeks ended May 28, 2022. The increase was primarily driven by the $30.1 million non-cash fair value loss incurred in the thirty-nine weeks ended May 28, 2022 related to the measurement of our liability-classified Private Warrants. The increase was partially offset by a $10.0 million decrease in income from operations driven by the unfavorable effects of higher raw material and co-manufacturing costs and supply chain challenges, and higher interest costs associated with long-term debt in the thirty-nine weeks ended May 27, 2023 as discussed above.</w:t>
      </w:r>
    </w:p>
    <w:p>
      <w:pPr>
        <w:spacing w:after="0" w:line="199" w:lineRule="exact"/>
        <w:rPr>
          <w:sz w:val="20"/>
          <w:szCs w:val="20"/>
          <w:color w:val="auto"/>
        </w:rPr>
      </w:pPr>
    </w:p>
    <w:p>
      <w:pPr>
        <w:jc w:val="both"/>
        <w:ind w:firstLine="191"/>
        <w:spacing w:after="0" w:line="26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decreased $4.8 million, or 2.6% for the thirty-nine weeks ended May 27, 2023 compared to the thirty-nine weeks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May 28, 2022, driven primarily by better than expected net sales and lower SG&amp;A costs. For a reconciliation of Adjusted EBITDA to its most directly comparable GAAP measure, see “Reconciliation of EBITDA and Adjusted EBITDA” below.</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EBITDA and Adjusted EBITDA</w:t>
      </w:r>
    </w:p>
    <w:p>
      <w:pPr>
        <w:spacing w:after="0" w:line="252" w:lineRule="exact"/>
        <w:rPr>
          <w:sz w:val="20"/>
          <w:szCs w:val="20"/>
          <w:color w:val="auto"/>
        </w:rPr>
      </w:pPr>
    </w:p>
    <w:p>
      <w:pPr>
        <w:jc w:val="both"/>
        <w:ind w:firstLine="233"/>
        <w:spacing w:after="0" w:line="287" w:lineRule="auto"/>
        <w:rPr>
          <w:sz w:val="20"/>
          <w:szCs w:val="20"/>
          <w:color w:val="auto"/>
        </w:rPr>
      </w:pPr>
      <w:r>
        <w:rPr>
          <w:rFonts w:ascii="Arial" w:cs="Arial" w:eastAsia="Arial" w:hAnsi="Arial"/>
          <w:sz w:val="16"/>
          <w:szCs w:val="16"/>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The Company defines EBITDA as net income or loss before interest income, interest expense, income tax expense, depreciation and amortization, and Adjusted EBITDA as further adjusted to exclude the following items: stock-based compensation expense, executive transition costs, integration costs, restructuring costs, loss in fair value change of warrant liability, term loan transaction fees,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EBITDA and Adjusted EBITDA are frequently used by securities analysts, investors and other interested parties in the evaluation of companies in its industry. EBITDA and Adjusted EBITDA may not be comparable to other similarly titled captions of other companies due to differences in the non-GAAP calculation.</w:t>
      </w:r>
    </w:p>
    <w:p>
      <w:pPr>
        <w:spacing w:after="0" w:line="195" w:lineRule="exact"/>
        <w:rPr>
          <w:sz w:val="20"/>
          <w:szCs w:val="20"/>
          <w:color w:val="auto"/>
        </w:rPr>
      </w:pPr>
    </w:p>
    <w:p>
      <w:pPr>
        <w:jc w:val="both"/>
        <w:ind w:firstLine="192"/>
        <w:spacing w:after="0" w:line="277" w:lineRule="auto"/>
        <w:rPr>
          <w:sz w:val="20"/>
          <w:szCs w:val="20"/>
          <w:color w:val="auto"/>
        </w:rPr>
      </w:pPr>
      <w:r>
        <w:rPr>
          <w:rFonts w:ascii="Arial" w:cs="Arial" w:eastAsia="Arial" w:hAnsi="Arial"/>
          <w:sz w:val="18"/>
          <w:szCs w:val="18"/>
          <w:color w:val="auto"/>
        </w:rPr>
        <w:t>The following unaudited table provides a reconciliation of EBITDA and Adjusted EBITDA to its most directly comparable GAAP measure, which is net income, for the thirteen and thirty-nine weeks ended May 27, 2023 and May 28, 2022:</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color w:val="auto"/>
              </w:rPr>
              <w:t>Thirteen Weeks Ended</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color w:val="auto"/>
              </w:rPr>
              <w:t>Thirty-Nine Weeks Ended</w:t>
            </w:r>
          </w:p>
        </w:tc>
      </w:tr>
      <w:tr>
        <w:trPr>
          <w:trHeight w:val="21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May 27, 2023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May 28, 2022</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8"/>
              </w:rPr>
              <w:t>May 27, 2023</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8"/>
              </w:rPr>
              <w:t>May 28, 2022</w:t>
            </w:r>
          </w:p>
        </w:tc>
      </w:tr>
      <w:tr>
        <w:trPr>
          <w:trHeight w:val="267"/>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35,431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96,933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78,447</w:t>
            </w:r>
          </w:p>
        </w:tc>
      </w:tr>
      <w:tr>
        <w:trPr>
          <w:trHeight w:val="267"/>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3"/>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7,649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4,881</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23,201</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16,528</w:t>
            </w:r>
          </w:p>
        </w:tc>
      </w:tr>
      <w:tr>
        <w:trPr>
          <w:trHeight w:val="267"/>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11,716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11,654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29,810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34,726</w:t>
            </w:r>
          </w:p>
        </w:tc>
      </w:tr>
      <w:tr>
        <w:trPr>
          <w:trHeight w:val="259"/>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4,826</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15,044</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14,398</w:t>
            </w:r>
          </w:p>
        </w:tc>
      </w:tr>
      <w:tr>
        <w:trPr>
          <w:trHeight w:val="26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EBITDA</w:t>
            </w:r>
          </w:p>
        </w:tc>
        <w:tc>
          <w:tcPr>
            <w:tcW w:w="1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59,529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60,195</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164,328</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144,098</w:t>
            </w:r>
          </w:p>
        </w:tc>
      </w:tr>
      <w:tr>
        <w:trPr>
          <w:trHeight w:val="273"/>
        </w:trPr>
        <w:tc>
          <w:tcPr>
            <w:tcW w:w="3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4,124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10,456</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8,691</w:t>
            </w:r>
          </w:p>
        </w:tc>
      </w:tr>
      <w:tr>
        <w:trPr>
          <w:trHeight w:val="267"/>
        </w:trPr>
        <w:tc>
          <w:tcPr>
            <w:tcW w:w="3860" w:type="dxa"/>
            <w:vAlign w:val="bottom"/>
            <w:gridSpan w:val="2"/>
          </w:tcPr>
          <w:p>
            <w:pPr>
              <w:ind w:left="140"/>
              <w:spacing w:after="0"/>
              <w:rPr>
                <w:sz w:val="20"/>
                <w:szCs w:val="20"/>
                <w:color w:val="auto"/>
              </w:rPr>
            </w:pPr>
            <w:r>
              <w:rPr>
                <w:rFonts w:ascii="Arial" w:cs="Arial" w:eastAsia="Arial" w:hAnsi="Arial"/>
                <w:sz w:val="16"/>
                <w:szCs w:val="16"/>
                <w:color w:val="auto"/>
              </w:rPr>
              <w:t>Executive transition costs</w:t>
            </w:r>
          </w:p>
        </w:tc>
        <w:tc>
          <w:tcPr>
            <w:tcW w:w="18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1,158</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3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Integration of Quest</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468</w:t>
            </w:r>
          </w:p>
        </w:tc>
      </w:tr>
      <w:tr>
        <w:trPr>
          <w:trHeight w:val="267"/>
        </w:trPr>
        <w:tc>
          <w:tcPr>
            <w:tcW w:w="3860" w:type="dxa"/>
            <w:vAlign w:val="bottom"/>
            <w:gridSpan w:val="2"/>
          </w:tcPr>
          <w:p>
            <w:pPr>
              <w:ind w:left="140"/>
              <w:spacing w:after="0"/>
              <w:rPr>
                <w:sz w:val="20"/>
                <w:szCs w:val="20"/>
                <w:color w:val="auto"/>
              </w:rPr>
            </w:pPr>
            <w:r>
              <w:rPr>
                <w:rFonts w:ascii="Arial" w:cs="Arial" w:eastAsia="Arial" w:hAnsi="Arial"/>
                <w:sz w:val="16"/>
                <w:szCs w:val="16"/>
                <w:color w:val="auto"/>
              </w:rPr>
              <w:t>Restructuring</w:t>
            </w:r>
          </w:p>
        </w:tc>
        <w:tc>
          <w:tcPr>
            <w:tcW w:w="18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98</w:t>
            </w:r>
          </w:p>
        </w:tc>
      </w:tr>
      <w:tr>
        <w:trPr>
          <w:trHeight w:val="273"/>
        </w:trPr>
        <w:tc>
          <w:tcPr>
            <w:tcW w:w="3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Loss in fair value change of warrant liability</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30,062</w:t>
            </w:r>
          </w:p>
        </w:tc>
      </w:tr>
      <w:tr>
        <w:trPr>
          <w:trHeight w:val="267"/>
        </w:trPr>
        <w:tc>
          <w:tcPr>
            <w:tcW w:w="3860" w:type="dxa"/>
            <w:vAlign w:val="bottom"/>
            <w:gridSpan w:val="2"/>
          </w:tcPr>
          <w:p>
            <w:pPr>
              <w:ind w:left="140"/>
              <w:spacing w:after="0"/>
              <w:rPr>
                <w:sz w:val="20"/>
                <w:szCs w:val="20"/>
                <w:color w:val="auto"/>
              </w:rPr>
            </w:pPr>
            <w:r>
              <w:rPr>
                <w:rFonts w:ascii="Arial" w:cs="Arial" w:eastAsia="Arial" w:hAnsi="Arial"/>
                <w:sz w:val="16"/>
                <w:szCs w:val="16"/>
                <w:color w:val="auto"/>
              </w:rPr>
              <w:t>Term loan transaction fees</w:t>
            </w:r>
          </w:p>
        </w:tc>
        <w:tc>
          <w:tcPr>
            <w:tcW w:w="18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2,423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3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r>
      <w:tr>
        <w:trPr>
          <w:trHeight w:val="237"/>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66,635</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63,291</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178,301</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183,086</w:t>
            </w: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760" w:hanging="154"/>
        <w:spacing w:after="0"/>
        <w:tabs>
          <w:tab w:leader="none" w:pos="7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Other items consist principally of exchange impact of foreign currency transactions and other expenses.</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66" w:lineRule="exact"/>
        <w:rPr>
          <w:rFonts w:ascii="Arial" w:cs="Arial" w:eastAsia="Arial" w:hAnsi="Arial"/>
          <w:sz w:val="18"/>
          <w:szCs w:val="18"/>
          <w:color w:val="auto"/>
          <w:vertAlign w:val="superscript"/>
        </w:rPr>
      </w:pPr>
    </w:p>
    <w:p>
      <w:pPr>
        <w:ind w:left="5540"/>
        <w:spacing w:after="0"/>
        <w:rPr>
          <w:rFonts w:ascii="Arial" w:cs="Arial" w:eastAsia="Arial" w:hAnsi="Arial"/>
          <w:sz w:val="18"/>
          <w:szCs w:val="18"/>
          <w:color w:val="auto"/>
          <w:vertAlign w:val="superscript"/>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ind w:firstLine="202"/>
        <w:spacing w:after="0" w:line="308" w:lineRule="auto"/>
        <w:rPr>
          <w:sz w:val="20"/>
          <w:szCs w:val="20"/>
          <w:color w:val="auto"/>
        </w:rPr>
      </w:pPr>
      <w:r>
        <w:rPr>
          <w:rFonts w:ascii="Arial" w:cs="Arial" w:eastAsia="Arial" w:hAnsi="Arial"/>
          <w:sz w:val="17"/>
          <w:szCs w:val="17"/>
          <w:color w:val="auto"/>
        </w:rPr>
        <w:t>We have historically funded our operations with cash flow from operations and, when needed, with borrowings under our Credit Agreement (as defined below). Our principal uses of cash have been working capital, debt service, repurchases of our common stock, and acquisition opportunities.</w:t>
      </w:r>
    </w:p>
    <w:p>
      <w:pPr>
        <w:spacing w:after="0" w:line="160" w:lineRule="exact"/>
        <w:rPr>
          <w:sz w:val="20"/>
          <w:szCs w:val="20"/>
          <w:color w:val="auto"/>
        </w:rPr>
      </w:pPr>
    </w:p>
    <w:p>
      <w:pPr>
        <w:jc w:val="both"/>
        <w:ind w:firstLine="203"/>
        <w:spacing w:after="0" w:line="243" w:lineRule="auto"/>
        <w:rPr>
          <w:sz w:val="20"/>
          <w:szCs w:val="20"/>
          <w:color w:val="auto"/>
        </w:rPr>
      </w:pPr>
      <w:r>
        <w:rPr>
          <w:rFonts w:ascii="Arial" w:cs="Arial" w:eastAsia="Arial" w:hAnsi="Arial"/>
          <w:sz w:val="18"/>
          <w:szCs w:val="18"/>
          <w:color w:val="auto"/>
        </w:rPr>
        <w:t>We had $68.8 million in cash as of May 27, 2023.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28"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Our material future cash requirements from contractual and other obligations relate primarily to our principal and interest payments for our Term Facility, as defined and discussed below, and our operating and finance leases. Refer to Note 5, Long-Term Debt and Line of Credit, and Note 8, Leases, of the Notes to Unaudited Consolidated Financial Statements in this Report for additional information related to the expected timing and amount of payments related to our contractual and other obligations.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w:t>
      </w:r>
    </w:p>
    <w:p>
      <w:pPr>
        <w:spacing w:after="0" w:line="252" w:lineRule="exact"/>
        <w:rPr>
          <w:sz w:val="20"/>
          <w:szCs w:val="20"/>
          <w:color w:val="auto"/>
        </w:rPr>
      </w:pPr>
    </w:p>
    <w:p>
      <w:pPr>
        <w:jc w:val="both"/>
        <w:ind w:firstLine="192"/>
        <w:spacing w:after="0" w:line="257" w:lineRule="auto"/>
        <w:rPr>
          <w:sz w:val="20"/>
          <w:szCs w:val="20"/>
          <w:color w:val="auto"/>
        </w:rPr>
      </w:pPr>
      <w:r>
        <w:rPr>
          <w:rFonts w:ascii="Arial" w:cs="Arial" w:eastAsia="Arial" w:hAnsi="Arial"/>
          <w:sz w:val="18"/>
          <w:szCs w:val="18"/>
          <w:color w:val="auto"/>
        </w:rPr>
        <w:t>On July 7, 2017, we (through certain of our subsidiaries)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5" w:lineRule="exact"/>
        <w:rPr>
          <w:sz w:val="20"/>
          <w:szCs w:val="20"/>
          <w:color w:val="auto"/>
        </w:rPr>
      </w:pPr>
    </w:p>
    <w:p>
      <w:pPr>
        <w:jc w:val="both"/>
        <w:ind w:firstLine="208"/>
        <w:spacing w:after="0" w:line="301" w:lineRule="auto"/>
        <w:rPr>
          <w:sz w:val="20"/>
          <w:szCs w:val="20"/>
          <w:color w:val="auto"/>
        </w:rPr>
      </w:pPr>
      <w:r>
        <w:rPr>
          <w:rFonts w:ascii="Arial" w:cs="Arial" w:eastAsia="Arial" w:hAnsi="Arial"/>
          <w:sz w:val="16"/>
          <w:szCs w:val="16"/>
          <w:color w:val="auto"/>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184" w:lineRule="exact"/>
        <w:rPr>
          <w:sz w:val="20"/>
          <w:szCs w:val="20"/>
          <w:color w:val="auto"/>
        </w:rPr>
      </w:pPr>
    </w:p>
    <w:p>
      <w:pPr>
        <w:jc w:val="both"/>
        <w:ind w:firstLine="315"/>
        <w:spacing w:after="0" w:line="311" w:lineRule="auto"/>
        <w:rPr>
          <w:sz w:val="20"/>
          <w:szCs w:val="20"/>
          <w:color w:val="auto"/>
        </w:rPr>
      </w:pPr>
      <w:r>
        <w:rPr>
          <w:rFonts w:ascii="Arial" w:cs="Arial" w:eastAsia="Arial" w:hAnsi="Arial"/>
          <w:sz w:val="16"/>
          <w:szCs w:val="16"/>
          <w:color w:val="auto"/>
        </w:rPr>
        <w:t>Effective as of December 16, 2021, we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162" w:lineRule="exact"/>
        <w:rPr>
          <w:sz w:val="20"/>
          <w:szCs w:val="20"/>
          <w:color w:val="auto"/>
        </w:rPr>
      </w:pPr>
    </w:p>
    <w:p>
      <w:pPr>
        <w:jc w:val="both"/>
        <w:ind w:firstLine="227"/>
        <w:spacing w:after="0" w:line="238" w:lineRule="auto"/>
        <w:rPr>
          <w:sz w:val="20"/>
          <w:szCs w:val="20"/>
          <w:color w:val="auto"/>
        </w:rPr>
      </w:pPr>
      <w:r>
        <w:rPr>
          <w:rFonts w:ascii="Arial" w:cs="Arial" w:eastAsia="Arial" w:hAnsi="Arial"/>
          <w:sz w:val="18"/>
          <w:szCs w:val="18"/>
          <w:color w:val="auto"/>
        </w:rPr>
        <w:t>On January 21, 2022, the Company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19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 2023 Repricing Amendment did not change the interest rate on the Revolving Credit Facility, which continues to bear interest based upon the Company’s consolidated net leverage ratio as of the end of the fiscal quarter for which consolidated financial statements are delivered to the Administrative Agent under the Credit Agreement. No additional debt was incurred, or any proceeds received by the Company in connection with the 2023 Repricing Amendment. No amounts under the Term Facility were repaid as a result of the execution of the 2023 Repricing Amendment.</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Effective as of the 2023 Repricing Amendment, the interest rate per annum for the Initial Term Loans is based on either:</w:t>
      </w:r>
    </w:p>
    <w:p>
      <w:pPr>
        <w:spacing w:after="0" w:line="90" w:lineRule="exact"/>
        <w:rPr>
          <w:sz w:val="20"/>
          <w:szCs w:val="20"/>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base rate equaling the higher of (a) the “prime rate,” (b) the federal funds effective rate plus 0.50%, or (c) the Adjusted Term SOFR Rate (as defined in the Credit Agreement) applicable for an interest period of one month plus 1.00% plus (x) 1.50% margin for the Term Loan or (y) 2.00% margin for the Revolving Credit Facility; 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SOFR plus a credit spread adjustment equal to 0.10% for one-month SOFR, 0.15% for up to three-month SOFR and 0.25% for up to six-month SOFR, subject to a floor of 0.50%, plus (x) 2.50% margin for the Term Loan or (y) 3.00% margin for the Revolving Credit Facility.</w:t>
      </w:r>
    </w:p>
    <w:p>
      <w:pPr>
        <w:spacing w:after="0" w:line="160" w:lineRule="exact"/>
        <w:rPr>
          <w:sz w:val="20"/>
          <w:szCs w:val="20"/>
          <w:color w:val="auto"/>
        </w:rPr>
      </w:pPr>
    </w:p>
    <w:p>
      <w:pPr>
        <w:ind w:right="740" w:firstLine="648"/>
        <w:spacing w:after="0" w:line="261" w:lineRule="auto"/>
        <w:rPr>
          <w:sz w:val="20"/>
          <w:szCs w:val="20"/>
          <w:color w:val="auto"/>
        </w:rPr>
      </w:pPr>
      <w:r>
        <w:rPr>
          <w:rFonts w:ascii="Arial" w:cs="Arial" w:eastAsia="Arial" w:hAnsi="Arial"/>
          <w:sz w:val="18"/>
          <w:szCs w:val="18"/>
          <w:color w:val="auto"/>
        </w:rPr>
        <w:t>In connection with the closing of the 2023 Repricing Amendment, the Company expensed $2.4 million primarily for third-party fees and capitalized an additional $2.7 million primarily for the payment of upfront lender fees (original issue discount).</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05" w:lineRule="exact"/>
        <w:rPr>
          <w:sz w:val="20"/>
          <w:szCs w:val="20"/>
          <w:color w:val="auto"/>
        </w:rPr>
      </w:pPr>
    </w:p>
    <w:p>
      <w:pPr>
        <w:jc w:val="both"/>
        <w:ind w:firstLine="245"/>
        <w:spacing w:after="0" w:line="272" w:lineRule="auto"/>
        <w:rPr>
          <w:sz w:val="20"/>
          <w:szCs w:val="20"/>
          <w:color w:val="auto"/>
        </w:rPr>
      </w:pPr>
      <w:r>
        <w:rPr>
          <w:rFonts w:ascii="Arial" w:cs="Arial" w:eastAsia="Arial" w:hAnsi="Arial"/>
          <w:sz w:val="17"/>
          <w:szCs w:val="17"/>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covenants as of May 27, 2023 and August 27, 2022, respectively.</w:t>
      </w:r>
    </w:p>
    <w:p>
      <w:pPr>
        <w:spacing w:after="0" w:line="204" w:lineRule="exact"/>
        <w:rPr>
          <w:sz w:val="20"/>
          <w:szCs w:val="20"/>
          <w:color w:val="auto"/>
        </w:rPr>
      </w:pPr>
    </w:p>
    <w:p>
      <w:pPr>
        <w:jc w:val="both"/>
        <w:ind w:firstLine="191"/>
        <w:spacing w:after="0" w:line="263" w:lineRule="auto"/>
        <w:rPr>
          <w:sz w:val="20"/>
          <w:szCs w:val="20"/>
          <w:color w:val="auto"/>
        </w:rPr>
      </w:pPr>
      <w:r>
        <w:rPr>
          <w:rFonts w:ascii="Arial" w:cs="Arial" w:eastAsia="Arial" w:hAnsi="Arial"/>
          <w:sz w:val="18"/>
          <w:szCs w:val="18"/>
          <w:color w:val="auto"/>
        </w:rPr>
        <w:t>At May 27, 2023, the outstanding balance of the Term Facility was $325.0 million. We are not required to make principal payments on the Term Facility over the twelve months following the period ended May 27, 2023. The outstanding balance of the Term Facility is due upon its maturity in March 2027. As of May 27, 2023, there were no amounts drawn against the Revolving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52" w:lineRule="exact"/>
        <w:rPr>
          <w:sz w:val="20"/>
          <w:szCs w:val="20"/>
          <w:color w:val="auto"/>
        </w:rPr>
      </w:pPr>
    </w:p>
    <w:p>
      <w:pPr>
        <w:jc w:val="both"/>
        <w:ind w:firstLine="181"/>
        <w:spacing w:after="0" w:line="255" w:lineRule="auto"/>
        <w:rPr>
          <w:sz w:val="20"/>
          <w:szCs w:val="20"/>
          <w:color w:val="auto"/>
        </w:rPr>
      </w:pPr>
      <w:r>
        <w:rPr>
          <w:rFonts w:ascii="Arial" w:cs="Arial" w:eastAsia="Arial" w:hAnsi="Arial"/>
          <w:sz w:val="18"/>
          <w:szCs w:val="18"/>
          <w:color w:val="auto"/>
        </w:rPr>
        <w:t>On October 21, 2022, we announced that our Board of Directors had approved the addition of $50.0 million to our stock repurchase program, resulting in authorized stock repurchases of up to an aggregate of $150.0 million. The Company did not repurchase any shares of common stock during the thirteen weeks ended May 27, 2023. During the thirty-nine weeks ended May 27, 2023, the Company repurchased 546,346 shares of common stock at an average share price of $30.11 per share. During the thirteen weeks ended May 28, 2022, the Company repurchased 218,221 shares of common stock at an average share price of $37.16 per share. During the thirty-nine weeks ended May 28, 2022, the Company repurchased 789,742 shares of common stock at an average share price of $36.09 per share.</w:t>
      </w:r>
    </w:p>
    <w:p>
      <w:pPr>
        <w:spacing w:after="0" w:line="219" w:lineRule="exact"/>
        <w:rPr>
          <w:sz w:val="20"/>
          <w:szCs w:val="20"/>
          <w:color w:val="auto"/>
        </w:rPr>
      </w:pPr>
    </w:p>
    <w:p>
      <w:pPr>
        <w:jc w:val="both"/>
        <w:ind w:firstLine="194"/>
        <w:spacing w:after="0" w:line="263" w:lineRule="auto"/>
        <w:rPr>
          <w:sz w:val="20"/>
          <w:szCs w:val="20"/>
          <w:color w:val="auto"/>
        </w:rPr>
      </w:pPr>
      <w:r>
        <w:rPr>
          <w:rFonts w:ascii="Arial" w:cs="Arial" w:eastAsia="Arial" w:hAnsi="Arial"/>
          <w:sz w:val="18"/>
          <w:szCs w:val="18"/>
          <w:color w:val="auto"/>
        </w:rPr>
        <w:t>As of May 27, 2023, approximately $71.5 million remained available for repurchases under our $150.0 million stock repurchase program. Refer to Note 10, Stockholders’ Equity, of the Notes to Unaudited Consolidated Financial Statements in this Report for additional information related to our stock repurchase program.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sets forth the major sources and uses of cash for each of the periods set forth below (in thousands):</w:t>
      </w:r>
    </w:p>
    <w:p>
      <w:pPr>
        <w:spacing w:after="0" w:line="392" w:lineRule="exact"/>
        <w:rPr>
          <w:sz w:val="20"/>
          <w:szCs w:val="20"/>
          <w:color w:val="auto"/>
        </w:rPr>
      </w:pPr>
    </w:p>
    <w:tbl>
      <w:tblPr>
        <w:tblLayout w:type="fixed"/>
        <w:tblInd w:w="2180" w:type="dxa"/>
        <w:tblCellMar>
          <w:top w:w="0" w:type="dxa"/>
          <w:left w:w="0" w:type="dxa"/>
          <w:bottom w:w="0" w:type="dxa"/>
          <w:right w:w="0" w:type="dxa"/>
        </w:tblCellMar>
      </w:tblPr>
      <w:tr>
        <w:trPr>
          <w:trHeight w:val="209"/>
        </w:trPr>
        <w:tc>
          <w:tcPr>
            <w:tcW w:w="3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color w:val="auto"/>
              </w:rPr>
              <w:t>Thirty-Nine Weeks Ended</w:t>
            </w:r>
          </w:p>
        </w:tc>
      </w:tr>
      <w:tr>
        <w:trPr>
          <w:trHeight w:val="223"/>
        </w:trPr>
        <w:tc>
          <w:tcPr>
            <w:tcW w:w="3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May 27, 2023</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May 28, 2022</w:t>
            </w:r>
          </w:p>
        </w:tc>
      </w:tr>
      <w:tr>
        <w:trPr>
          <w:trHeight w:val="26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110,412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67,363</w:t>
            </w:r>
          </w:p>
        </w:tc>
      </w:tr>
      <w:tr>
        <w:trPr>
          <w:trHeight w:val="267"/>
        </w:trPr>
        <w:tc>
          <w:tcPr>
            <w:tcW w:w="37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ind w:left="680"/>
              <w:spacing w:after="0"/>
              <w:rPr>
                <w:sz w:val="20"/>
                <w:szCs w:val="20"/>
                <w:color w:val="auto"/>
              </w:rPr>
            </w:pPr>
            <w:r>
              <w:rPr>
                <w:rFonts w:ascii="Arial" w:cs="Arial" w:eastAsia="Arial" w:hAnsi="Arial"/>
                <w:sz w:val="16"/>
                <w:szCs w:val="16"/>
                <w:color w:val="auto"/>
                <w:w w:val="97"/>
              </w:rPr>
              <w:t>(10,446)</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(7,283)</w:t>
            </w:r>
          </w:p>
        </w:tc>
      </w:tr>
      <w:tr>
        <w:trPr>
          <w:trHeight w:val="273"/>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ind w:left="680"/>
              <w:spacing w:after="0"/>
              <w:rPr>
                <w:sz w:val="20"/>
                <w:szCs w:val="20"/>
                <w:color w:val="auto"/>
              </w:rPr>
            </w:pPr>
            <w:r>
              <w:rPr>
                <w:rFonts w:ascii="Arial" w:cs="Arial" w:eastAsia="Arial" w:hAnsi="Arial"/>
                <w:sz w:val="16"/>
                <w:szCs w:val="16"/>
                <w:color w:val="auto"/>
                <w:w w:val="97"/>
              </w:rPr>
              <w:t>(98,579)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(78,476)</w:t>
            </w:r>
          </w:p>
        </w:tc>
      </w:tr>
    </w:tbl>
    <w:p>
      <w:pPr>
        <w:spacing w:after="0" w:line="310" w:lineRule="exact"/>
        <w:rPr>
          <w:sz w:val="20"/>
          <w:szCs w:val="20"/>
          <w:color w:val="auto"/>
        </w:rPr>
      </w:pPr>
    </w:p>
    <w:p>
      <w:pPr>
        <w:jc w:val="both"/>
        <w:ind w:firstLine="233"/>
        <w:spacing w:after="0" w:line="25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net cash provided by operating activities increased $43.0 million to $110.4 million for the thirty-nine weeks ended May 27,</w:t>
      </w:r>
      <w:r>
        <w:rPr>
          <w:rFonts w:ascii="Arial" w:cs="Arial" w:eastAsia="Arial" w:hAnsi="Arial"/>
          <w:sz w:val="18"/>
          <w:szCs w:val="18"/>
          <w:i w:val="1"/>
          <w:iCs w:val="1"/>
          <w:color w:val="auto"/>
        </w:rPr>
        <w:t xml:space="preserve"> </w:t>
      </w:r>
      <w:r>
        <w:rPr>
          <w:rFonts w:ascii="Arial" w:cs="Arial" w:eastAsia="Arial" w:hAnsi="Arial"/>
          <w:sz w:val="18"/>
          <w:szCs w:val="18"/>
          <w:color w:val="auto"/>
        </w:rPr>
        <w:t>2023 compared to $67.4 million for the thirty-nine weeks ended May 28, 2022. The increase in cash provided by operating activities was primarily attributable to the $23.9 million decrease in cash paid for taxes, and changes in working capital for the thirty-nine weeks ended May 27, 2023 as compared to the thirty-nine weeks ended May 28, 2022. Changes in working capital, comprised of changes in accounts receivable, net, inventories, prepaid expenses, accounts payable, and accrued expenses and other current liabilities, which are driven by the timing of payments and receipts and seasonal building of inventory, consumed cash of $25.8 million in the thirty-nine weeks ended May 27, 2023 compared to $44.2 million of cash consumed in the thirty-nine weeks ended May 28, 2022. These increases in cash provided by operating activities were partially offset by the $10.0 million decrease in income from operations to $149.2</w:t>
      </w:r>
    </w:p>
    <w:p>
      <w:pPr>
        <w:sectPr>
          <w:pgSz w:w="11900" w:h="16838" w:orient="portrait"/>
          <w:cols w:equalWidth="0" w:num="1">
            <w:col w:w="11240"/>
          </w:cols>
          <w:pgMar w:left="320" w:top="125" w:right="339"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million for the thirty-nine weeks ended May 27, 2023 as compared to $159.2 million for the thirty-nine weeks ended May 28, 2022, primarily driven by the unfavorable effects of higher raw material and co-manufacturing costs and supply chain challenges as discussed in “Results of Operations” above. Additionally, cash paid for interest was $21.3 million in the thirty-nine weeks ended May 27, 2023, which was an increase of $7.0 million as compared to the $14.3 million paid for interest in the thirty-nine weeks ended May 28, 2022.</w:t>
      </w:r>
    </w:p>
    <w:p>
      <w:pPr>
        <w:spacing w:after="0" w:line="214" w:lineRule="exact"/>
        <w:rPr>
          <w:sz w:val="20"/>
          <w:szCs w:val="20"/>
          <w:color w:val="auto"/>
        </w:rPr>
      </w:pPr>
    </w:p>
    <w:p>
      <w:pPr>
        <w:jc w:val="both"/>
        <w:ind w:firstLine="209"/>
        <w:spacing w:after="0" w:line="279"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Our net cash used in investing activities was $10.4 million for the thirty-nine weeks ended May 27, 2023 compared to $7.3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thirty-nine weeks ended May 28, 2022. Our net cash used in investing activities for the thirty-nine weeks ended May 27, 2023 primarily comprised $10.1 million of purchases of property and equipment. The $7.3 million of net cash used in investing activities for the thirty-nine weeks ended May 28, 2022 primarily comprised $4.7 million of purchases of property and equipment and the issuance of a $2.4 million note receivable.</w:t>
      </w:r>
    </w:p>
    <w:p>
      <w:pPr>
        <w:spacing w:after="0" w:line="198" w:lineRule="exact"/>
        <w:rPr>
          <w:sz w:val="20"/>
          <w:szCs w:val="20"/>
          <w:color w:val="auto"/>
        </w:rPr>
      </w:pPr>
    </w:p>
    <w:p>
      <w:pPr>
        <w:jc w:val="both"/>
        <w:ind w:firstLine="181"/>
        <w:spacing w:after="0" w:line="270" w:lineRule="auto"/>
        <w:rPr>
          <w:sz w:val="20"/>
          <w:szCs w:val="20"/>
          <w:color w:val="auto"/>
        </w:rPr>
      </w:pPr>
      <w:r>
        <w:rPr>
          <w:rFonts w:ascii="Arial" w:cs="Arial" w:eastAsia="Arial" w:hAnsi="Arial"/>
          <w:sz w:val="17"/>
          <w:szCs w:val="17"/>
          <w:i w:val="1"/>
          <w:iCs w:val="1"/>
          <w:color w:val="auto"/>
        </w:rPr>
        <w:t>Financing activities</w:t>
      </w:r>
      <w:r>
        <w:rPr>
          <w:rFonts w:ascii="Arial" w:cs="Arial" w:eastAsia="Arial" w:hAnsi="Arial"/>
          <w:sz w:val="17"/>
          <w:szCs w:val="17"/>
          <w:color w:val="auto"/>
        </w:rPr>
        <w:t>. Our net cash used in financing activities was $98.6 million for the thirty-nine weeks ended May 27, 2023 compared to $78.5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thirty-nine weeks ended May 28, 2022. Net cash used in financing activities for the thirty-nine weeks ended May 27, 2023 primarily consisted of $16.4 million of repurchases in common stock, $81.5 million in principal payments on the Term Facility, and $2.8 million in tax payments related to issuance of restricted stock units and performance stock units, partially offset by $5.0 million of cash proceeds received from option exercises. Net cash used in financing activities for the thirty-nine weeks ended May 28, 2022 primarily consisted of $28.5 million in repurchases of common stock, $50.0 million in principal payments on the Term Facility, and $3.5 million in tax payments related to issuance of restricted stock units and performance stock units, partially offset by $4.3 million of cash proceeds received from option exercises. During the thirteen weeks ended May 27, 2023, the Company extended its Term Loan maturity to March 2027 from July 2024. The Company paid $2.7 million of incremental deferred financing fees, primarily for the payment of upfront lender fees (original issue discount), in conjunction with the term loan transaction.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ind w:firstLine="210"/>
        <w:spacing w:after="0" w:line="263" w:lineRule="auto"/>
        <w:rPr>
          <w:sz w:val="20"/>
          <w:szCs w:val="20"/>
          <w:color w:val="auto"/>
        </w:rPr>
      </w:pPr>
      <w:r>
        <w:rPr>
          <w:rFonts w:ascii="Arial" w:cs="Arial" w:eastAsia="Arial" w:hAnsi="Arial"/>
          <w:sz w:val="18"/>
          <w:szCs w:val="18"/>
          <w:color w:val="auto"/>
        </w:rPr>
        <w:t>For a description of critical accounting policies that affect our significant judgments and estimates used in the preparation of our consolidated financial statements, refer to our Annual Report. Refer to Note 2, Summary of Significant Accounting Policies</w:t>
      </w:r>
      <w:r>
        <w:rPr>
          <w:rFonts w:ascii="Arial" w:cs="Arial" w:eastAsia="Arial" w:hAnsi="Arial"/>
          <w:sz w:val="16"/>
          <w:szCs w:val="16"/>
          <w:color w:val="auto"/>
        </w:rPr>
        <w:t>,</w:t>
      </w:r>
      <w:r>
        <w:rPr>
          <w:rFonts w:ascii="Arial" w:cs="Arial" w:eastAsia="Arial" w:hAnsi="Arial"/>
          <w:sz w:val="18"/>
          <w:szCs w:val="18"/>
          <w:color w:val="auto"/>
        </w:rPr>
        <w:t xml:space="preserve"> of our unaudited interim consolidated financial statements in this Report for further information regarding recently issued accounting standards.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210"/>
        <w:spacing w:after="0" w:line="291" w:lineRule="auto"/>
        <w:rPr>
          <w:sz w:val="20"/>
          <w:szCs w:val="20"/>
          <w:color w:val="auto"/>
        </w:rPr>
      </w:pPr>
      <w:r>
        <w:rPr>
          <w:rFonts w:ascii="Arial" w:cs="Arial" w:eastAsia="Arial" w:hAnsi="Arial"/>
          <w:sz w:val="16"/>
          <w:szCs w:val="16"/>
          <w:color w:val="auto"/>
        </w:rPr>
        <w:t>There were no material changes in our market risk exposure during the thirteen week period ended May 27, 2023. We continue to expect to experience logistics challenges in our supply chain as well as on balance higher raw material, packaging, and co-manufacturing costs and supply chain challenges in fiscal year 2023. In addition, current or future governmental policies may increase the risk of inflation and possible economic recession, which could further increase the costs of ingredients, packaging and finished goods for our business as well as negatively effect consumer behavior and demand for our products. As a result, we instituted price increases effective in the first and fourth quarters of fiscal year 2022. However, there can be no assurance that the price increases will fully offset the effects of higher raw material and supply and distribution costs on our results of operations and financial condition. For a discussion of our market risks, see “Quantitative and Qualitative Disclosures About Market Risk” in Part II, Item 7A of our Annual Report.</w:t>
      </w:r>
    </w:p>
    <w:p>
      <w:pPr>
        <w:spacing w:after="0" w:line="1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firstLine="189"/>
        <w:spacing w:after="0" w:line="257"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5" w:lineRule="exact"/>
        <w:rPr>
          <w:sz w:val="20"/>
          <w:szCs w:val="20"/>
          <w:color w:val="auto"/>
        </w:rPr>
      </w:pPr>
    </w:p>
    <w:p>
      <w:pPr>
        <w:jc w:val="both"/>
        <w:ind w:firstLine="192"/>
        <w:spacing w:after="0" w:line="259" w:lineRule="auto"/>
        <w:rPr>
          <w:sz w:val="20"/>
          <w:szCs w:val="20"/>
          <w:color w:val="auto"/>
        </w:rPr>
      </w:pPr>
      <w:r>
        <w:rPr>
          <w:rFonts w:ascii="Arial" w:cs="Arial" w:eastAsia="Arial" w:hAnsi="Arial"/>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May 27, 2023, the Company’s disclosure controls and procedures were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254"/>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quarter ended May 27, 2023 that have materially affected, or are reasonably likely to materially affect, our internal controls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56" w:lineRule="exact"/>
        <w:rPr>
          <w:sz w:val="20"/>
          <w:szCs w:val="20"/>
          <w:color w:val="auto"/>
        </w:rPr>
      </w:pPr>
    </w:p>
    <w:p>
      <w:pPr>
        <w:jc w:val="both"/>
        <w:ind w:firstLine="241"/>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firstLine="271"/>
        <w:spacing w:after="0" w:line="263"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266"/>
        <w:spacing w:after="0" w:line="279" w:lineRule="auto"/>
        <w:rPr>
          <w:sz w:val="20"/>
          <w:szCs w:val="20"/>
          <w:color w:val="auto"/>
        </w:rPr>
      </w:pPr>
      <w:r>
        <w:rPr>
          <w:rFonts w:ascii="Arial" w:cs="Arial" w:eastAsia="Arial" w:hAnsi="Arial"/>
          <w:sz w:val="17"/>
          <w:szCs w:val="17"/>
          <w:color w:val="auto"/>
        </w:rPr>
        <w:t>Readers should carefully consider the factors discussed in Part I, Item 1A. “Risk Factors” in our Annual Report, which could materially affect our business, financial condition, cash flows or future results. There have been no material changes in our risk factors included in our Annual Report. The risks described in our Annual Report are not the only risks facing our Company. Additional risks and uncertainties not currently known to us or that we currently deem to be immaterial may also materially adversely affect our business, financial condition or future results.</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49" w:lineRule="exact"/>
        <w:rPr>
          <w:sz w:val="20"/>
          <w:szCs w:val="20"/>
          <w:color w:val="auto"/>
        </w:rPr>
      </w:pPr>
    </w:p>
    <w:tbl>
      <w:tblPr>
        <w:tblLayout w:type="fixed"/>
        <w:tblInd w:w="640" w:type="dxa"/>
        <w:tblCellMar>
          <w:top w:w="0" w:type="dxa"/>
          <w:left w:w="0" w:type="dxa"/>
          <w:bottom w:w="0" w:type="dxa"/>
          <w:right w:w="0" w:type="dxa"/>
        </w:tblCellMar>
      </w:tblPr>
      <w:tr>
        <w:trPr>
          <w:trHeight w:val="213"/>
        </w:trPr>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Exhibit No.</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4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rPr>
              <w:t>Document</w:t>
            </w:r>
          </w:p>
        </w:tc>
      </w:tr>
      <w:tr>
        <w:trPr>
          <w:trHeight w:val="172"/>
        </w:trPr>
        <w:tc>
          <w:tcPr>
            <w:tcW w:w="980" w:type="dxa"/>
            <w:vAlign w:val="bottom"/>
            <w:gridSpan w:val="3"/>
            <w:shd w:val="clear" w:color="auto" w:fill="CCEEFF"/>
          </w:tcPr>
          <w:p>
            <w:pPr>
              <w:ind w:left="20"/>
              <w:spacing w:after="0" w:line="172" w:lineRule="exact"/>
              <w:rPr>
                <w:rFonts w:ascii="Arial" w:cs="Arial" w:eastAsia="Arial" w:hAnsi="Arial"/>
                <w:sz w:val="16"/>
                <w:szCs w:val="16"/>
                <w:color w:val="0000FF"/>
              </w:rPr>
            </w:pPr>
            <w:hyperlink r:id="rId47">
              <w:r>
                <w:rPr>
                  <w:rFonts w:ascii="Arial" w:cs="Arial" w:eastAsia="Arial" w:hAnsi="Arial"/>
                  <w:sz w:val="16"/>
                  <w:szCs w:val="16"/>
                  <w:color w:val="0000FF"/>
                </w:rPr>
                <w:t>10.</w:t>
              </w:r>
              <w:r>
                <w:rPr>
                  <w:rFonts w:ascii="Arial" w:cs="Arial" w:eastAsia="Arial" w:hAnsi="Arial"/>
                  <w:sz w:val="16"/>
                  <w:szCs w:val="16"/>
                  <w:u w:val="single" w:color="auto"/>
                  <w:color w:val="0000FF"/>
                </w:rPr>
                <w:t>1</w:t>
              </w:r>
            </w:hyperlink>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40" w:type="dxa"/>
            <w:vAlign w:val="bottom"/>
            <w:gridSpan w:val="6"/>
            <w:shd w:val="clear" w:color="auto" w:fill="CCEEFF"/>
          </w:tcPr>
          <w:p>
            <w:pPr>
              <w:spacing w:after="0" w:line="172" w:lineRule="exact"/>
              <w:rPr>
                <w:rFonts w:ascii="Arial" w:cs="Arial" w:eastAsia="Arial" w:hAnsi="Arial"/>
                <w:sz w:val="16"/>
                <w:szCs w:val="16"/>
                <w:color w:val="0000FF"/>
                <w:w w:val="98"/>
              </w:rPr>
            </w:pPr>
            <w:hyperlink r:id="rId47">
              <w:r>
                <w:rPr>
                  <w:rFonts w:ascii="Arial" w:cs="Arial" w:eastAsia="Arial" w:hAnsi="Arial"/>
                  <w:sz w:val="16"/>
                  <w:szCs w:val="16"/>
                  <w:color w:val="0000FF"/>
                  <w:w w:val="98"/>
                </w:rPr>
                <w:t>Repricing Amendment, dated as of April 25, 2023, by and among Atkins Intermediate Holdings, LLC, a Delaware limited liability</w:t>
              </w:r>
            </w:hyperlink>
          </w:p>
        </w:tc>
      </w:tr>
      <w:tr>
        <w:trPr>
          <w:trHeight w:val="142"/>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0000FF"/>
              <w:bottom w:val="single" w:sz="8" w:color="CCEEFF"/>
            </w:tcBorders>
            <w:shd w:val="clear" w:color="auto" w:fill="CCEEFF"/>
          </w:tcPr>
          <w:p>
            <w:pPr>
              <w:spacing w:after="0"/>
              <w:rPr>
                <w:sz w:val="12"/>
                <w:szCs w:val="12"/>
                <w:color w:val="auto"/>
              </w:rPr>
            </w:pPr>
          </w:p>
        </w:tc>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820" w:type="dxa"/>
            <w:vAlign w:val="bottom"/>
            <w:tcBorders>
              <w:top w:val="single" w:sz="8" w:color="0000FF"/>
              <w:bottom w:val="single" w:sz="8" w:color="0000FF"/>
            </w:tcBorders>
            <w:gridSpan w:val="5"/>
            <w:shd w:val="clear" w:color="auto" w:fill="CCEEFF"/>
          </w:tcPr>
          <w:p>
            <w:pPr>
              <w:spacing w:after="0" w:line="142" w:lineRule="exact"/>
              <w:rPr>
                <w:rFonts w:ascii="Arial" w:cs="Arial" w:eastAsia="Arial" w:hAnsi="Arial"/>
                <w:sz w:val="16"/>
                <w:szCs w:val="16"/>
                <w:color w:val="0000FF"/>
                <w:w w:val="96"/>
              </w:rPr>
            </w:pPr>
            <w:hyperlink r:id="rId47">
              <w:r>
                <w:rPr>
                  <w:rFonts w:ascii="Arial" w:cs="Arial" w:eastAsia="Arial" w:hAnsi="Arial"/>
                  <w:sz w:val="16"/>
                  <w:szCs w:val="16"/>
                  <w:color w:val="0000FF"/>
                  <w:w w:val="96"/>
                </w:rPr>
                <w:t>company, Conyers Park Acquisition Corp., a Delaware corporation, Simply Good Foods USA, In., a New York corporation, Atkins</w:t>
              </w:r>
            </w:hyperlink>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820" w:type="dxa"/>
            <w:vAlign w:val="bottom"/>
            <w:tcBorders>
              <w:bottom w:val="single" w:sz="8" w:color="0000FF"/>
            </w:tcBorders>
            <w:gridSpan w:val="5"/>
            <w:shd w:val="clear" w:color="auto" w:fill="CCEEFF"/>
          </w:tcPr>
          <w:p>
            <w:pPr>
              <w:spacing w:after="0" w:line="142" w:lineRule="exact"/>
              <w:rPr>
                <w:rFonts w:ascii="Arial" w:cs="Arial" w:eastAsia="Arial" w:hAnsi="Arial"/>
                <w:sz w:val="16"/>
                <w:szCs w:val="16"/>
                <w:color w:val="0000FF"/>
                <w:w w:val="96"/>
              </w:rPr>
            </w:pPr>
            <w:hyperlink r:id="rId47">
              <w:r>
                <w:rPr>
                  <w:rFonts w:ascii="Arial" w:cs="Arial" w:eastAsia="Arial" w:hAnsi="Arial"/>
                  <w:sz w:val="16"/>
                  <w:szCs w:val="16"/>
                  <w:color w:val="0000FF"/>
                  <w:w w:val="96"/>
                </w:rPr>
                <w:t>Nutritional Holdings, Inc., a Delaware corporation, Atkins Nutritional Holdings II, Inc., a Delaware corporation, NCP-ATK Holdings,</w:t>
              </w:r>
            </w:hyperlink>
          </w:p>
        </w:tc>
        <w:tc>
          <w:tcPr>
            <w:tcW w:w="20" w:type="dxa"/>
            <w:vAlign w:val="bottom"/>
            <w:tcBorders>
              <w:bottom w:val="single" w:sz="8" w:color="CCEEFF"/>
            </w:tcBorders>
            <w:shd w:val="clear" w:color="auto" w:fill="CCEEFF"/>
          </w:tcPr>
          <w:p>
            <w:pPr>
              <w:spacing w:after="0"/>
              <w:rPr>
                <w:sz w:val="12"/>
                <w:szCs w:val="12"/>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820" w:type="dxa"/>
            <w:vAlign w:val="bottom"/>
            <w:tcBorders>
              <w:bottom w:val="single" w:sz="8" w:color="0000FF"/>
            </w:tcBorders>
            <w:gridSpan w:val="5"/>
            <w:shd w:val="clear" w:color="auto" w:fill="CCEEFF"/>
          </w:tcPr>
          <w:p>
            <w:pPr>
              <w:spacing w:after="0" w:line="142" w:lineRule="exact"/>
              <w:rPr>
                <w:rFonts w:ascii="Arial" w:cs="Arial" w:eastAsia="Arial" w:hAnsi="Arial"/>
                <w:sz w:val="16"/>
                <w:szCs w:val="16"/>
                <w:color w:val="0000FF"/>
                <w:w w:val="93"/>
              </w:rPr>
            </w:pPr>
            <w:hyperlink r:id="rId47">
              <w:r>
                <w:rPr>
                  <w:rFonts w:ascii="Arial" w:cs="Arial" w:eastAsia="Arial" w:hAnsi="Arial"/>
                  <w:sz w:val="16"/>
                  <w:szCs w:val="16"/>
                  <w:color w:val="0000FF"/>
                  <w:w w:val="93"/>
                </w:rPr>
                <w:t>Inc., a Delaware corporation, the other guarantors party thereto, the financial institutions party thereto as Consenting Lenders and the</w:t>
              </w:r>
            </w:hyperlink>
          </w:p>
        </w:tc>
        <w:tc>
          <w:tcPr>
            <w:tcW w:w="20" w:type="dxa"/>
            <w:vAlign w:val="bottom"/>
            <w:tcBorders>
              <w:bottom w:val="single" w:sz="8" w:color="CCEEFF"/>
            </w:tcBorders>
            <w:shd w:val="clear" w:color="auto" w:fill="CCEEFF"/>
          </w:tcPr>
          <w:p>
            <w:pPr>
              <w:spacing w:after="0"/>
              <w:rPr>
                <w:sz w:val="12"/>
                <w:szCs w:val="12"/>
                <w:color w:val="auto"/>
              </w:rPr>
            </w:pPr>
          </w:p>
        </w:tc>
      </w:tr>
      <w:tr>
        <w:trPr>
          <w:trHeight w:val="142"/>
        </w:trPr>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20" w:type="dxa"/>
            <w:vAlign w:val="bottom"/>
            <w:gridSpan w:val="5"/>
            <w:shd w:val="clear" w:color="auto" w:fill="CCEEFF"/>
          </w:tcPr>
          <w:p>
            <w:pPr>
              <w:spacing w:after="0" w:line="142" w:lineRule="exact"/>
              <w:rPr>
                <w:rFonts w:ascii="Arial" w:cs="Arial" w:eastAsia="Arial" w:hAnsi="Arial"/>
                <w:sz w:val="16"/>
                <w:szCs w:val="16"/>
                <w:color w:val="0000FF"/>
              </w:rPr>
            </w:pPr>
            <w:hyperlink r:id="rId47">
              <w:r>
                <w:rPr>
                  <w:rFonts w:ascii="Arial" w:cs="Arial" w:eastAsia="Arial" w:hAnsi="Arial"/>
                  <w:sz w:val="16"/>
                  <w:szCs w:val="16"/>
                  <w:color w:val="0000FF"/>
                </w:rPr>
                <w:t>Replacement Lender and Barclays Bank PLC, as administrative agent.</w:t>
              </w:r>
            </w:hyperlink>
          </w:p>
        </w:tc>
        <w:tc>
          <w:tcPr>
            <w:tcW w:w="20" w:type="dxa"/>
            <w:vAlign w:val="bottom"/>
            <w:shd w:val="clear" w:color="auto" w:fill="CCEEFF"/>
          </w:tcPr>
          <w:p>
            <w:pPr>
              <w:spacing w:after="0"/>
              <w:rPr>
                <w:sz w:val="12"/>
                <w:szCs w:val="12"/>
                <w:color w:val="auto"/>
              </w:rPr>
            </w:pPr>
          </w:p>
        </w:tc>
      </w:tr>
      <w:tr>
        <w:trPr>
          <w:trHeight w:val="507"/>
        </w:trPr>
        <w:tc>
          <w:tcPr>
            <w:tcW w:w="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4560" w:type="dxa"/>
            <w:vAlign w:val="bottom"/>
            <w:tcBorders>
              <w:top w:val="single" w:sz="8" w:color="0000FF"/>
            </w:tcBorders>
            <w:shd w:val="clear" w:color="auto" w:fill="CCEEFF"/>
          </w:tcPr>
          <w:p>
            <w:pPr>
              <w:spacing w:after="0"/>
              <w:rPr>
                <w:sz w:val="24"/>
                <w:szCs w:val="24"/>
                <w:color w:val="auto"/>
              </w:rPr>
            </w:pPr>
          </w:p>
        </w:tc>
        <w:tc>
          <w:tcPr>
            <w:tcW w:w="210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152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r>
      <w:tr>
        <w:trPr>
          <w:trHeight w:val="175"/>
        </w:trPr>
        <w:tc>
          <w:tcPr>
            <w:tcW w:w="980" w:type="dxa"/>
            <w:vAlign w:val="bottom"/>
            <w:gridSpan w:val="3"/>
          </w:tcPr>
          <w:p>
            <w:pPr>
              <w:ind w:left="20"/>
              <w:spacing w:after="0" w:line="175" w:lineRule="exact"/>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1</w:t>
            </w:r>
            <w:r>
              <w:rPr>
                <w:rFonts w:ascii="Arial" w:cs="Arial" w:eastAsia="Arial" w:hAnsi="Arial"/>
                <w:sz w:val="16"/>
                <w:szCs w:val="16"/>
                <w:color w:val="00000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6"/>
          </w:tcPr>
          <w:p>
            <w:pPr>
              <w:spacing w:after="0" w:line="175" w:lineRule="exact"/>
              <w:rPr>
                <w:sz w:val="20"/>
                <w:szCs w:val="20"/>
                <w:color w:val="auto"/>
              </w:rPr>
            </w:pPr>
            <w:r>
              <w:rPr>
                <w:rFonts w:ascii="Arial" w:cs="Arial" w:eastAsia="Arial" w:hAnsi="Arial"/>
                <w:sz w:val="16"/>
                <w:szCs w:val="16"/>
                <w:color w:val="0000FF"/>
              </w:rPr>
              <w:t>Certification of Principal Executive Officer pursuant to Section 302 of the Sarbanes Oxley Act of 2002.</w:t>
            </w:r>
          </w:p>
        </w:tc>
      </w:tr>
      <w:tr>
        <w:trPr>
          <w:trHeight w:val="21"/>
        </w:trPr>
        <w:tc>
          <w:tcPr>
            <w:tcW w:w="2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80" w:type="dxa"/>
            <w:vAlign w:val="bottom"/>
            <w:gridSpan w:val="3"/>
            <w:shd w:val="clear" w:color="auto" w:fill="CCEEFF"/>
          </w:tcPr>
          <w:p>
            <w:pPr>
              <w:ind w:left="20"/>
              <w:spacing w:after="0" w:line="175" w:lineRule="exact"/>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2</w:t>
            </w:r>
            <w:r>
              <w:rPr>
                <w:rFonts w:ascii="Arial" w:cs="Arial" w:eastAsia="Arial" w:hAnsi="Arial"/>
                <w:sz w:val="16"/>
                <w:szCs w:val="16"/>
                <w:color w:val="000000"/>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40" w:type="dxa"/>
            <w:vAlign w:val="bottom"/>
            <w:gridSpan w:val="6"/>
            <w:shd w:val="clear" w:color="auto" w:fill="CCEEFF"/>
          </w:tcPr>
          <w:p>
            <w:pPr>
              <w:spacing w:after="0" w:line="175" w:lineRule="exact"/>
              <w:rPr>
                <w:sz w:val="20"/>
                <w:szCs w:val="20"/>
                <w:color w:val="auto"/>
              </w:rPr>
            </w:pPr>
            <w:r>
              <w:rPr>
                <w:rFonts w:ascii="Arial" w:cs="Arial" w:eastAsia="Arial" w:hAnsi="Arial"/>
                <w:sz w:val="16"/>
                <w:szCs w:val="16"/>
                <w:color w:val="0000FF"/>
              </w:rPr>
              <w:t>Certification of Principal Financial Officer pursuant to Section 302 of the Sarbanes Oxley Act of 2002.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gridSpan w:val="3"/>
          </w:tcPr>
          <w:p>
            <w:pPr>
              <w:ind w:left="20"/>
              <w:spacing w:after="0" w:line="175" w:lineRule="exact"/>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1</w:t>
            </w:r>
            <w:r>
              <w:rPr>
                <w:rFonts w:ascii="Arial" w:cs="Arial" w:eastAsia="Arial" w:hAnsi="Arial"/>
                <w:sz w:val="16"/>
                <w:szCs w:val="16"/>
                <w:color w:val="00000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gridSpan w:val="6"/>
          </w:tcPr>
          <w:p>
            <w:pPr>
              <w:spacing w:after="0" w:line="175" w:lineRule="exact"/>
              <w:rPr>
                <w:sz w:val="20"/>
                <w:szCs w:val="20"/>
                <w:color w:val="auto"/>
              </w:rPr>
            </w:pPr>
            <w:r>
              <w:rPr>
                <w:rFonts w:ascii="Arial" w:cs="Arial" w:eastAsia="Arial" w:hAnsi="Arial"/>
                <w:sz w:val="16"/>
                <w:szCs w:val="16"/>
                <w:color w:val="0000FF"/>
              </w:rPr>
              <w:t>Certification of Principal Executive Officer and Principal Financial Officer pursuant to Section 906 of the Sarbanes Oxley Act.</w:t>
            </w:r>
          </w:p>
        </w:tc>
      </w:tr>
      <w:tr>
        <w:trPr>
          <w:trHeight w:val="21"/>
        </w:trPr>
        <w:tc>
          <w:tcPr>
            <w:tcW w:w="2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980" w:type="dxa"/>
            <w:vAlign w:val="bottom"/>
            <w:gridSpan w:val="3"/>
            <w:shd w:val="clear" w:color="auto" w:fill="CCEEFF"/>
          </w:tcPr>
          <w:p>
            <w:pPr>
              <w:ind w:left="20"/>
              <w:spacing w:after="0" w:line="166" w:lineRule="exact"/>
              <w:rPr>
                <w:sz w:val="20"/>
                <w:szCs w:val="20"/>
                <w:color w:val="auto"/>
              </w:rPr>
            </w:pPr>
            <w:r>
              <w:rPr>
                <w:rFonts w:ascii="Arial" w:cs="Arial" w:eastAsia="Arial" w:hAnsi="Arial"/>
                <w:sz w:val="16"/>
                <w:szCs w:val="16"/>
                <w:color w:val="auto"/>
              </w:rPr>
              <w:t>101.INS*</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40" w:type="dxa"/>
            <w:vAlign w:val="bottom"/>
            <w:gridSpan w:val="6"/>
            <w:shd w:val="clear" w:color="auto" w:fill="CCEEFF"/>
          </w:tcPr>
          <w:p>
            <w:pPr>
              <w:spacing w:after="0" w:line="166" w:lineRule="exact"/>
              <w:rPr>
                <w:sz w:val="20"/>
                <w:szCs w:val="20"/>
                <w:color w:val="auto"/>
              </w:rPr>
            </w:pPr>
            <w:r>
              <w:rPr>
                <w:rFonts w:ascii="Arial" w:cs="Arial" w:eastAsia="Arial" w:hAnsi="Arial"/>
                <w:sz w:val="16"/>
                <w:szCs w:val="16"/>
                <w:color w:val="auto"/>
                <w:w w:val="92"/>
              </w:rPr>
              <w:t>XBRL Instance Document (the instance document does not appear on the Interactive Data File because the XBRL tags are embedded</w:t>
            </w:r>
          </w:p>
        </w:tc>
      </w:tr>
      <w:tr>
        <w:trPr>
          <w:trHeight w:val="212"/>
        </w:trPr>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4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within the Inline XBRL document)</w:t>
            </w:r>
          </w:p>
        </w:tc>
      </w:tr>
      <w:tr>
        <w:trPr>
          <w:trHeight w:val="213"/>
        </w:trPr>
        <w:tc>
          <w:tcPr>
            <w:tcW w:w="980" w:type="dxa"/>
            <w:vAlign w:val="bottom"/>
            <w:gridSpan w:val="3"/>
          </w:tcPr>
          <w:p>
            <w:pPr>
              <w:ind w:left="20"/>
              <w:spacing w:after="0"/>
              <w:rPr>
                <w:sz w:val="20"/>
                <w:szCs w:val="20"/>
                <w:color w:val="auto"/>
              </w:rPr>
            </w:pPr>
            <w:r>
              <w:rPr>
                <w:rFonts w:ascii="Arial" w:cs="Arial" w:eastAsia="Arial" w:hAnsi="Arial"/>
                <w:sz w:val="16"/>
                <w:szCs w:val="16"/>
                <w:color w:val="auto"/>
              </w:rPr>
              <w:t>101.SCH*</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6"/>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9"/>
        </w:trPr>
        <w:tc>
          <w:tcPr>
            <w:tcW w:w="9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101.CAL*</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4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3"/>
        </w:trPr>
        <w:tc>
          <w:tcPr>
            <w:tcW w:w="980" w:type="dxa"/>
            <w:vAlign w:val="bottom"/>
            <w:gridSpan w:val="3"/>
          </w:tcPr>
          <w:p>
            <w:pPr>
              <w:ind w:left="20"/>
              <w:spacing w:after="0"/>
              <w:rPr>
                <w:sz w:val="20"/>
                <w:szCs w:val="20"/>
                <w:color w:val="auto"/>
              </w:rPr>
            </w:pPr>
            <w:r>
              <w:rPr>
                <w:rFonts w:ascii="Arial" w:cs="Arial" w:eastAsia="Arial" w:hAnsi="Arial"/>
                <w:sz w:val="16"/>
                <w:szCs w:val="16"/>
                <w:color w:val="auto"/>
              </w:rPr>
              <w:t>101.DEF*</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6"/>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9"/>
        </w:trPr>
        <w:tc>
          <w:tcPr>
            <w:tcW w:w="9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101.LAB*</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4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0"/>
        </w:trPr>
        <w:tc>
          <w:tcPr>
            <w:tcW w:w="980" w:type="dxa"/>
            <w:vAlign w:val="bottom"/>
            <w:gridSpan w:val="3"/>
          </w:tcPr>
          <w:p>
            <w:pPr>
              <w:ind w:left="20"/>
              <w:spacing w:after="0"/>
              <w:rPr>
                <w:sz w:val="20"/>
                <w:szCs w:val="20"/>
                <w:color w:val="auto"/>
              </w:rPr>
            </w:pPr>
            <w:r>
              <w:rPr>
                <w:rFonts w:ascii="Arial" w:cs="Arial" w:eastAsia="Arial" w:hAnsi="Arial"/>
                <w:sz w:val="16"/>
                <w:szCs w:val="16"/>
                <w:color w:val="auto"/>
              </w:rPr>
              <w:t>101.PRE*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3810</wp:posOffset>
            </wp:positionV>
            <wp:extent cx="633476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334760" cy="137160"/>
                    </a:xfrm>
                    <a:prstGeom prst="rect">
                      <a:avLst/>
                    </a:prstGeom>
                    <a:noFill/>
                  </pic:spPr>
                </pic:pic>
              </a:graphicData>
            </a:graphic>
          </wp:anchor>
        </w:drawing>
      </w:r>
    </w:p>
    <w:p>
      <w:pPr>
        <w:ind w:left="1780" w:hanging="1126"/>
        <w:spacing w:after="0"/>
        <w:tabs>
          <w:tab w:leader="none" w:pos="1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and contained in Exhibit 101).</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 Filed herewith.</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 Furnished herewith.</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 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25" w:right="9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18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THE SIMPLY GOOD FOODS COMPANY</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By: /s/ Timothy A.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17780</wp:posOffset>
            </wp:positionV>
            <wp:extent cx="27863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16" w:lineRule="exact"/>
        <w:rPr>
          <w:sz w:val="20"/>
          <w:szCs w:val="20"/>
          <w:color w:val="auto"/>
        </w:rPr>
      </w:pPr>
    </w:p>
    <w:p>
      <w:pPr>
        <w:ind w:left="1660"/>
        <w:spacing w:after="0"/>
        <w:tabs>
          <w:tab w:leader="none" w:pos="2260" w:val="left"/>
          <w:tab w:leader="none" w:pos="47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29, 2023</w:t>
      </w:r>
      <w:r>
        <w:rPr>
          <w:sz w:val="20"/>
          <w:szCs w:val="20"/>
          <w:color w:val="auto"/>
        </w:rPr>
        <w:tab/>
      </w:r>
      <w:r>
        <w:rPr>
          <w:rFonts w:ascii="Arial" w:cs="Arial" w:eastAsia="Arial" w:hAnsi="Arial"/>
          <w:sz w:val="16"/>
          <w:szCs w:val="16"/>
          <w:color w:val="auto"/>
          <w:vertAlign w:val="subscript"/>
        </w:rPr>
        <w:t xml:space="preserve">Name: </w:t>
      </w:r>
      <w:r>
        <w:rPr>
          <w:rFonts w:ascii="Arial" w:cs="Arial" w:eastAsia="Arial" w:hAnsi="Arial"/>
          <w:sz w:val="16"/>
          <w:szCs w:val="16"/>
          <w:color w:val="auto"/>
        </w:rPr>
        <w:t>Timothy A. Matthews</w:t>
      </w:r>
    </w:p>
    <w:p>
      <w:pPr>
        <w:spacing w:after="0" w:line="150" w:lineRule="exact"/>
        <w:rPr>
          <w:sz w:val="20"/>
          <w:szCs w:val="20"/>
          <w:color w:val="auto"/>
        </w:rPr>
      </w:pPr>
    </w:p>
    <w:p>
      <w:pPr>
        <w:ind w:left="4860"/>
        <w:spacing w:after="0"/>
        <w:rPr>
          <w:sz w:val="20"/>
          <w:szCs w:val="20"/>
          <w:color w:val="auto"/>
        </w:rPr>
      </w:pPr>
      <w:r>
        <w:rPr>
          <w:rFonts w:ascii="Arial" w:cs="Arial" w:eastAsia="Arial" w:hAnsi="Arial"/>
          <w:sz w:val="32"/>
          <w:szCs w:val="32"/>
          <w:color w:val="auto"/>
          <w:vertAlign w:val="subscript"/>
        </w:rPr>
        <w:t>Title:</w:t>
      </w:r>
      <w:r>
        <w:rPr>
          <w:rFonts w:ascii="Arial" w:cs="Arial" w:eastAsia="Arial" w:hAnsi="Arial"/>
          <w:sz w:val="16"/>
          <w:szCs w:val="16"/>
          <w:color w:val="auto"/>
        </w:rPr>
        <w:t xml:space="preserve"> Vice President, Controller, and Chief Accounting Officer</w:t>
      </w:r>
    </w:p>
    <w:p>
      <w:pPr>
        <w:spacing w:after="0" w:line="64" w:lineRule="exact"/>
        <w:rPr>
          <w:sz w:val="20"/>
          <w:szCs w:val="20"/>
          <w:color w:val="auto"/>
        </w:rPr>
      </w:pPr>
    </w:p>
    <w:p>
      <w:pPr>
        <w:ind w:left="5240"/>
        <w:spacing w:after="0"/>
        <w:rPr>
          <w:sz w:val="20"/>
          <w:szCs w:val="20"/>
          <w:color w:val="auto"/>
        </w:rPr>
      </w:pPr>
      <w:r>
        <w:rPr>
          <w:rFonts w:ascii="Arial" w:cs="Arial" w:eastAsia="Arial" w:hAnsi="Arial"/>
          <w:sz w:val="16"/>
          <w:szCs w:val="16"/>
          <w:i w:val="1"/>
          <w:i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460"/>
          </w:cols>
          <w:pgMar w:left="320" w:top="125" w:right="1119" w:bottom="1440" w:gutter="0" w:footer="0" w:header="0"/>
        </w:sectPr>
      </w:pPr>
    </w:p>
    <w:bookmarkStart w:id="34" w:name="page35"/>
    <w:bookmarkEnd w:id="34"/>
    <w:p>
      <w:pPr>
        <w:ind w:left="10320"/>
        <w:spacing w:after="0"/>
        <w:rPr>
          <w:sz w:val="20"/>
          <w:szCs w:val="20"/>
          <w:color w:val="auto"/>
        </w:rPr>
      </w:pPr>
      <w:r>
        <w:rPr>
          <w:rFonts w:ascii="Arial" w:cs="Arial" w:eastAsia="Arial" w:hAnsi="Arial"/>
          <w:sz w:val="16"/>
          <w:szCs w:val="16"/>
          <w:b w:val="1"/>
          <w:bCs w:val="1"/>
          <w:color w:val="auto"/>
        </w:rPr>
        <w:t>Exhibit 31.1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Joseph E. Scalzo, certify that:</w:t>
      </w:r>
    </w:p>
    <w:p>
      <w:pPr>
        <w:spacing w:after="0" w:line="225" w:lineRule="exact"/>
        <w:rPr>
          <w:sz w:val="20"/>
          <w:szCs w:val="20"/>
          <w:color w:val="auto"/>
        </w:rPr>
      </w:pPr>
    </w:p>
    <w:p>
      <w:pPr>
        <w:ind w:left="420" w:hanging="23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Simply Good Foods Company (the "registrant");</w:t>
      </w:r>
    </w:p>
    <w:p>
      <w:pPr>
        <w:spacing w:after="0" w:line="225" w:lineRule="exact"/>
        <w:rPr>
          <w:rFonts w:ascii="Arial" w:cs="Arial" w:eastAsia="Arial" w:hAnsi="Arial"/>
          <w:sz w:val="18"/>
          <w:szCs w:val="18"/>
          <w:color w:val="auto"/>
        </w:rPr>
      </w:pPr>
    </w:p>
    <w:p>
      <w:pPr>
        <w:ind w:firstLine="233"/>
        <w:spacing w:after="0" w:line="342" w:lineRule="auto"/>
        <w:tabs>
          <w:tab w:leader="none" w:pos="472" w:val="left"/>
        </w:tabs>
        <w:numPr>
          <w:ilvl w:val="1"/>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236"/>
        <w:spacing w:after="0" w:line="277" w:lineRule="auto"/>
        <w:tabs>
          <w:tab w:leader="none" w:pos="477" w:val="left"/>
        </w:tabs>
        <w:numPr>
          <w:ilvl w:val="2"/>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276"/>
        <w:spacing w:after="0" w:line="263" w:lineRule="auto"/>
        <w:tabs>
          <w:tab w:leader="none" w:pos="537" w:val="left"/>
        </w:tabs>
        <w:numPr>
          <w:ilvl w:val="3"/>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firstLine="4"/>
        <w:spacing w:after="0" w:line="286" w:lineRule="auto"/>
        <w:tabs>
          <w:tab w:leader="none" w:pos="1876" w:val="left"/>
        </w:tabs>
        <w:numPr>
          <w:ilvl w:val="4"/>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00" w:firstLine="4"/>
        <w:spacing w:after="0" w:line="263" w:lineRule="auto"/>
        <w:tabs>
          <w:tab w:leader="none" w:pos="1727" w:val="left"/>
        </w:tabs>
        <w:numPr>
          <w:ilvl w:val="4"/>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7" w:val="left"/>
        </w:tabs>
        <w:numPr>
          <w:ilvl w:val="4"/>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5" w:val="left"/>
        </w:tabs>
        <w:numPr>
          <w:ilvl w:val="4"/>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223"/>
        <w:spacing w:after="0" w:line="308" w:lineRule="auto"/>
        <w:tabs>
          <w:tab w:leader="none" w:pos="458" w:val="left"/>
        </w:tabs>
        <w:numPr>
          <w:ilvl w:val="2"/>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4"/>
        <w:spacing w:after="0" w:line="308" w:lineRule="auto"/>
        <w:tabs>
          <w:tab w:leader="none" w:pos="1768" w:val="left"/>
        </w:tabs>
        <w:numPr>
          <w:ilvl w:val="4"/>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4"/>
        <w:spacing w:after="0" w:line="277" w:lineRule="auto"/>
        <w:tabs>
          <w:tab w:leader="none" w:pos="1808" w:val="left"/>
        </w:tabs>
        <w:numPr>
          <w:ilvl w:val="4"/>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40" w:type="dxa"/>
        <w:tblCellMar>
          <w:top w:w="0" w:type="dxa"/>
          <w:left w:w="0" w:type="dxa"/>
          <w:bottom w:w="0" w:type="dxa"/>
          <w:right w:w="0" w:type="dxa"/>
        </w:tblCellMar>
      </w:tblPr>
      <w:tr>
        <w:trPr>
          <w:trHeight w:val="220"/>
        </w:trPr>
        <w:tc>
          <w:tcPr>
            <w:tcW w:w="1440" w:type="dxa"/>
            <w:vAlign w:val="bottom"/>
          </w:tcPr>
          <w:p>
            <w:pPr>
              <w:spacing w:after="0"/>
              <w:rPr>
                <w:sz w:val="20"/>
                <w:szCs w:val="20"/>
                <w:color w:val="auto"/>
              </w:rPr>
            </w:pPr>
            <w:r>
              <w:rPr>
                <w:rFonts w:ascii="Arial" w:cs="Arial" w:eastAsia="Arial" w:hAnsi="Arial"/>
                <w:sz w:val="16"/>
                <w:szCs w:val="16"/>
                <w:color w:val="auto"/>
                <w:w w:val="98"/>
              </w:rPr>
              <w:t>Date: June 29, 2023</w:t>
            </w:r>
          </w:p>
        </w:tc>
        <w:tc>
          <w:tcPr>
            <w:tcW w:w="820" w:type="dxa"/>
            <w:vAlign w:val="bottom"/>
          </w:tcPr>
          <w:p>
            <w:pPr>
              <w:ind w:left="140"/>
              <w:spacing w:after="0"/>
              <w:rPr>
                <w:sz w:val="20"/>
                <w:szCs w:val="20"/>
                <w:color w:val="auto"/>
              </w:rPr>
            </w:pPr>
            <w:r>
              <w:rPr>
                <w:rFonts w:ascii="Arial" w:cs="Arial" w:eastAsia="Arial" w:hAnsi="Arial"/>
                <w:sz w:val="16"/>
                <w:szCs w:val="16"/>
                <w:color w:val="auto"/>
              </w:rPr>
              <w:t>By:</w:t>
            </w:r>
          </w:p>
        </w:tc>
        <w:tc>
          <w:tcPr>
            <w:tcW w:w="3460" w:type="dxa"/>
            <w:vAlign w:val="bottom"/>
          </w:tcPr>
          <w:p>
            <w:pPr>
              <w:ind w:left="20"/>
              <w:spacing w:after="0"/>
              <w:rPr>
                <w:sz w:val="20"/>
                <w:szCs w:val="20"/>
                <w:color w:val="auto"/>
              </w:rPr>
            </w:pPr>
            <w:r>
              <w:rPr>
                <w:rFonts w:ascii="Arial" w:cs="Arial" w:eastAsia="Arial" w:hAnsi="Arial"/>
                <w:sz w:val="16"/>
                <w:szCs w:val="16"/>
                <w:color w:val="auto"/>
              </w:rPr>
              <w:t>/s/ Joseph E. Scalzo</w:t>
            </w:r>
          </w:p>
        </w:tc>
        <w:tc>
          <w:tcPr>
            <w:tcW w:w="0" w:type="dxa"/>
            <w:vAlign w:val="bottom"/>
          </w:tcPr>
          <w:p>
            <w:pPr>
              <w:spacing w:after="0"/>
              <w:rPr>
                <w:sz w:val="1"/>
                <w:szCs w:val="1"/>
                <w:color w:val="auto"/>
              </w:rPr>
            </w:pPr>
          </w:p>
        </w:tc>
      </w:tr>
      <w:tr>
        <w:trPr>
          <w:trHeight w:val="168"/>
        </w:trPr>
        <w:tc>
          <w:tcPr>
            <w:tcW w:w="1440" w:type="dxa"/>
            <w:vAlign w:val="bottom"/>
          </w:tcPr>
          <w:p>
            <w:pPr>
              <w:spacing w:after="0"/>
              <w:rPr>
                <w:sz w:val="14"/>
                <w:szCs w:val="14"/>
                <w:color w:val="auto"/>
              </w:rPr>
            </w:pPr>
          </w:p>
        </w:tc>
        <w:tc>
          <w:tcPr>
            <w:tcW w:w="820" w:type="dxa"/>
            <w:vAlign w:val="bottom"/>
            <w:vMerge w:val="restart"/>
          </w:tcPr>
          <w:p>
            <w:pPr>
              <w:ind w:left="140"/>
              <w:spacing w:after="0"/>
              <w:rPr>
                <w:sz w:val="20"/>
                <w:szCs w:val="20"/>
                <w:color w:val="auto"/>
              </w:rPr>
            </w:pPr>
            <w:r>
              <w:rPr>
                <w:rFonts w:ascii="Arial" w:cs="Arial" w:eastAsia="Arial" w:hAnsi="Arial"/>
                <w:sz w:val="16"/>
                <w:szCs w:val="16"/>
                <w:color w:val="auto"/>
              </w:rPr>
              <w:t>Name:</w:t>
            </w:r>
          </w:p>
        </w:tc>
        <w:tc>
          <w:tcPr>
            <w:tcW w:w="3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460" w:type="dxa"/>
            <w:vAlign w:val="bottom"/>
          </w:tcPr>
          <w:p>
            <w:pPr>
              <w:ind w:left="20"/>
              <w:spacing w:after="0"/>
              <w:rPr>
                <w:sz w:val="20"/>
                <w:szCs w:val="20"/>
                <w:color w:val="auto"/>
              </w:rPr>
            </w:pPr>
            <w:r>
              <w:rPr>
                <w:rFonts w:ascii="Arial" w:cs="Arial" w:eastAsia="Arial" w:hAnsi="Arial"/>
                <w:sz w:val="16"/>
                <w:szCs w:val="16"/>
                <w:color w:val="auto"/>
              </w:rPr>
              <w:t>Joseph E. Scalzo</w:t>
            </w: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2"/>
                <w:szCs w:val="22"/>
                <w:color w:val="auto"/>
              </w:rPr>
            </w:pPr>
          </w:p>
        </w:tc>
        <w:tc>
          <w:tcPr>
            <w:tcW w:w="820" w:type="dxa"/>
            <w:vAlign w:val="bottom"/>
          </w:tcPr>
          <w:p>
            <w:pPr>
              <w:ind w:left="140"/>
              <w:spacing w:after="0"/>
              <w:rPr>
                <w:sz w:val="20"/>
                <w:szCs w:val="20"/>
                <w:color w:val="auto"/>
              </w:rPr>
            </w:pPr>
            <w:r>
              <w:rPr>
                <w:rFonts w:ascii="Arial" w:cs="Arial" w:eastAsia="Arial" w:hAnsi="Arial"/>
                <w:sz w:val="16"/>
                <w:szCs w:val="16"/>
                <w:color w:val="auto"/>
              </w:rPr>
              <w:t>Title:</w:t>
            </w:r>
          </w:p>
        </w:tc>
        <w:tc>
          <w:tcPr>
            <w:tcW w:w="3460" w:type="dxa"/>
            <w:vAlign w:val="bottom"/>
          </w:tcPr>
          <w:p>
            <w:pPr>
              <w:ind w:left="2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6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35" w:name="page36"/>
    <w:bookmarkEnd w:id="35"/>
    <w:p>
      <w:pPr>
        <w:ind w:left="10320"/>
        <w:spacing w:after="0"/>
        <w:rPr>
          <w:sz w:val="20"/>
          <w:szCs w:val="20"/>
          <w:color w:val="auto"/>
        </w:rPr>
      </w:pPr>
      <w:r>
        <w:rPr>
          <w:rFonts w:ascii="Arial" w:cs="Arial" w:eastAsia="Arial" w:hAnsi="Arial"/>
          <w:sz w:val="16"/>
          <w:szCs w:val="16"/>
          <w:b w:val="1"/>
          <w:bCs w:val="1"/>
          <w:color w:val="auto"/>
        </w:rPr>
        <w:t>Exhibit 31.2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Shaun Mara, certify that:</w:t>
      </w:r>
    </w:p>
    <w:p>
      <w:pPr>
        <w:spacing w:after="0" w:line="225" w:lineRule="exact"/>
        <w:rPr>
          <w:sz w:val="20"/>
          <w:szCs w:val="20"/>
          <w:color w:val="auto"/>
        </w:rPr>
      </w:pPr>
    </w:p>
    <w:p>
      <w:pPr>
        <w:ind w:left="420" w:hanging="232"/>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Simply Good Foods Company (the "registrant");</w:t>
      </w:r>
    </w:p>
    <w:p>
      <w:pPr>
        <w:spacing w:after="0" w:line="225" w:lineRule="exact"/>
        <w:rPr>
          <w:rFonts w:ascii="Arial" w:cs="Arial" w:eastAsia="Arial" w:hAnsi="Arial"/>
          <w:sz w:val="18"/>
          <w:szCs w:val="18"/>
          <w:color w:val="auto"/>
        </w:rPr>
      </w:pPr>
    </w:p>
    <w:p>
      <w:pPr>
        <w:ind w:firstLine="233"/>
        <w:spacing w:after="0" w:line="342" w:lineRule="auto"/>
        <w:tabs>
          <w:tab w:leader="none" w:pos="472" w:val="left"/>
        </w:tabs>
        <w:numPr>
          <w:ilvl w:val="1"/>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236"/>
        <w:spacing w:after="0" w:line="277" w:lineRule="auto"/>
        <w:tabs>
          <w:tab w:leader="none" w:pos="477" w:val="left"/>
        </w:tabs>
        <w:numPr>
          <w:ilvl w:val="2"/>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276"/>
        <w:spacing w:after="0" w:line="263" w:lineRule="auto"/>
        <w:tabs>
          <w:tab w:leader="none" w:pos="537" w:val="left"/>
        </w:tabs>
        <w:numPr>
          <w:ilvl w:val="3"/>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firstLine="4"/>
        <w:spacing w:after="0" w:line="286" w:lineRule="auto"/>
        <w:tabs>
          <w:tab w:leader="none" w:pos="1876" w:val="left"/>
        </w:tabs>
        <w:numPr>
          <w:ilvl w:val="4"/>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00" w:firstLine="4"/>
        <w:spacing w:after="0" w:line="263" w:lineRule="auto"/>
        <w:tabs>
          <w:tab w:leader="none" w:pos="1727" w:val="left"/>
        </w:tabs>
        <w:numPr>
          <w:ilvl w:val="4"/>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7" w:val="left"/>
        </w:tabs>
        <w:numPr>
          <w:ilvl w:val="4"/>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5" w:val="left"/>
        </w:tabs>
        <w:numPr>
          <w:ilvl w:val="4"/>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223"/>
        <w:spacing w:after="0" w:line="308" w:lineRule="auto"/>
        <w:tabs>
          <w:tab w:leader="none" w:pos="458" w:val="left"/>
        </w:tabs>
        <w:numPr>
          <w:ilvl w:val="2"/>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4"/>
        <w:spacing w:after="0" w:line="308" w:lineRule="auto"/>
        <w:tabs>
          <w:tab w:leader="none" w:pos="1768" w:val="left"/>
        </w:tabs>
        <w:numPr>
          <w:ilvl w:val="4"/>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4"/>
        <w:spacing w:after="0" w:line="277" w:lineRule="auto"/>
        <w:tabs>
          <w:tab w:leader="none" w:pos="1808" w:val="left"/>
        </w:tabs>
        <w:numPr>
          <w:ilvl w:val="4"/>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40" w:type="dxa"/>
        <w:tblCellMar>
          <w:top w:w="0" w:type="dxa"/>
          <w:left w:w="0" w:type="dxa"/>
          <w:bottom w:w="0" w:type="dxa"/>
          <w:right w:w="0" w:type="dxa"/>
        </w:tblCellMar>
      </w:tblPr>
      <w:tr>
        <w:trPr>
          <w:trHeight w:val="247"/>
        </w:trPr>
        <w:tc>
          <w:tcPr>
            <w:tcW w:w="1440" w:type="dxa"/>
            <w:vAlign w:val="bottom"/>
          </w:tcPr>
          <w:p>
            <w:pPr>
              <w:spacing w:after="0"/>
              <w:rPr>
                <w:sz w:val="20"/>
                <w:szCs w:val="20"/>
                <w:color w:val="auto"/>
              </w:rPr>
            </w:pPr>
            <w:r>
              <w:rPr>
                <w:rFonts w:ascii="Arial" w:cs="Arial" w:eastAsia="Arial" w:hAnsi="Arial"/>
                <w:sz w:val="16"/>
                <w:szCs w:val="16"/>
                <w:color w:val="auto"/>
                <w:w w:val="98"/>
              </w:rPr>
              <w:t>Date: June 29, 2023</w:t>
            </w:r>
          </w:p>
        </w:tc>
        <w:tc>
          <w:tcPr>
            <w:tcW w:w="820" w:type="dxa"/>
            <w:vAlign w:val="bottom"/>
          </w:tcPr>
          <w:p>
            <w:pPr>
              <w:ind w:left="140"/>
              <w:spacing w:after="0"/>
              <w:rPr>
                <w:sz w:val="20"/>
                <w:szCs w:val="20"/>
                <w:color w:val="auto"/>
              </w:rPr>
            </w:pPr>
            <w:r>
              <w:rPr>
                <w:rFonts w:ascii="Arial" w:cs="Arial" w:eastAsia="Arial" w:hAnsi="Arial"/>
                <w:sz w:val="16"/>
                <w:szCs w:val="16"/>
                <w:color w:val="auto"/>
              </w:rPr>
              <w:t>By:</w:t>
            </w:r>
          </w:p>
        </w:tc>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Shaun Mara</w:t>
            </w: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Arial" w:cs="Arial" w:eastAsia="Arial" w:hAnsi="Arial"/>
                <w:sz w:val="16"/>
                <w:szCs w:val="16"/>
                <w:color w:val="auto"/>
              </w:rPr>
              <w:t>Name:</w:t>
            </w:r>
          </w:p>
        </w:tc>
        <w:tc>
          <w:tcPr>
            <w:tcW w:w="3460" w:type="dxa"/>
            <w:vAlign w:val="bottom"/>
            <w:vMerge w:val="restart"/>
          </w:tcPr>
          <w:p>
            <w:pPr>
              <w:ind w:left="20"/>
              <w:spacing w:after="0"/>
              <w:rPr>
                <w:sz w:val="20"/>
                <w:szCs w:val="20"/>
                <w:color w:val="auto"/>
              </w:rPr>
            </w:pPr>
            <w:r>
              <w:rPr>
                <w:rFonts w:ascii="Arial" w:cs="Arial" w:eastAsia="Arial" w:hAnsi="Arial"/>
                <w:sz w:val="16"/>
                <w:szCs w:val="16"/>
                <w:color w:val="auto"/>
              </w:rPr>
              <w:t>Shaun Mara</w:t>
            </w:r>
          </w:p>
        </w:tc>
        <w:tc>
          <w:tcPr>
            <w:tcW w:w="0" w:type="dxa"/>
            <w:vAlign w:val="bottom"/>
          </w:tcPr>
          <w:p>
            <w:pPr>
              <w:spacing w:after="0"/>
              <w:rPr>
                <w:sz w:val="1"/>
                <w:szCs w:val="1"/>
                <w:color w:val="auto"/>
              </w:rPr>
            </w:pPr>
          </w:p>
        </w:tc>
      </w:tr>
      <w:tr>
        <w:trPr>
          <w:trHeight w:val="54"/>
        </w:trPr>
        <w:tc>
          <w:tcPr>
            <w:tcW w:w="1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Arial" w:cs="Arial" w:eastAsia="Arial" w:hAnsi="Arial"/>
                <w:sz w:val="16"/>
                <w:szCs w:val="16"/>
                <w:color w:val="auto"/>
              </w:rPr>
              <w:t>Title:</w:t>
            </w:r>
          </w:p>
        </w:tc>
        <w:tc>
          <w:tcPr>
            <w:tcW w:w="346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1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6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36" w:name="page37"/>
    <w:bookmarkEnd w:id="36"/>
    <w:p>
      <w:pPr>
        <w:ind w:left="10320"/>
        <w:spacing w:after="0"/>
        <w:rPr>
          <w:sz w:val="20"/>
          <w:szCs w:val="20"/>
          <w:color w:val="auto"/>
        </w:rPr>
      </w:pPr>
      <w:r>
        <w:rPr>
          <w:rFonts w:ascii="Arial" w:cs="Arial" w:eastAsia="Arial" w:hAnsi="Arial"/>
          <w:sz w:val="16"/>
          <w:szCs w:val="16"/>
          <w:b w:val="1"/>
          <w:bCs w:val="1"/>
          <w:color w:val="auto"/>
        </w:rPr>
        <w:t>Exhibit 32.1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firstLine="250"/>
        <w:spacing w:after="0" w:line="286" w:lineRule="auto"/>
        <w:rPr>
          <w:sz w:val="20"/>
          <w:szCs w:val="20"/>
          <w:color w:val="auto"/>
        </w:rPr>
      </w:pPr>
      <w:r>
        <w:rPr>
          <w:rFonts w:ascii="Arial" w:cs="Arial" w:eastAsia="Arial" w:hAnsi="Arial"/>
          <w:sz w:val="17"/>
          <w:szCs w:val="17"/>
          <w:color w:val="auto"/>
        </w:rPr>
        <w:t>In connection with the Quarterly Report of The Simply Good Foods Company (the “Company”) on Form 10-Q for the fiscal period ended May 27, 2023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192" w:lineRule="exact"/>
        <w:rPr>
          <w:sz w:val="20"/>
          <w:szCs w:val="20"/>
          <w:color w:val="auto"/>
        </w:rPr>
      </w:pPr>
    </w:p>
    <w:p>
      <w:pPr>
        <w:ind w:left="360" w:hanging="17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firstLine="260"/>
        <w:spacing w:after="0" w:line="277" w:lineRule="auto"/>
        <w:tabs>
          <w:tab w:leader="none" w:pos="446"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40" w:lineRule="exact"/>
        <w:rPr>
          <w:sz w:val="20"/>
          <w:szCs w:val="20"/>
          <w:color w:val="auto"/>
        </w:rPr>
      </w:pPr>
    </w:p>
    <w:p>
      <w:pPr>
        <w:ind w:firstLine="182"/>
        <w:spacing w:after="0" w:line="277" w:lineRule="auto"/>
        <w:rPr>
          <w:sz w:val="20"/>
          <w:szCs w:val="20"/>
          <w:color w:val="auto"/>
        </w:rPr>
      </w:pPr>
      <w:r>
        <w:rPr>
          <w:rFonts w:ascii="Arial" w:cs="Arial" w:eastAsia="Arial" w:hAnsi="Arial"/>
          <w:sz w:val="18"/>
          <w:szCs w:val="18"/>
          <w:color w:val="auto"/>
        </w:rPr>
        <w:t>This certificate is being furnished solely for the purposes of 18 U.S.C. Section 1350 and is not being filed as part of the Report or as a separate disclosure document.</w:t>
      </w:r>
    </w:p>
    <w:p>
      <w:pPr>
        <w:spacing w:after="0" w:line="337" w:lineRule="exact"/>
        <w:rPr>
          <w:sz w:val="20"/>
          <w:szCs w:val="20"/>
          <w:color w:val="auto"/>
        </w:rPr>
      </w:pPr>
    </w:p>
    <w:tbl>
      <w:tblPr>
        <w:tblLayout w:type="fixed"/>
        <w:tblInd w:w="240" w:type="dxa"/>
        <w:tblCellMar>
          <w:top w:w="0" w:type="dxa"/>
          <w:left w:w="0" w:type="dxa"/>
          <w:bottom w:w="0" w:type="dxa"/>
          <w:right w:w="0" w:type="dxa"/>
        </w:tblCellMar>
      </w:tblPr>
      <w:tr>
        <w:trPr>
          <w:trHeight w:val="220"/>
        </w:trPr>
        <w:tc>
          <w:tcPr>
            <w:tcW w:w="1440" w:type="dxa"/>
            <w:vAlign w:val="bottom"/>
          </w:tcPr>
          <w:p>
            <w:pPr>
              <w:spacing w:after="0"/>
              <w:rPr>
                <w:sz w:val="20"/>
                <w:szCs w:val="20"/>
                <w:color w:val="auto"/>
              </w:rPr>
            </w:pPr>
            <w:r>
              <w:rPr>
                <w:rFonts w:ascii="Arial" w:cs="Arial" w:eastAsia="Arial" w:hAnsi="Arial"/>
                <w:sz w:val="16"/>
                <w:szCs w:val="16"/>
                <w:color w:val="auto"/>
                <w:w w:val="98"/>
              </w:rPr>
              <w:t>Date: June 29, 2023</w:t>
            </w:r>
          </w:p>
        </w:tc>
        <w:tc>
          <w:tcPr>
            <w:tcW w:w="820" w:type="dxa"/>
            <w:vAlign w:val="bottom"/>
          </w:tcPr>
          <w:p>
            <w:pPr>
              <w:ind w:left="140"/>
              <w:spacing w:after="0"/>
              <w:rPr>
                <w:sz w:val="20"/>
                <w:szCs w:val="20"/>
                <w:color w:val="auto"/>
              </w:rPr>
            </w:pPr>
            <w:r>
              <w:rPr>
                <w:rFonts w:ascii="Arial" w:cs="Arial" w:eastAsia="Arial" w:hAnsi="Arial"/>
                <w:sz w:val="16"/>
                <w:szCs w:val="16"/>
                <w:color w:val="auto"/>
              </w:rPr>
              <w:t>By:</w:t>
            </w:r>
          </w:p>
        </w:tc>
        <w:tc>
          <w:tcPr>
            <w:tcW w:w="3460" w:type="dxa"/>
            <w:vAlign w:val="bottom"/>
          </w:tcPr>
          <w:p>
            <w:pPr>
              <w:ind w:left="20"/>
              <w:spacing w:after="0"/>
              <w:rPr>
                <w:sz w:val="20"/>
                <w:szCs w:val="20"/>
                <w:color w:val="auto"/>
              </w:rPr>
            </w:pPr>
            <w:r>
              <w:rPr>
                <w:rFonts w:ascii="Arial" w:cs="Arial" w:eastAsia="Arial" w:hAnsi="Arial"/>
                <w:sz w:val="16"/>
                <w:szCs w:val="16"/>
                <w:color w:val="auto"/>
              </w:rPr>
              <w:t>/s/ Joseph E. Scalzo</w:t>
            </w:r>
          </w:p>
        </w:tc>
        <w:tc>
          <w:tcPr>
            <w:tcW w:w="0" w:type="dxa"/>
            <w:vAlign w:val="bottom"/>
          </w:tcPr>
          <w:p>
            <w:pPr>
              <w:spacing w:after="0"/>
              <w:rPr>
                <w:sz w:val="1"/>
                <w:szCs w:val="1"/>
                <w:color w:val="auto"/>
              </w:rPr>
            </w:pPr>
          </w:p>
        </w:tc>
      </w:tr>
      <w:tr>
        <w:trPr>
          <w:trHeight w:val="168"/>
        </w:trPr>
        <w:tc>
          <w:tcPr>
            <w:tcW w:w="1440" w:type="dxa"/>
            <w:vAlign w:val="bottom"/>
          </w:tcPr>
          <w:p>
            <w:pPr>
              <w:spacing w:after="0"/>
              <w:rPr>
                <w:sz w:val="14"/>
                <w:szCs w:val="14"/>
                <w:color w:val="auto"/>
              </w:rPr>
            </w:pPr>
          </w:p>
        </w:tc>
        <w:tc>
          <w:tcPr>
            <w:tcW w:w="820" w:type="dxa"/>
            <w:vAlign w:val="bottom"/>
            <w:vMerge w:val="restart"/>
          </w:tcPr>
          <w:p>
            <w:pPr>
              <w:ind w:left="140"/>
              <w:spacing w:after="0"/>
              <w:rPr>
                <w:sz w:val="20"/>
                <w:szCs w:val="20"/>
                <w:color w:val="auto"/>
              </w:rPr>
            </w:pPr>
            <w:r>
              <w:rPr>
                <w:rFonts w:ascii="Arial" w:cs="Arial" w:eastAsia="Arial" w:hAnsi="Arial"/>
                <w:sz w:val="16"/>
                <w:szCs w:val="16"/>
                <w:color w:val="auto"/>
              </w:rPr>
              <w:t>Name:</w:t>
            </w:r>
          </w:p>
        </w:tc>
        <w:tc>
          <w:tcPr>
            <w:tcW w:w="3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460" w:type="dxa"/>
            <w:vAlign w:val="bottom"/>
          </w:tcPr>
          <w:p>
            <w:pPr>
              <w:ind w:left="20"/>
              <w:spacing w:after="0"/>
              <w:rPr>
                <w:sz w:val="20"/>
                <w:szCs w:val="20"/>
                <w:color w:val="auto"/>
              </w:rPr>
            </w:pPr>
            <w:r>
              <w:rPr>
                <w:rFonts w:ascii="Arial" w:cs="Arial" w:eastAsia="Arial" w:hAnsi="Arial"/>
                <w:sz w:val="16"/>
                <w:szCs w:val="16"/>
                <w:color w:val="auto"/>
              </w:rPr>
              <w:t>Joseph E. Scalzo</w:t>
            </w: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2"/>
                <w:szCs w:val="22"/>
                <w:color w:val="auto"/>
              </w:rPr>
            </w:pPr>
          </w:p>
        </w:tc>
        <w:tc>
          <w:tcPr>
            <w:tcW w:w="820" w:type="dxa"/>
            <w:vAlign w:val="bottom"/>
          </w:tcPr>
          <w:p>
            <w:pPr>
              <w:ind w:left="140"/>
              <w:spacing w:after="0"/>
              <w:rPr>
                <w:sz w:val="20"/>
                <w:szCs w:val="20"/>
                <w:color w:val="auto"/>
              </w:rPr>
            </w:pPr>
            <w:r>
              <w:rPr>
                <w:rFonts w:ascii="Arial" w:cs="Arial" w:eastAsia="Arial" w:hAnsi="Arial"/>
                <w:sz w:val="16"/>
                <w:szCs w:val="16"/>
                <w:color w:val="auto"/>
              </w:rPr>
              <w:t>Title:</w:t>
            </w:r>
          </w:p>
        </w:tc>
        <w:tc>
          <w:tcPr>
            <w:tcW w:w="3460" w:type="dxa"/>
            <w:vAlign w:val="bottom"/>
          </w:tcPr>
          <w:p>
            <w:pPr>
              <w:ind w:left="2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6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r>
        <w:trPr>
          <w:trHeight w:val="567"/>
        </w:trPr>
        <w:tc>
          <w:tcPr>
            <w:tcW w:w="1440" w:type="dxa"/>
            <w:vAlign w:val="bottom"/>
          </w:tcPr>
          <w:p>
            <w:pPr>
              <w:spacing w:after="0"/>
              <w:rPr>
                <w:sz w:val="20"/>
                <w:szCs w:val="20"/>
                <w:color w:val="auto"/>
              </w:rPr>
            </w:pPr>
            <w:r>
              <w:rPr>
                <w:rFonts w:ascii="Arial" w:cs="Arial" w:eastAsia="Arial" w:hAnsi="Arial"/>
                <w:sz w:val="16"/>
                <w:szCs w:val="16"/>
                <w:color w:val="auto"/>
                <w:w w:val="98"/>
              </w:rPr>
              <w:t>Date: June 29, 2023</w:t>
            </w:r>
          </w:p>
        </w:tc>
        <w:tc>
          <w:tcPr>
            <w:tcW w:w="820" w:type="dxa"/>
            <w:vAlign w:val="bottom"/>
          </w:tcPr>
          <w:p>
            <w:pPr>
              <w:ind w:left="140"/>
              <w:spacing w:after="0"/>
              <w:rPr>
                <w:sz w:val="20"/>
                <w:szCs w:val="20"/>
                <w:color w:val="auto"/>
              </w:rPr>
            </w:pPr>
            <w:r>
              <w:rPr>
                <w:rFonts w:ascii="Arial" w:cs="Arial" w:eastAsia="Arial" w:hAnsi="Arial"/>
                <w:sz w:val="16"/>
                <w:szCs w:val="16"/>
                <w:color w:val="auto"/>
              </w:rPr>
              <w:t>By:</w:t>
            </w:r>
          </w:p>
        </w:tc>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Shaun Mara</w:t>
            </w: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Arial" w:cs="Arial" w:eastAsia="Arial" w:hAnsi="Arial"/>
                <w:sz w:val="16"/>
                <w:szCs w:val="16"/>
                <w:color w:val="auto"/>
              </w:rPr>
              <w:t>Name:</w:t>
            </w:r>
          </w:p>
        </w:tc>
        <w:tc>
          <w:tcPr>
            <w:tcW w:w="3460" w:type="dxa"/>
            <w:vAlign w:val="bottom"/>
            <w:vMerge w:val="restart"/>
          </w:tcPr>
          <w:p>
            <w:pPr>
              <w:ind w:left="20"/>
              <w:spacing w:after="0"/>
              <w:rPr>
                <w:sz w:val="20"/>
                <w:szCs w:val="20"/>
                <w:color w:val="auto"/>
              </w:rPr>
            </w:pPr>
            <w:r>
              <w:rPr>
                <w:rFonts w:ascii="Arial" w:cs="Arial" w:eastAsia="Arial" w:hAnsi="Arial"/>
                <w:sz w:val="16"/>
                <w:szCs w:val="16"/>
                <w:color w:val="auto"/>
              </w:rPr>
              <w:t>Shaun Mara</w:t>
            </w:r>
          </w:p>
        </w:tc>
        <w:tc>
          <w:tcPr>
            <w:tcW w:w="0" w:type="dxa"/>
            <w:vAlign w:val="bottom"/>
          </w:tcPr>
          <w:p>
            <w:pPr>
              <w:spacing w:after="0"/>
              <w:rPr>
                <w:sz w:val="1"/>
                <w:szCs w:val="1"/>
                <w:color w:val="auto"/>
              </w:rPr>
            </w:pPr>
          </w:p>
        </w:tc>
      </w:tr>
      <w:tr>
        <w:trPr>
          <w:trHeight w:val="54"/>
        </w:trPr>
        <w:tc>
          <w:tcPr>
            <w:tcW w:w="1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Arial" w:cs="Arial" w:eastAsia="Arial" w:hAnsi="Arial"/>
                <w:sz w:val="16"/>
                <w:szCs w:val="16"/>
                <w:color w:val="auto"/>
              </w:rPr>
              <w:t>Title:</w:t>
            </w:r>
          </w:p>
        </w:tc>
        <w:tc>
          <w:tcPr>
            <w:tcW w:w="346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1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6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lowerRoman"/>
      <w:start w:val="1"/>
    </w:lvl>
  </w:abstractNum>
  <w:abstractNum w:abstractNumId="4">
    <w:nsid w:val="3352255A"/>
    <w:multiLevelType w:val="hybridMultilevel"/>
    <w:lvl w:ilvl="0">
      <w:lvlJc w:val="left"/>
      <w:lvlText w:val="%1."/>
      <w:numFmt w:val="decimal"/>
      <w:start w:val="7"/>
    </w:lvl>
  </w:abstractNum>
  <w:abstractNum w:abstractNumId="5">
    <w:nsid w:val="109CF92E"/>
    <w:multiLevelType w:val="hybridMultilevel"/>
    <w:lvl w:ilvl="0">
      <w:lvlJc w:val="left"/>
      <w:lvlText w:val="%1."/>
      <w:numFmt w:val="decimal"/>
      <w:start w:val="8"/>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Roman"/>
      <w:start w:val="1"/>
    </w:lvl>
  </w:abstractNum>
  <w:abstractNum w:abstractNumId="14">
    <w:nsid w:val="431BD7B7"/>
    <w:multiLevelType w:val="hybridMultilevel"/>
    <w:lvl w:ilvl="0">
      <w:lvlJc w:val="left"/>
      <w:lvlText w:val="%1."/>
      <w:numFmt w:val="lowerRoman"/>
      <w:start w:val="2"/>
    </w:lvl>
  </w:abstractNum>
  <w:abstractNum w:abstractNumId="15">
    <w:nsid w:val="3F2DBA31"/>
    <w:multiLevelType w:val="hybridMultilevel"/>
    <w:lvl w:ilvl="0">
      <w:lvlJc w:val="left"/>
      <w:lvlText w:val="%1"/>
      <w:numFmt w:val="decimal"/>
      <w:start w:val="104"/>
    </w:lvl>
  </w:abstractNum>
  <w:abstractNum w:abstractNumId="16">
    <w:nsid w:val="7C83E458"/>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7">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8">
    <w:nsid w:val="62BBD95A"/>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9">
    <w:nsid w:val="436C6125"/>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20">
    <w:nsid w:val="628C895D"/>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47" Type="http://schemas.openxmlformats.org/officeDocument/2006/relationships/hyperlink" Target="https://www.sec.gov/Archives/edgar/data/1702744/000110465923051350/0001104659-23-051350-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2023-06-29T14:41:16Z</dcterms:created>
  <dcterms:modified xsi:type="dcterms:W3CDTF">2023-06-29T14:41:16Z</dcterms:modified>
</cp:coreProperties>
</file>