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1 - Exit Filing)*</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Conyers Park Acquisition Corp.</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212894208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320" w:hanging="217"/>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5100" w:right="5100" w:firstLine="8"/>
        <w:spacing w:after="0" w:line="225" w:lineRule="exact"/>
        <w:tabs>
          <w:tab w:leader="none" w:pos="531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rFonts w:ascii="MS PGothic" w:cs="MS PGothic" w:eastAsia="MS PGothic" w:hAnsi="MS PGothic"/>
          <w:sz w:val="16"/>
          <w:szCs w:val="16"/>
          <w:color w:val="auto"/>
        </w:rPr>
      </w:pPr>
    </w:p>
    <w:p>
      <w:pPr>
        <w:ind w:left="340" w:hanging="324"/>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212894208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20" w:right="7339" w:hanging="589"/>
        <w:spacing w:after="0" w:line="440"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Conyers Park Sponsor LLC</w:t>
      </w:r>
    </w:p>
    <w:p>
      <w:pPr>
        <w:ind w:left="820" w:hanging="589"/>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15" w:lineRule="exact"/>
        <w:rPr>
          <w:rFonts w:ascii="Arial" w:cs="Arial" w:eastAsia="Arial" w:hAnsi="Arial"/>
          <w:sz w:val="16"/>
          <w:szCs w:val="16"/>
          <w:color w:val="auto"/>
        </w:rPr>
      </w:pPr>
    </w:p>
    <w:p>
      <w:pPr>
        <w:ind w:left="1060" w:hanging="242"/>
        <w:spacing w:after="0" w:line="207" w:lineRule="exact"/>
        <w:tabs>
          <w:tab w:leader="none" w:pos="10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080" w:hanging="262"/>
        <w:spacing w:after="0" w:line="207" w:lineRule="exact"/>
        <w:tabs>
          <w:tab w:leader="none" w:pos="10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820" w:hanging="58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820" w:right="6779" w:hanging="589"/>
        <w:spacing w:after="0" w:line="391"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2300" w:right="6579" w:hanging="361"/>
        <w:spacing w:after="0" w:line="391" w:lineRule="auto"/>
        <w:tabs>
          <w:tab w:leader="none" w:pos="230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ind w:left="2300" w:hanging="361"/>
        <w:spacing w:after="0"/>
        <w:tabs>
          <w:tab w:leader="none" w:pos="230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-1287780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-139065</wp:posOffset>
            </wp:positionV>
            <wp:extent cx="61575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 Shares</w:t>
      </w:r>
    </w:p>
    <w:p>
      <w:pPr>
        <w:spacing w:after="0" w:line="11" w:lineRule="exact"/>
        <w:rPr>
          <w:sz w:val="20"/>
          <w:szCs w:val="20"/>
          <w:color w:val="auto"/>
        </w:rPr>
      </w:pPr>
    </w:p>
    <w:p>
      <w:pPr>
        <w:ind w:left="120"/>
        <w:spacing w:after="0"/>
        <w:tabs>
          <w:tab w:leader="none" w:pos="2280" w:val="left"/>
        </w:tabs>
        <w:rPr>
          <w:sz w:val="20"/>
          <w:szCs w:val="20"/>
          <w:color w:val="auto"/>
        </w:rPr>
      </w:pPr>
      <w:r>
        <w:rPr>
          <w:rFonts w:ascii="Arial" w:cs="Arial" w:eastAsia="Arial" w:hAnsi="Arial"/>
          <w:sz w:val="18"/>
          <w:szCs w:val="18"/>
          <w:b w:val="1"/>
          <w:bCs w:val="1"/>
          <w:color w:val="auto"/>
        </w:rPr>
        <w:t>Beneficially Owned</w:t>
      </w:r>
      <w:r>
        <w:rPr>
          <w:sz w:val="20"/>
          <w:szCs w:val="20"/>
          <w:color w:val="auto"/>
        </w:rPr>
        <w:tab/>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4445</wp:posOffset>
            </wp:positionV>
            <wp:extent cx="61575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1" w:lineRule="exact"/>
        <w:rPr>
          <w:sz w:val="20"/>
          <w:szCs w:val="20"/>
          <w:color w:val="auto"/>
        </w:rPr>
      </w:pPr>
    </w:p>
    <w:p>
      <w:pPr>
        <w:ind w:left="140"/>
        <w:spacing w:after="0"/>
        <w:tabs>
          <w:tab w:leader="none" w:pos="1920" w:val="left"/>
          <w:tab w:leader="none" w:pos="2280" w:val="left"/>
        </w:tabs>
        <w:rPr>
          <w:sz w:val="20"/>
          <w:szCs w:val="20"/>
          <w:color w:val="auto"/>
        </w:rPr>
      </w:pPr>
      <w:r>
        <w:rPr>
          <w:rFonts w:ascii="Arial" w:cs="Arial" w:eastAsia="Arial" w:hAnsi="Arial"/>
          <w:sz w:val="18"/>
          <w:szCs w:val="18"/>
          <w:b w:val="1"/>
          <w:bCs w:val="1"/>
          <w:color w:val="auto"/>
        </w:rPr>
        <w:t>By Each Reporting</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Person With:</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15" w:lineRule="exact"/>
        <w:rPr>
          <w:sz w:val="20"/>
          <w:szCs w:val="20"/>
          <w:color w:val="auto"/>
        </w:rPr>
      </w:pPr>
    </w:p>
    <w:p>
      <w:pPr>
        <w:ind w:left="2300" w:right="6059" w:hanging="361"/>
        <w:spacing w:after="0" w:line="391" w:lineRule="auto"/>
        <w:tabs>
          <w:tab w:leader="none" w:pos="2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820" w:right="4599" w:hanging="589"/>
        <w:spacing w:after="0" w:line="39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20" w:right="4459" w:hanging="634"/>
        <w:spacing w:after="0" w:line="39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ind w:left="820" w:right="5619" w:hanging="631"/>
        <w:spacing w:after="0" w:line="39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820" w:hanging="63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2" w:name="page3"/>
    <w:bookmarkEnd w:id="2"/>
    <w:p>
      <w:pPr>
        <w:ind w:right="420"/>
        <w:spacing w:after="0" w:line="342" w:lineRule="auto"/>
        <w:rPr>
          <w:sz w:val="20"/>
          <w:szCs w:val="20"/>
          <w:color w:val="auto"/>
        </w:rPr>
      </w:pPr>
      <w:r>
        <w:rPr>
          <w:rFonts w:ascii="Arial" w:cs="Arial" w:eastAsia="Arial" w:hAnsi="Arial"/>
          <w:sz w:val="16"/>
          <w:szCs w:val="16"/>
          <w:color w:val="auto"/>
        </w:rPr>
        <w:t>Reference is hereby made to the statement on Schedule 13G originally filed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January 24, 2017 (the “</w:t>
      </w:r>
      <w:r>
        <w:rPr>
          <w:rFonts w:ascii="Arial" w:cs="Arial" w:eastAsia="Arial" w:hAnsi="Arial"/>
          <w:sz w:val="16"/>
          <w:szCs w:val="16"/>
          <w:u w:val="single" w:color="auto"/>
          <w:color w:val="auto"/>
        </w:rPr>
        <w:t>Schedule 13G</w:t>
      </w:r>
      <w:r>
        <w:rPr>
          <w:rFonts w:ascii="Arial" w:cs="Arial" w:eastAsia="Arial" w:hAnsi="Arial"/>
          <w:sz w:val="16"/>
          <w:szCs w:val="16"/>
          <w:color w:val="auto"/>
        </w:rPr>
        <w:t>”). Terms defined in the Schedule 13G and used herein are as so defined in the Schedule 13G.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of the Schedule 13G are hereby amended and restated to read in their entirety as follows:</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responses to Items 5-11 of the cover pages of this Schedule 13G/A are incorporated herein by reference.</w:t>
      </w:r>
    </w:p>
    <w:p>
      <w:pPr>
        <w:spacing w:after="0" w:line="225"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As of July 6, 2017, the Reporting Person may be deemed to beneficially own 0 shares of the Issuer’s Class B Common Stock, representing 0% of the total Class A and Class B Common Stock issued and outstanding.</w:t>
      </w:r>
    </w:p>
    <w:p>
      <w:pPr>
        <w:spacing w:after="0" w:line="170" w:lineRule="exact"/>
        <w:rPr>
          <w:sz w:val="20"/>
          <w:szCs w:val="20"/>
          <w:color w:val="auto"/>
        </w:rPr>
      </w:pPr>
    </w:p>
    <w:p>
      <w:pPr>
        <w:jc w:val="both"/>
        <w:ind w:left="920" w:right="60"/>
        <w:spacing w:after="0" w:line="264" w:lineRule="auto"/>
        <w:rPr>
          <w:sz w:val="20"/>
          <w:szCs w:val="20"/>
          <w:color w:val="auto"/>
        </w:rPr>
      </w:pPr>
      <w:r>
        <w:rPr>
          <w:rFonts w:ascii="Arial" w:cs="Arial" w:eastAsia="Arial" w:hAnsi="Arial"/>
          <w:sz w:val="18"/>
          <w:szCs w:val="18"/>
          <w:color w:val="auto"/>
        </w:rPr>
        <w:t>The Reporting Person is controlled by a board of managers, consisting of five individuals, and a majority of the board of managers is required to make voting and dispositive decisions regarding the Issuer’s securities. As such, none of the members of the board of managers of the Reporting Person is deemed to be a beneficial owner of the Issuer’s Class B Common Stock.</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9" w:lineRule="exact"/>
        <w:rPr>
          <w:sz w:val="20"/>
          <w:szCs w:val="20"/>
          <w:color w:val="auto"/>
        </w:rPr>
      </w:pPr>
    </w:p>
    <w:p>
      <w:pPr>
        <w:ind w:left="92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11,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CONYERS PARK SPONSOR LLC</w:t>
      </w:r>
      <w:r>
        <w:rPr>
          <w:rFonts w:ascii="Arial" w:cs="Arial" w:eastAsia="Arial" w:hAnsi="Arial"/>
          <w:sz w:val="18"/>
          <w:szCs w:val="18"/>
          <w:color w:val="auto"/>
        </w:rPr>
        <w: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K. Ratzan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K. Ratzan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060"/>
      </w:cols>
      <w:pgMar w:left="240" w:top="90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625558EC"/>
    <w:multiLevelType w:val="hybridMultilevel"/>
    <w:lvl w:ilvl="0">
      <w:lvlJc w:val="left"/>
      <w:lvlText w:val="%1"/>
      <w:numFmt w:val="decimal"/>
      <w:start w:val="1"/>
    </w:lvl>
    <w:lvl w:ilvl="1">
      <w:lvlJc w:val="left"/>
      <w:lvlText w:val="%2."/>
      <w:numFmt w:val="decimal"/>
      <w:start w:val="8"/>
    </w:lvl>
  </w:abstractNum>
  <w:abstractNum w:abstractNumId="3">
    <w:nsid w:val="238E1F29"/>
    <w:multiLevelType w:val="hybridMultilevel"/>
    <w:lvl w:ilvl="0">
      <w:lvlJc w:val="left"/>
      <w:lvlText w:val="%1."/>
      <w:numFmt w:val="decimal"/>
      <w:start w:val="9"/>
    </w:lvl>
    <w:lvl w:ilvl="1">
      <w:lvlJc w:val="left"/>
      <w:lvlText w:val="%2"/>
      <w:numFmt w:val="decimal"/>
      <w:start w:val="1"/>
    </w:lvl>
  </w:abstractNum>
  <w:abstractNum w:abstractNumId="4">
    <w:nsid w:val="46E87CC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2019-12-08T06:23:35Z</dcterms:created>
  <dcterms:modified xsi:type="dcterms:W3CDTF">2019-12-08T06:23:35Z</dcterms:modified>
</cp:coreProperties>
</file>