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45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4507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Ratzan Brian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GREENWICH OFFICE PARK, 2ND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Conyers Park Acquisition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CPAA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07/07/2017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244" w:lineRule="exact"/>
        <w:rPr>
          <w:sz w:val="24"/>
          <w:szCs w:val="24"/>
          <w:color w:val="auto"/>
        </w:rPr>
      </w:pPr>
    </w:p>
    <w:p>
      <w:pPr>
        <w:sectPr>
          <w:pgSz w:w="11900" w:h="16838" w:orient="portrait"/>
          <w:cols w:equalWidth="0" w:num="3">
            <w:col w:w="3500" w:space="580"/>
            <w:col w:w="3520" w:space="457"/>
            <w:col w:w="3363"/>
          </w:cols>
          <w:pgMar w:left="240" w:top="226" w:right="239" w:bottom="144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7"/>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260" w:type="dxa"/>
            <w:vAlign w:val="bottom"/>
          </w:tcPr>
          <w:p>
            <w:pPr>
              <w:spacing w:after="0"/>
              <w:rPr>
                <w:sz w:val="2"/>
                <w:szCs w:val="2"/>
                <w:color w:val="auto"/>
              </w:rPr>
            </w:pPr>
          </w:p>
        </w:tc>
        <w:tc>
          <w:tcPr>
            <w:tcW w:w="3600" w:type="dxa"/>
            <w:vAlign w:val="bottom"/>
            <w:gridSpan w:val="8"/>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260" w:type="dxa"/>
            <w:vAlign w:val="bottom"/>
          </w:tcPr>
          <w:p>
            <w:pPr>
              <w:spacing w:after="0"/>
              <w:rPr>
                <w:sz w:val="11"/>
                <w:szCs w:val="11"/>
                <w:color w:val="auto"/>
              </w:rPr>
            </w:pPr>
          </w:p>
        </w:tc>
        <w:tc>
          <w:tcPr>
            <w:tcW w:w="36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4"/>
          </w:tcPr>
          <w:p>
            <w:pPr>
              <w:ind w:left="240"/>
              <w:spacing w:after="0" w:line="155" w:lineRule="exact"/>
              <w:rPr>
                <w:sz w:val="20"/>
                <w:szCs w:val="20"/>
                <w:color w:val="auto"/>
              </w:rPr>
            </w:pPr>
            <w:r>
              <w:rPr>
                <w:rFonts w:ascii="Arial" w:cs="Arial" w:eastAsia="Arial" w:hAnsi="Arial"/>
                <w:sz w:val="14"/>
                <w:szCs w:val="14"/>
                <w:color w:val="auto"/>
              </w:rPr>
              <w:t>Line)</w:t>
            </w: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9"/>
              </w:rPr>
              <w:t>GREENWICH   CT</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06831</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vMerge w:val="restart"/>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52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2"/>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4"/>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1"/>
          </w:tcPr>
          <w:p>
            <w:pPr>
              <w:jc w:val="center"/>
              <w:ind w:left="51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spacing w:after="0" w:line="318" w:lineRule="auto"/>
        <w:rPr>
          <w:sz w:val="20"/>
          <w:szCs w:val="20"/>
          <w:color w:val="auto"/>
        </w:rPr>
      </w:pPr>
      <w:r>
        <w:rPr>
          <w:rFonts w:ascii="Arial" w:cs="Arial" w:eastAsia="Arial" w:hAnsi="Arial"/>
          <w:sz w:val="12"/>
          <w:szCs w:val="12"/>
          <w:color w:val="008000"/>
        </w:rPr>
        <w:t>In connection with the merger of Conyers Park Acquisition Corp. (the "Issuer") with and into a subsidiary of The Simply Good Foods Company ("SGFC"), and a series of related transactions (collectively, the "Business Combination"), the Reporting Person will no longer be subject to the reporting requirements of Section 16 with respect to the Issuer's securities. Exhibit 24: Power of Attorney</w:t>
      </w:r>
    </w:p>
    <w:p>
      <w:pPr>
        <w:sectPr>
          <w:pgSz w:w="11900" w:h="16838" w:orient="portrait"/>
          <w:cols w:equalWidth="0" w:num="1">
            <w:col w:w="11420"/>
          </w:cols>
          <w:pgMar w:left="240" w:top="226" w:right="239" w:bottom="1440" w:gutter="0" w:footer="0" w:header="0"/>
          <w:type w:val="continuous"/>
        </w:sectPr>
      </w:pPr>
    </w:p>
    <w:p>
      <w:pPr>
        <w:spacing w:after="0" w:line="15"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David J. West,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2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in-Fact for Brian K. Ratzan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30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0000FF"/>
        </w:rPr>
        <w:t>07/11/2017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KNOW ALL BY THESE PRESENTS, that the undersigned hereby makes, constitutes and appoints David J. West the undersigned's true and lawful attorney-in-fact, with full power and authority as hereinafter described on behalf of and in the name, place and stead of the undersigned to:</w:t>
      </w:r>
    </w:p>
    <w:p>
      <w:pPr>
        <w:spacing w:after="0" w:line="174" w:lineRule="exact"/>
        <w:rPr>
          <w:sz w:val="20"/>
          <w:szCs w:val="20"/>
          <w:color w:val="auto"/>
        </w:rPr>
      </w:pPr>
    </w:p>
    <w:p>
      <w:pPr>
        <w:jc w:val="both"/>
        <w:ind w:left="1300" w:hanging="644"/>
        <w:spacing w:after="0" w:line="255"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officer or beneficial owner of shares of common stock of Conyers Park Acquisition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any Forms 3, 4, and 5 and any amendments, supplements or exhibits thereto required to be filed by the undersigned under Section 16(a) of the Exchange Act;</w:t>
      </w:r>
    </w:p>
    <w:p>
      <w:pPr>
        <w:spacing w:after="0" w:line="193"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Schedule 13D, Schedule 13G, Form 3, 4, or 5 and timely file such forms with the United States Securities and Exchange Commission and any stock exchange on which the Common Stock of the Company is then listed; and</w:t>
      </w:r>
    </w:p>
    <w:p>
      <w:pPr>
        <w:spacing w:after="0" w:line="181"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13 and Section 16 of the Exchange Act.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reports or schedules under Section 13 or Section 16 of the Exchange Act with respect to the undersigned's holdings of and transactions in securities issued by the Company, unless earlier revoked by the undersigned in a signed writing delivered to the foregoing attorney-in-fact.</w:t>
      </w:r>
    </w:p>
    <w:p>
      <w:pPr>
        <w:spacing w:after="0" w:line="18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t>IN WITNESS WHEREOF, the undersigned has caused this Power of Attorney to be executed as of this 7th day of July 2017.</w:t>
      </w:r>
    </w:p>
    <w:p>
      <w:pPr>
        <w:spacing w:after="0" w:line="237"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K. Ratzan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14605</wp:posOffset>
            </wp:positionV>
            <wp:extent cx="25298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Brian K. Ratzan</w:t>
      </w:r>
    </w:p>
    <w:p>
      <w:pPr>
        <w:spacing w:after="0" w:line="23" w:lineRule="exact"/>
        <w:rPr>
          <w:sz w:val="20"/>
          <w:szCs w:val="20"/>
          <w:color w:val="auto"/>
        </w:rPr>
      </w:pPr>
    </w:p>
    <w:p>
      <w:pPr>
        <w:jc w:val="both"/>
        <w:ind w:left="6200"/>
        <w:spacing w:after="0"/>
        <w:tabs>
          <w:tab w:leader="none" w:pos="6760" w:val="left"/>
        </w:tabs>
        <w:rPr>
          <w:sz w:val="20"/>
          <w:szCs w:val="20"/>
          <w:color w:val="auto"/>
        </w:rPr>
      </w:pPr>
      <w:r>
        <w:rPr>
          <w:rFonts w:ascii="Arial" w:cs="Arial" w:eastAsia="Arial" w:hAnsi="Arial"/>
          <w:sz w:val="18"/>
          <w:szCs w:val="18"/>
          <w:color w:val="auto"/>
        </w:rPr>
        <w:t>Title:</w:t>
        <w:tab/>
        <w:t>Chief Financial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9559"/>
      </w:cols>
      <w:pgMar w:left="90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679746" TargetMode="External"/><Relationship Id="rId13" Type="http://schemas.openxmlformats.org/officeDocument/2006/relationships/hyperlink" Target="http://www.sec.gov/cgi-bin/browse-edgar?action=getcompany&amp;CIK=0001672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2019-12-04T02:41:10Z</dcterms:created>
  <dcterms:modified xsi:type="dcterms:W3CDTF">2019-12-04T02:41:10Z</dcterms:modified>
</cp:coreProperties>
</file>