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8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26"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7" w:lineRule="exact"/>
        <w:rPr>
          <w:sz w:val="24"/>
          <w:szCs w:val="24"/>
          <w:color w:val="auto"/>
        </w:rPr>
      </w:pPr>
    </w:p>
    <w:p>
      <w:pPr>
        <w:ind w:left="2220" w:right="860" w:hanging="774"/>
        <w:spacing w:after="0" w:line="235" w:lineRule="auto"/>
        <w:tabs>
          <w:tab w:leader="none" w:pos="22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quarterly period ended May 31, 2025</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3" w:lineRule="exact"/>
        <w:rPr>
          <w:sz w:val="24"/>
          <w:szCs w:val="24"/>
          <w:color w:val="auto"/>
        </w:rPr>
      </w:pPr>
    </w:p>
    <w:p>
      <w:pPr>
        <w:ind w:left="2220" w:right="860" w:hanging="741"/>
        <w:spacing w:after="0" w:line="245" w:lineRule="auto"/>
        <w:tabs>
          <w:tab w:leader="none" w:pos="22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5"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 to ________</w:t>
      </w:r>
    </w:p>
    <w:p>
      <w:pPr>
        <w:spacing w:after="0" w:line="200" w:lineRule="exact"/>
        <w:rPr>
          <w:sz w:val="24"/>
          <w:szCs w:val="24"/>
          <w:color w:val="auto"/>
        </w:rPr>
      </w:pPr>
    </w:p>
    <w:p>
      <w:pPr>
        <w:spacing w:after="0" w:line="2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001-38115</w:t>
      </w:r>
    </w:p>
    <w:p>
      <w:pPr>
        <w:spacing w:after="0" w:line="30"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The Simply Good Foods Company</w:t>
      </w:r>
    </w:p>
    <w:p>
      <w:pPr>
        <w:spacing w:after="0" w:line="1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85725</wp:posOffset>
            </wp:positionV>
            <wp:extent cx="1645920" cy="1268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45920" cy="12687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w:t>
      </w:r>
    </w:p>
    <w:p>
      <w:pPr>
        <w:spacing w:after="0" w:line="148" w:lineRule="exact"/>
        <w:rPr>
          <w:sz w:val="24"/>
          <w:szCs w:val="24"/>
          <w:color w:val="auto"/>
        </w:rPr>
      </w:pPr>
    </w:p>
    <w:p>
      <w:pPr>
        <w:ind w:left="1720"/>
        <w:spacing w:after="0"/>
        <w:tabs>
          <w:tab w:leader="none" w:pos="856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82-1038121</w:t>
      </w:r>
    </w:p>
    <w:p>
      <w:pPr>
        <w:spacing w:after="0" w:line="63" w:lineRule="exact"/>
        <w:rPr>
          <w:sz w:val="24"/>
          <w:szCs w:val="24"/>
          <w:color w:val="auto"/>
        </w:rPr>
      </w:pPr>
    </w:p>
    <w:tbl>
      <w:tblPr>
        <w:tblLayout w:type="fixed"/>
        <w:tblInd w:w="1100" w:type="dxa"/>
        <w:tblCellMar>
          <w:top w:w="0" w:type="dxa"/>
          <w:left w:w="0" w:type="dxa"/>
          <w:bottom w:w="0" w:type="dxa"/>
          <w:right w:w="0" w:type="dxa"/>
        </w:tblCellMar>
      </w:tblPr>
      <w:tr>
        <w:trPr>
          <w:trHeight w:val="184"/>
        </w:trPr>
        <w:tc>
          <w:tcPr>
            <w:tcW w:w="4340" w:type="dxa"/>
            <w:vAlign w:val="bottom"/>
          </w:tcPr>
          <w:p>
            <w:pPr>
              <w:jc w:val="center"/>
              <w:ind w:right="229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4760" w:type="dxa"/>
            <w:vAlign w:val="bottom"/>
            <w:vMerge w:val="restart"/>
          </w:tcPr>
          <w:p>
            <w:pPr>
              <w:ind w:left="2400"/>
              <w:spacing w:after="0"/>
              <w:rPr>
                <w:sz w:val="20"/>
                <w:szCs w:val="20"/>
                <w:color w:val="auto"/>
              </w:rPr>
            </w:pPr>
            <w:r>
              <w:rPr>
                <w:rFonts w:ascii="Times New Roman" w:cs="Times New Roman" w:eastAsia="Times New Roman" w:hAnsi="Times New Roman"/>
                <w:sz w:val="16"/>
                <w:szCs w:val="16"/>
                <w:color w:val="auto"/>
              </w:rPr>
              <w:t>(I.R.S. Employer Identification No.)</w:t>
            </w:r>
          </w:p>
        </w:tc>
        <w:tc>
          <w:tcPr>
            <w:tcW w:w="0" w:type="dxa"/>
            <w:vAlign w:val="bottom"/>
          </w:tcPr>
          <w:p>
            <w:pPr>
              <w:spacing w:after="0"/>
              <w:rPr>
                <w:sz w:val="1"/>
                <w:szCs w:val="1"/>
                <w:color w:val="auto"/>
              </w:rPr>
            </w:pPr>
          </w:p>
        </w:tc>
      </w:tr>
      <w:tr>
        <w:trPr>
          <w:trHeight w:val="102"/>
        </w:trPr>
        <w:tc>
          <w:tcPr>
            <w:tcW w:w="4340" w:type="dxa"/>
            <w:vAlign w:val="bottom"/>
            <w:vMerge w:val="restart"/>
          </w:tcPr>
          <w:p>
            <w:pPr>
              <w:jc w:val="center"/>
              <w:ind w:right="231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4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340" w:type="dxa"/>
            <w:vAlign w:val="bottom"/>
            <w:vMerge w:val="continue"/>
          </w:tcPr>
          <w:p>
            <w:pPr>
              <w:spacing w:after="0"/>
              <w:rPr>
                <w:sz w:val="9"/>
                <w:szCs w:val="9"/>
                <w:color w:val="auto"/>
              </w:rPr>
            </w:pPr>
          </w:p>
        </w:tc>
        <w:tc>
          <w:tcPr>
            <w:tcW w:w="47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8"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1225 17th Street, Suite 1000</w:t>
      </w:r>
    </w:p>
    <w:p>
      <w:pPr>
        <w:spacing w:after="0" w:line="31"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Denver, CO 80202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(Address of principal executive offices and zip code)</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(303) 633-2840</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3"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4" w:lineRule="exact"/>
        <w:rPr>
          <w:sz w:val="24"/>
          <w:szCs w:val="24"/>
          <w:color w:val="auto"/>
        </w:rPr>
      </w:pPr>
    </w:p>
    <w:tbl>
      <w:tblPr>
        <w:tblLayout w:type="fixed"/>
        <w:tblInd w:w="1000" w:type="dxa"/>
        <w:tblCellMar>
          <w:top w:w="0" w:type="dxa"/>
          <w:left w:w="0" w:type="dxa"/>
          <w:bottom w:w="0" w:type="dxa"/>
          <w:right w:w="0" w:type="dxa"/>
        </w:tblCellMar>
      </w:tblPr>
      <w:tr>
        <w:trPr>
          <w:trHeight w:val="210"/>
        </w:trPr>
        <w:tc>
          <w:tcPr>
            <w:tcW w:w="3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Title of each class</w:t>
            </w:r>
          </w:p>
        </w:tc>
        <w:tc>
          <w:tcPr>
            <w:tcW w:w="27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Trading symbol</w:t>
            </w:r>
          </w:p>
        </w:tc>
        <w:tc>
          <w:tcPr>
            <w:tcW w:w="3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47"/>
        </w:trPr>
        <w:tc>
          <w:tcPr>
            <w:tcW w:w="3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r>
      <w:tr>
        <w:trPr>
          <w:trHeight w:val="204"/>
        </w:trPr>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20" w:type="dxa"/>
            <w:vAlign w:val="bottom"/>
          </w:tcPr>
          <w:p>
            <w:pPr>
              <w:spacing w:after="0"/>
              <w:rPr>
                <w:sz w:val="17"/>
                <w:szCs w:val="17"/>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SMPL</w:t>
            </w:r>
          </w:p>
        </w:tc>
        <w:tc>
          <w:tcPr>
            <w:tcW w:w="140" w:type="dxa"/>
            <w:vAlign w:val="bottom"/>
          </w:tcPr>
          <w:p>
            <w:pPr>
              <w:spacing w:after="0"/>
              <w:rPr>
                <w:sz w:val="17"/>
                <w:szCs w:val="17"/>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Nasdaq</w:t>
            </w:r>
          </w:p>
        </w:tc>
      </w:tr>
    </w:tbl>
    <w:p>
      <w:pPr>
        <w:spacing w:after="0" w:line="37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240"/>
          </w:cols>
          <w:pgMar w:left="320" w:top="695" w:right="339" w:bottom="182"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95" w:right="339" w:bottom="182" w:gutter="0" w:footer="0" w:header="0"/>
          <w:type w:val="continuous"/>
        </w:sectPr>
      </w:pPr>
    </w:p>
    <w:bookmarkStart w:id="1" w:name="page2"/>
    <w:bookmarkEnd w:id="1"/>
    <w:p>
      <w:pPr>
        <w:spacing w:after="0" w:line="5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73"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2"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ind w:left="680"/>
        <w:spacing w:after="0" w:line="164"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6"/>
          <w:szCs w:val="16"/>
          <w:color w:val="auto"/>
        </w:rPr>
        <w:t>☐</w:t>
      </w:r>
    </w:p>
    <w:p>
      <w:pPr>
        <w:spacing w:after="0" w:line="119"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6"/>
          <w:szCs w:val="16"/>
          <w:color w:val="auto"/>
        </w:rPr>
        <w:t>☐</w:t>
      </w:r>
    </w:p>
    <w:p>
      <w:pPr>
        <w:spacing w:after="0" w:line="73"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3">
            <w:col w:w="4080" w:space="540"/>
            <w:col w:w="1060" w:space="720"/>
            <w:col w:w="4840"/>
          </w:cols>
          <w:pgMar w:left="320" w:top="1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15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July 1, 2025, there were 100,541,496 shares of common stock, par value $0.01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2" w:name="page3"/>
    <w:bookmarkEnd w:id="2"/>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THE QUARTER ENDED MAY 31, 2025</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4"/>
          </w:tcPr>
          <w:p>
            <w:pPr>
              <w:ind w:left="500"/>
              <w:spacing w:after="0"/>
              <w:rPr>
                <w:sz w:val="20"/>
                <w:szCs w:val="20"/>
                <w:color w:val="auto"/>
              </w:rPr>
            </w:pPr>
            <w:r>
              <w:rPr>
                <w:rFonts w:ascii="Times New Roman" w:cs="Times New Roman" w:eastAsia="Times New Roman" w:hAnsi="Times New Roman"/>
                <w:sz w:val="16"/>
                <w:szCs w:val="16"/>
                <w:b w:val="1"/>
                <w:bCs w:val="1"/>
                <w:color w:val="auto"/>
                <w:w w:val="91"/>
              </w:rPr>
              <w:t>Page</w:t>
            </w:r>
          </w:p>
        </w:tc>
      </w:tr>
      <w:tr>
        <w:trPr>
          <w:trHeight w:val="412"/>
        </w:trPr>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b w:val="1"/>
                <w:bCs w:val="1"/>
                <w:color w:val="0000FF"/>
                <w:w w:val="99"/>
              </w:rPr>
              <w:t>PART I. Financial Information</w:t>
            </w:r>
          </w:p>
        </w:tc>
        <w:tc>
          <w:tcPr>
            <w:tcW w:w="2520" w:type="dxa"/>
            <w:vAlign w:val="bottom"/>
            <w:gridSpan w:val="4"/>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196"/>
        </w:trPr>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1</w:t>
            </w:r>
            <w:r>
              <w:rPr>
                <w:rFonts w:ascii="Times New Roman" w:cs="Times New Roman" w:eastAsia="Times New Roman" w:hAnsi="Times New Roman"/>
                <w:sz w:val="16"/>
                <w:szCs w:val="16"/>
                <w:color w:val="000000"/>
              </w:rPr>
              <w:t>.</w:t>
            </w: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Financial Statements (Unaudited)</w:t>
            </w: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3</w:t>
            </w:r>
          </w:p>
        </w:tc>
        <w:tc>
          <w:tcPr>
            <w:tcW w:w="120" w:type="dxa"/>
            <w:vAlign w:val="bottom"/>
          </w:tcPr>
          <w:p>
            <w:pPr>
              <w:spacing w:after="0"/>
              <w:rPr>
                <w:sz w:val="17"/>
                <w:szCs w:val="17"/>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Consolidated Balance Sheets</w:t>
            </w:r>
          </w:p>
        </w:tc>
        <w:tc>
          <w:tcPr>
            <w:tcW w:w="300" w:type="dxa"/>
            <w:vAlign w:val="bottom"/>
          </w:tcPr>
          <w:p>
            <w:pPr>
              <w:spacing w:after="0"/>
              <w:rPr>
                <w:sz w:val="20"/>
                <w:szCs w:val="20"/>
                <w:color w:val="auto"/>
              </w:rPr>
            </w:pPr>
          </w:p>
        </w:tc>
        <w:tc>
          <w:tcPr>
            <w:tcW w:w="4120" w:type="dxa"/>
            <w:vAlign w:val="bottom"/>
            <w:gridSpan w:val="8"/>
          </w:tcPr>
          <w:p>
            <w:pPr>
              <w:spacing w:after="0"/>
              <w:rPr>
                <w:sz w:val="20"/>
                <w:szCs w:val="20"/>
                <w:color w:val="auto"/>
              </w:rPr>
            </w:pP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3</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Consolidated Statements of Operations and Comprehensive Income</w:t>
            </w: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4</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5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Consolidated Statements of Cash Flows</w:t>
            </w:r>
          </w:p>
        </w:tc>
        <w:tc>
          <w:tcPr>
            <w:tcW w:w="1800" w:type="dxa"/>
            <w:vAlign w:val="bottom"/>
            <w:gridSpan w:val="5"/>
          </w:tcPr>
          <w:p>
            <w:pPr>
              <w:spacing w:after="0"/>
              <w:rPr>
                <w:sz w:val="20"/>
                <w:szCs w:val="20"/>
                <w:color w:val="auto"/>
              </w:rPr>
            </w:pPr>
          </w:p>
        </w:tc>
        <w:tc>
          <w:tcPr>
            <w:tcW w:w="1920" w:type="dxa"/>
            <w:vAlign w:val="bottom"/>
            <w:gridSpan w:val="2"/>
          </w:tcPr>
          <w:p>
            <w:pPr>
              <w:spacing w:after="0"/>
              <w:rPr>
                <w:sz w:val="20"/>
                <w:szCs w:val="20"/>
                <w:color w:val="auto"/>
              </w:rPr>
            </w:pP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5</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Consolidated Statements of Stockholders’ Equity</w:t>
            </w: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7</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Notes to Unaudited Consolidated Financial Statements</w:t>
            </w: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9</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960" w:type="dxa"/>
            <w:vAlign w:val="bottom"/>
            <w:gridSpan w:val="6"/>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2</w:t>
            </w:r>
            <w:r>
              <w:rPr>
                <w:rFonts w:ascii="Times New Roman" w:cs="Times New Roman" w:eastAsia="Times New Roman" w:hAnsi="Times New Roman"/>
                <w:sz w:val="16"/>
                <w:szCs w:val="16"/>
                <w:color w:val="000000"/>
              </w:rPr>
              <w:t>.</w:t>
            </w: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700" w:type="dxa"/>
            <w:vAlign w:val="bottom"/>
            <w:gridSpan w:val="3"/>
          </w:tcPr>
          <w:p>
            <w:pPr>
              <w:jc w:val="center"/>
              <w:ind w:left="459"/>
              <w:spacing w:after="0"/>
              <w:rPr>
                <w:sz w:val="20"/>
                <w:szCs w:val="20"/>
                <w:color w:val="auto"/>
              </w:rPr>
            </w:pPr>
            <w:r>
              <w:rPr>
                <w:rFonts w:ascii="Times New Roman" w:cs="Times New Roman" w:eastAsia="Times New Roman" w:hAnsi="Times New Roman"/>
                <w:sz w:val="16"/>
                <w:szCs w:val="16"/>
                <w:color w:val="0000FF"/>
                <w:w w:val="99"/>
              </w:rPr>
              <w:t>22</w:t>
            </w:r>
          </w:p>
        </w:tc>
        <w:tc>
          <w:tcPr>
            <w:tcW w:w="120" w:type="dxa"/>
            <w:vAlign w:val="bottom"/>
          </w:tcPr>
          <w:p>
            <w:pPr>
              <w:spacing w:after="0"/>
              <w:rPr>
                <w:sz w:val="20"/>
                <w:szCs w:val="20"/>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300" w:type="dxa"/>
            <w:vAlign w:val="bottom"/>
            <w:gridSpan w:val="8"/>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36"/>
        </w:trPr>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3</w:t>
            </w:r>
            <w:r>
              <w:rPr>
                <w:rFonts w:ascii="Times New Roman" w:cs="Times New Roman" w:eastAsia="Times New Roman" w:hAnsi="Times New Roman"/>
                <w:sz w:val="16"/>
                <w:szCs w:val="16"/>
                <w:color w:val="000000"/>
              </w:rPr>
              <w:t>.</w:t>
            </w: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700" w:type="dxa"/>
            <w:vAlign w:val="bottom"/>
            <w:gridSpan w:val="3"/>
          </w:tcPr>
          <w:p>
            <w:pPr>
              <w:jc w:val="center"/>
              <w:ind w:left="459"/>
              <w:spacing w:after="0"/>
              <w:rPr>
                <w:sz w:val="20"/>
                <w:szCs w:val="20"/>
                <w:color w:val="auto"/>
              </w:rPr>
            </w:pPr>
            <w:r>
              <w:rPr>
                <w:rFonts w:ascii="Times New Roman" w:cs="Times New Roman" w:eastAsia="Times New Roman" w:hAnsi="Times New Roman"/>
                <w:sz w:val="16"/>
                <w:szCs w:val="16"/>
                <w:color w:val="0000FF"/>
                <w:w w:val="99"/>
              </w:rPr>
              <w:t>32</w:t>
            </w:r>
          </w:p>
        </w:tc>
        <w:tc>
          <w:tcPr>
            <w:tcW w:w="120" w:type="dxa"/>
            <w:vAlign w:val="bottom"/>
          </w:tcPr>
          <w:p>
            <w:pPr>
              <w:spacing w:after="0"/>
              <w:rPr>
                <w:sz w:val="20"/>
                <w:szCs w:val="20"/>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300" w:type="dxa"/>
            <w:vAlign w:val="bottom"/>
            <w:gridSpan w:val="8"/>
            <w:shd w:val="clear" w:color="auto" w:fill="0000FF"/>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62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37"/>
        </w:trPr>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4</w:t>
            </w:r>
            <w:r>
              <w:rPr>
                <w:rFonts w:ascii="Times New Roman" w:cs="Times New Roman" w:eastAsia="Times New Roman" w:hAnsi="Times New Roman"/>
                <w:sz w:val="16"/>
                <w:szCs w:val="16"/>
                <w:color w:val="000000"/>
              </w:rPr>
              <w:t>.</w:t>
            </w: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700" w:type="dxa"/>
            <w:vAlign w:val="bottom"/>
            <w:gridSpan w:val="3"/>
          </w:tcPr>
          <w:p>
            <w:pPr>
              <w:jc w:val="center"/>
              <w:ind w:left="459"/>
              <w:spacing w:after="0"/>
              <w:rPr>
                <w:sz w:val="20"/>
                <w:szCs w:val="20"/>
                <w:color w:val="auto"/>
              </w:rPr>
            </w:pPr>
            <w:r>
              <w:rPr>
                <w:rFonts w:ascii="Times New Roman" w:cs="Times New Roman" w:eastAsia="Times New Roman" w:hAnsi="Times New Roman"/>
                <w:sz w:val="16"/>
                <w:szCs w:val="16"/>
                <w:color w:val="0000FF"/>
                <w:w w:val="99"/>
              </w:rPr>
              <w:t>32</w:t>
            </w:r>
          </w:p>
        </w:tc>
        <w:tc>
          <w:tcPr>
            <w:tcW w:w="120" w:type="dxa"/>
            <w:vAlign w:val="bottom"/>
          </w:tcPr>
          <w:p>
            <w:pPr>
              <w:spacing w:after="0"/>
              <w:rPr>
                <w:sz w:val="20"/>
                <w:szCs w:val="20"/>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2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0000FF"/>
              </w:rPr>
              <w:t>PART II. Other Information</w:t>
            </w: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6"/>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1</w:t>
            </w:r>
            <w:r>
              <w:rPr>
                <w:rFonts w:ascii="Times New Roman" w:cs="Times New Roman" w:eastAsia="Times New Roman" w:hAnsi="Times New Roman"/>
                <w:sz w:val="16"/>
                <w:szCs w:val="16"/>
                <w:color w:val="000000"/>
              </w:rPr>
              <w:t>.</w:t>
            </w:r>
          </w:p>
        </w:tc>
        <w:tc>
          <w:tcPr>
            <w:tcW w:w="172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1960" w:type="dxa"/>
            <w:vAlign w:val="bottom"/>
            <w:tcBorders>
              <w:top w:val="single" w:sz="8" w:color="0000FF"/>
            </w:tcBorders>
            <w:gridSpan w:val="2"/>
          </w:tcPr>
          <w:p>
            <w:pPr>
              <w:spacing w:after="0"/>
              <w:rPr>
                <w:sz w:val="17"/>
                <w:szCs w:val="17"/>
                <w:color w:val="auto"/>
              </w:rPr>
            </w:pPr>
          </w:p>
        </w:tc>
        <w:tc>
          <w:tcPr>
            <w:tcW w:w="1720" w:type="dxa"/>
            <w:vAlign w:val="bottom"/>
            <w:gridSpan w:val="2"/>
          </w:tcPr>
          <w:p>
            <w:pPr>
              <w:spacing w:after="0"/>
              <w:rPr>
                <w:sz w:val="17"/>
                <w:szCs w:val="17"/>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33</w:t>
            </w:r>
          </w:p>
        </w:tc>
      </w:tr>
      <w:tr>
        <w:trPr>
          <w:trHeight w:val="20"/>
        </w:trPr>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7"/>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1A</w:t>
            </w:r>
            <w:r>
              <w:rPr>
                <w:rFonts w:ascii="Times New Roman" w:cs="Times New Roman" w:eastAsia="Times New Roman" w:hAnsi="Times New Roman"/>
                <w:sz w:val="16"/>
                <w:szCs w:val="16"/>
                <w:color w:val="000000"/>
              </w:rPr>
              <w:t>.</w:t>
            </w: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33</w:t>
            </w:r>
          </w:p>
        </w:tc>
      </w:tr>
      <w:tr>
        <w:trPr>
          <w:trHeight w:val="20"/>
        </w:trPr>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6"/>
        </w:trPr>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2</w:t>
            </w:r>
            <w:r>
              <w:rPr>
                <w:rFonts w:ascii="Times New Roman" w:cs="Times New Roman" w:eastAsia="Times New Roman" w:hAnsi="Times New Roman"/>
                <w:sz w:val="16"/>
                <w:szCs w:val="16"/>
                <w:color w:val="000000"/>
              </w:rPr>
              <w:t>.</w:t>
            </w:r>
          </w:p>
        </w:tc>
        <w:tc>
          <w:tcPr>
            <w:tcW w:w="1360" w:type="dxa"/>
            <w:vAlign w:val="bottom"/>
          </w:tcPr>
          <w:p>
            <w:pPr>
              <w:spacing w:after="0"/>
              <w:rPr>
                <w:sz w:val="20"/>
                <w:szCs w:val="20"/>
                <w:color w:val="auto"/>
              </w:rPr>
            </w:pP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34</w:t>
            </w: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7"/>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3</w:t>
            </w:r>
            <w:r>
              <w:rPr>
                <w:rFonts w:ascii="Times New Roman" w:cs="Times New Roman" w:eastAsia="Times New Roman" w:hAnsi="Times New Roman"/>
                <w:sz w:val="16"/>
                <w:szCs w:val="16"/>
                <w:color w:val="000000"/>
              </w:rPr>
              <w:t>.</w:t>
            </w: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Defaults Upon Senior Securities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34</w:t>
            </w: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6"/>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4</w:t>
            </w:r>
            <w:r>
              <w:rPr>
                <w:rFonts w:ascii="Times New Roman" w:cs="Times New Roman" w:eastAsia="Times New Roman" w:hAnsi="Times New Roman"/>
                <w:sz w:val="16"/>
                <w:szCs w:val="16"/>
                <w:color w:val="000000"/>
              </w:rPr>
              <w:t>.</w:t>
            </w: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34</w:t>
            </w: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r>
      <w:tr>
        <w:trPr>
          <w:trHeight w:val="237"/>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5</w:t>
            </w:r>
            <w:r>
              <w:rPr>
                <w:rFonts w:ascii="Times New Roman" w:cs="Times New Roman" w:eastAsia="Times New Roman" w:hAnsi="Times New Roman"/>
                <w:sz w:val="16"/>
                <w:szCs w:val="16"/>
                <w:color w:val="000000"/>
              </w:rPr>
              <w:t>.</w:t>
            </w: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34</w:t>
            </w: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6"/>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6</w:t>
            </w:r>
            <w:r>
              <w:rPr>
                <w:rFonts w:ascii="Times New Roman" w:cs="Times New Roman" w:eastAsia="Times New Roman" w:hAnsi="Times New Roman"/>
                <w:sz w:val="16"/>
                <w:szCs w:val="16"/>
                <w:color w:val="000000"/>
              </w:rPr>
              <w:t>.</w:t>
            </w: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Exhibits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35</w:t>
            </w:r>
          </w:p>
        </w:tc>
      </w:tr>
      <w:tr>
        <w:trPr>
          <w:trHeight w:val="20"/>
        </w:trPr>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20" w:type="dxa"/>
            <w:vAlign w:val="bottom"/>
            <w:gridSpan w:val="8"/>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7"/>
              </w:rPr>
              <w:t>Signatures</w:t>
            </w:r>
          </w:p>
        </w:tc>
        <w:tc>
          <w:tcPr>
            <w:tcW w:w="4720" w:type="dxa"/>
            <w:vAlign w:val="bottom"/>
            <w:gridSpan w:val="8"/>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36</w:t>
            </w:r>
          </w:p>
        </w:tc>
      </w:tr>
      <w:tr>
        <w:trPr>
          <w:trHeight w:val="20"/>
        </w:trPr>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119"/>
          </w:cols>
          <w:pgMar w:left="1340" w:top="684" w:right="1440" w:bottom="1440" w:gutter="0" w:footer="0" w:header="0"/>
        </w:sectPr>
      </w:pPr>
    </w:p>
    <w:bookmarkStart w:id="3" w:name="page4"/>
    <w:bookmarkEnd w:id="3"/>
    <w:p>
      <w:pPr>
        <w:ind w:left="444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52"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i w:val="1"/>
          <w:iCs w:val="1"/>
          <w:color w:val="auto"/>
        </w:rPr>
        <w:t>(Unaudited, dollars in thousands, except share and per share data)</w:t>
      </w:r>
    </w:p>
    <w:p>
      <w:pPr>
        <w:spacing w:after="0" w:line="292" w:lineRule="exact"/>
        <w:rPr>
          <w:sz w:val="20"/>
          <w:szCs w:val="20"/>
          <w:color w:val="auto"/>
        </w:rPr>
      </w:pPr>
    </w:p>
    <w:tbl>
      <w:tblPr>
        <w:tblLayout w:type="fixed"/>
        <w:tblInd w:w="600" w:type="dxa"/>
        <w:tblCellMar>
          <w:top w:w="0" w:type="dxa"/>
          <w:left w:w="0" w:type="dxa"/>
          <w:bottom w:w="0" w:type="dxa"/>
          <w:right w:w="0" w:type="dxa"/>
        </w:tblCellMar>
      </w:tblPr>
      <w:tr>
        <w:trPr>
          <w:trHeight w:val="210"/>
        </w:trPr>
        <w:tc>
          <w:tcPr>
            <w:tcW w:w="6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May 31, 2025</w:t>
            </w:r>
          </w:p>
        </w:tc>
        <w:tc>
          <w:tcPr>
            <w:tcW w:w="18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August 31, 2024</w:t>
            </w:r>
          </w:p>
        </w:tc>
        <w:tc>
          <w:tcPr>
            <w:tcW w:w="0" w:type="dxa"/>
            <w:vAlign w:val="bottom"/>
          </w:tcPr>
          <w:p>
            <w:pPr>
              <w:spacing w:after="0"/>
              <w:rPr>
                <w:sz w:val="1"/>
                <w:szCs w:val="1"/>
                <w:color w:val="auto"/>
              </w:rPr>
            </w:pPr>
          </w:p>
        </w:tc>
      </w:tr>
      <w:tr>
        <w:trPr>
          <w:trHeight w:val="33"/>
        </w:trPr>
        <w:tc>
          <w:tcPr>
            <w:tcW w:w="6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98,008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132,530</w:t>
            </w:r>
          </w:p>
        </w:tc>
        <w:tc>
          <w:tcPr>
            <w:tcW w:w="0" w:type="dxa"/>
            <w:vAlign w:val="bottom"/>
          </w:tcPr>
          <w:p>
            <w:pPr>
              <w:spacing w:after="0"/>
              <w:rPr>
                <w:sz w:val="1"/>
                <w:szCs w:val="1"/>
                <w:color w:val="auto"/>
              </w:rPr>
            </w:pPr>
          </w:p>
        </w:tc>
      </w:tr>
      <w:tr>
        <w:trPr>
          <w:trHeight w:val="254"/>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152,580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150,721</w:t>
            </w: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164,464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142,107</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5,730</w:t>
            </w: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current assets</w:t>
            </w:r>
          </w:p>
        </w:tc>
        <w:tc>
          <w:tcPr>
            <w:tcW w:w="2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14,574</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9,192</w:t>
            </w:r>
          </w:p>
        </w:tc>
        <w:tc>
          <w:tcPr>
            <w:tcW w:w="0" w:type="dxa"/>
            <w:vAlign w:val="bottom"/>
          </w:tcPr>
          <w:p>
            <w:pPr>
              <w:spacing w:after="0"/>
              <w:rPr>
                <w:sz w:val="1"/>
                <w:szCs w:val="1"/>
                <w:color w:val="auto"/>
              </w:rPr>
            </w:pPr>
          </w:p>
        </w:tc>
      </w:tr>
      <w:tr>
        <w:trPr>
          <w:trHeight w:val="236"/>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436,939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440,280</w:t>
            </w:r>
          </w:p>
        </w:tc>
        <w:tc>
          <w:tcPr>
            <w:tcW w:w="0" w:type="dxa"/>
            <w:vAlign w:val="bottom"/>
          </w:tcPr>
          <w:p>
            <w:pPr>
              <w:spacing w:after="0"/>
              <w:rPr>
                <w:sz w:val="1"/>
                <w:szCs w:val="1"/>
                <w:color w:val="auto"/>
              </w:rPr>
            </w:pPr>
          </w:p>
        </w:tc>
      </w:tr>
      <w:tr>
        <w:trPr>
          <w:trHeight w:val="219"/>
        </w:trPr>
        <w:tc>
          <w:tcPr>
            <w:tcW w:w="6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assets:</w:t>
            </w: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24,102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24,830</w:t>
            </w:r>
          </w:p>
        </w:tc>
        <w:tc>
          <w:tcPr>
            <w:tcW w:w="0" w:type="dxa"/>
            <w:vAlign w:val="bottom"/>
          </w:tcPr>
          <w:p>
            <w:pPr>
              <w:spacing w:after="0"/>
              <w:rPr>
                <w:sz w:val="1"/>
                <w:szCs w:val="1"/>
                <w:color w:val="auto"/>
              </w:rPr>
            </w:pPr>
          </w:p>
        </w:tc>
      </w:tr>
      <w:tr>
        <w:trPr>
          <w:trHeight w:val="254"/>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Intangible assets, net</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1,325,953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1,336,466</w:t>
            </w:r>
          </w:p>
        </w:tc>
        <w:tc>
          <w:tcPr>
            <w:tcW w:w="0" w:type="dxa"/>
            <w:vAlign w:val="bottom"/>
          </w:tcPr>
          <w:p>
            <w:pPr>
              <w:spacing w:after="0"/>
              <w:rPr>
                <w:sz w:val="1"/>
                <w:szCs w:val="1"/>
                <w:color w:val="auto"/>
              </w:rPr>
            </w:pPr>
          </w:p>
        </w:tc>
      </w:tr>
      <w:tr>
        <w:trPr>
          <w:trHeight w:val="239"/>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589,974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591,687</w:t>
            </w:r>
          </w:p>
        </w:tc>
        <w:tc>
          <w:tcPr>
            <w:tcW w:w="0" w:type="dxa"/>
            <w:vAlign w:val="bottom"/>
          </w:tcPr>
          <w:p>
            <w:pPr>
              <w:spacing w:after="0"/>
              <w:rPr>
                <w:sz w:val="1"/>
                <w:szCs w:val="1"/>
                <w:color w:val="auto"/>
              </w:rPr>
            </w:pPr>
          </w:p>
        </w:tc>
      </w:tr>
      <w:tr>
        <w:trPr>
          <w:trHeight w:val="224"/>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long-term assets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42,881</w:t>
            </w:r>
          </w:p>
        </w:tc>
        <w:tc>
          <w:tcPr>
            <w:tcW w:w="0" w:type="dxa"/>
            <w:vAlign w:val="bottom"/>
          </w:tcPr>
          <w:p>
            <w:pPr>
              <w:spacing w:after="0"/>
              <w:rPr>
                <w:sz w:val="1"/>
                <w:szCs w:val="1"/>
                <w:color w:val="auto"/>
              </w:rPr>
            </w:pPr>
          </w:p>
        </w:tc>
      </w:tr>
      <w:tr>
        <w:trPr>
          <w:trHeight w:val="33"/>
        </w:trPr>
        <w:tc>
          <w:tcPr>
            <w:tcW w:w="6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2,430,388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2,436,144</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73,012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58,559</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interest</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37,664</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49,791</w:t>
            </w:r>
          </w:p>
        </w:tc>
        <w:tc>
          <w:tcPr>
            <w:tcW w:w="0" w:type="dxa"/>
            <w:vAlign w:val="bottom"/>
          </w:tcPr>
          <w:p>
            <w:pPr>
              <w:spacing w:after="0"/>
              <w:rPr>
                <w:sz w:val="1"/>
                <w:szCs w:val="1"/>
                <w:color w:val="auto"/>
              </w:rPr>
            </w:pPr>
          </w:p>
        </w:tc>
      </w:tr>
      <w:tr>
        <w:trPr>
          <w:trHeight w:val="237"/>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108,615</w:t>
            </w:r>
          </w:p>
        </w:tc>
        <w:tc>
          <w:tcPr>
            <w:tcW w:w="0" w:type="dxa"/>
            <w:vAlign w:val="bottom"/>
          </w:tcPr>
          <w:p>
            <w:pPr>
              <w:spacing w:after="0"/>
              <w:rPr>
                <w:sz w:val="1"/>
                <w:szCs w:val="1"/>
                <w:color w:val="auto"/>
              </w:rPr>
            </w:pPr>
          </w:p>
        </w:tc>
      </w:tr>
      <w:tr>
        <w:trPr>
          <w:trHeight w:val="219"/>
        </w:trPr>
        <w:tc>
          <w:tcPr>
            <w:tcW w:w="6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Long-term debt, less current maturities</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248,920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397,485</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176,695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166,012</w:t>
            </w: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53,102</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36,546</w:t>
            </w:r>
          </w:p>
        </w:tc>
        <w:tc>
          <w:tcPr>
            <w:tcW w:w="0" w:type="dxa"/>
            <w:vAlign w:val="bottom"/>
          </w:tcPr>
          <w:p>
            <w:pPr>
              <w:spacing w:after="0"/>
              <w:rPr>
                <w:sz w:val="1"/>
                <w:szCs w:val="1"/>
                <w:color w:val="auto"/>
              </w:rPr>
            </w:pPr>
          </w:p>
        </w:tc>
      </w:tr>
      <w:tr>
        <w:trPr>
          <w:trHeight w:val="237"/>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589,437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708,658</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See commitments and contingencies (Note 10)</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 stock, $0.01 par value, 100,000,000 shares authorized, none issued</w:t>
            </w:r>
          </w:p>
        </w:tc>
        <w:tc>
          <w:tcPr>
            <w:tcW w:w="200" w:type="dxa"/>
            <w:vAlign w:val="bottom"/>
          </w:tcPr>
          <w:p>
            <w:pPr>
              <w:spacing w:after="0"/>
              <w:rPr>
                <w:sz w:val="22"/>
                <w:szCs w:val="22"/>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stock, $0.01 par value, 600,000,000 shares authorized, 103,583,702 and 102,515,315</w:t>
            </w:r>
          </w:p>
        </w:tc>
        <w:tc>
          <w:tcPr>
            <w:tcW w:w="2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issued at May 31, 2025, and August 31, 2024, respectively</w:t>
            </w:r>
          </w:p>
        </w:tc>
        <w:tc>
          <w:tcPr>
            <w:tcW w:w="20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84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Treasury stock, 3,058,475 shares and 2,365,100 shares at cost at May 31, 2025, and August 31,</w:t>
            </w:r>
          </w:p>
        </w:tc>
        <w:tc>
          <w:tcPr>
            <w:tcW w:w="2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(102,789)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(78,451)</w:t>
            </w:r>
          </w:p>
        </w:tc>
        <w:tc>
          <w:tcPr>
            <w:tcW w:w="0" w:type="dxa"/>
            <w:vAlign w:val="bottom"/>
          </w:tcPr>
          <w:p>
            <w:pPr>
              <w:spacing w:after="0"/>
              <w:rPr>
                <w:sz w:val="1"/>
                <w:szCs w:val="1"/>
                <w:color w:val="auto"/>
              </w:rPr>
            </w:pPr>
          </w:p>
        </w:tc>
      </w:tr>
      <w:tr>
        <w:trPr>
          <w:trHeight w:val="21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2024, respectively</w:t>
            </w:r>
          </w:p>
        </w:tc>
        <w:tc>
          <w:tcPr>
            <w:tcW w:w="2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Additional paid-in-capital</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1,342,011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1,319,686</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Retained earnings</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603,236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487,265</w:t>
            </w: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(2,543)</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w:t>
            </w:r>
          </w:p>
        </w:tc>
        <w:tc>
          <w:tcPr>
            <w:tcW w:w="0" w:type="dxa"/>
            <w:vAlign w:val="bottom"/>
          </w:tcPr>
          <w:p>
            <w:pPr>
              <w:spacing w:after="0"/>
              <w:rPr>
                <w:sz w:val="1"/>
                <w:szCs w:val="1"/>
                <w:color w:val="auto"/>
              </w:rPr>
            </w:pPr>
          </w:p>
        </w:tc>
      </w:tr>
      <w:tr>
        <w:trPr>
          <w:trHeight w:val="236"/>
        </w:trPr>
        <w:tc>
          <w:tcPr>
            <w:tcW w:w="6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1,840,951</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1,727,486</w:t>
            </w:r>
          </w:p>
        </w:tc>
        <w:tc>
          <w:tcPr>
            <w:tcW w:w="0" w:type="dxa"/>
            <w:vAlign w:val="bottom"/>
          </w:tcPr>
          <w:p>
            <w:pPr>
              <w:spacing w:after="0"/>
              <w:rPr>
                <w:sz w:val="1"/>
                <w:szCs w:val="1"/>
                <w:color w:val="auto"/>
              </w:rPr>
            </w:pPr>
          </w:p>
        </w:tc>
      </w:tr>
      <w:tr>
        <w:trPr>
          <w:trHeight w:val="238"/>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2,430,388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2,436,144</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6"/>
          <w:szCs w:val="16"/>
          <w:i w:val="1"/>
          <w:iCs w:val="1"/>
          <w:color w:val="auto"/>
        </w:rPr>
        <w:t>See accompanying notes to the unaudited consolidated financial statements.</w:t>
      </w:r>
    </w:p>
    <w:p>
      <w:pPr>
        <w:sectPr>
          <w:pgSz w:w="11900" w:h="16838" w:orient="portrait"/>
          <w:cols w:equalWidth="0" w:num="1">
            <w:col w:w="10640"/>
          </w:cols>
          <w:pgMar w:left="320" w:top="684" w:right="939" w:bottom="1440" w:gutter="0" w:footer="0" w:header="0"/>
        </w:sectPr>
      </w:pPr>
    </w:p>
    <w:p>
      <w:pPr>
        <w:spacing w:after="0" w:line="3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684" w:right="9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w:t>
      </w:r>
    </w:p>
    <w:p>
      <w:pPr>
        <w:spacing w:after="0" w:line="9"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i w:val="1"/>
          <w:iCs w:val="1"/>
          <w:color w:val="auto"/>
        </w:rPr>
        <w:t>(Unaudited, dollars in thousands, except share and per share data)</w:t>
      </w:r>
    </w:p>
    <w:p>
      <w:pPr>
        <w:spacing w:after="0" w:line="279" w:lineRule="exact"/>
        <w:rPr>
          <w:sz w:val="20"/>
          <w:szCs w:val="20"/>
          <w:color w:val="auto"/>
        </w:rPr>
      </w:pPr>
    </w:p>
    <w:tbl>
      <w:tblPr>
        <w:tblLayout w:type="fixed"/>
        <w:tblInd w:w="660" w:type="dxa"/>
        <w:tblCellMar>
          <w:top w:w="0" w:type="dxa"/>
          <w:left w:w="0" w:type="dxa"/>
          <w:bottom w:w="0" w:type="dxa"/>
          <w:right w:w="0" w:type="dxa"/>
        </w:tblCellMar>
      </w:tblPr>
      <w:tr>
        <w:trPr>
          <w:trHeight w:val="213"/>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40" w:type="dxa"/>
            <w:vAlign w:val="bottom"/>
            <w:gridSpan w:val="5"/>
          </w:tcPr>
          <w:p>
            <w:pPr>
              <w:ind w:left="660"/>
              <w:spacing w:after="0"/>
              <w:rPr>
                <w:sz w:val="20"/>
                <w:szCs w:val="20"/>
                <w:color w:val="auto"/>
              </w:rPr>
            </w:pPr>
            <w:r>
              <w:rPr>
                <w:rFonts w:ascii="Times New Roman" w:cs="Times New Roman" w:eastAsia="Times New Roman" w:hAnsi="Times New Roman"/>
                <w:sz w:val="16"/>
                <w:szCs w:val="16"/>
                <w:color w:val="auto"/>
              </w:rPr>
              <w:t>Thirteen Weeks Ended</w:t>
            </w:r>
          </w:p>
        </w:tc>
        <w:tc>
          <w:tcPr>
            <w:tcW w:w="200" w:type="dxa"/>
            <w:vAlign w:val="bottom"/>
          </w:tcPr>
          <w:p>
            <w:pPr>
              <w:spacing w:after="0"/>
              <w:rPr>
                <w:sz w:val="18"/>
                <w:szCs w:val="18"/>
                <w:color w:val="auto"/>
              </w:rPr>
            </w:pPr>
          </w:p>
        </w:tc>
        <w:tc>
          <w:tcPr>
            <w:tcW w:w="3020" w:type="dxa"/>
            <w:vAlign w:val="bottom"/>
            <w:gridSpan w:val="4"/>
          </w:tcPr>
          <w:p>
            <w:pPr>
              <w:jc w:val="right"/>
              <w:ind w:right="699"/>
              <w:spacing w:after="0"/>
              <w:rPr>
                <w:sz w:val="20"/>
                <w:szCs w:val="20"/>
                <w:color w:val="auto"/>
              </w:rPr>
            </w:pPr>
            <w:r>
              <w:rPr>
                <w:rFonts w:ascii="Times New Roman" w:cs="Times New Roman" w:eastAsia="Times New Roman" w:hAnsi="Times New Roman"/>
                <w:sz w:val="16"/>
                <w:szCs w:val="16"/>
                <w:color w:val="auto"/>
              </w:rPr>
              <w:t>Thirty-Nine Weeks Ended</w:t>
            </w:r>
          </w:p>
        </w:tc>
        <w:tc>
          <w:tcPr>
            <w:tcW w:w="0" w:type="dxa"/>
            <w:vAlign w:val="bottom"/>
          </w:tcPr>
          <w:p>
            <w:pPr>
              <w:spacing w:after="0"/>
              <w:rPr>
                <w:sz w:val="1"/>
                <w:szCs w:val="1"/>
                <w:color w:val="auto"/>
              </w:rPr>
            </w:pPr>
          </w:p>
        </w:tc>
      </w:tr>
      <w:tr>
        <w:trPr>
          <w:trHeight w:val="210"/>
        </w:trPr>
        <w:tc>
          <w:tcPr>
            <w:tcW w:w="33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May 31, 2025</w:t>
            </w: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May 25, 2024</w:t>
            </w: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May 31, 2025</w:t>
            </w: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May 25, 2024</w:t>
            </w:r>
          </w:p>
        </w:tc>
        <w:tc>
          <w:tcPr>
            <w:tcW w:w="0" w:type="dxa"/>
            <w:vAlign w:val="bottom"/>
          </w:tcPr>
          <w:p>
            <w:pPr>
              <w:spacing w:after="0"/>
              <w:rPr>
                <w:sz w:val="1"/>
                <w:szCs w:val="1"/>
                <w:color w:val="auto"/>
              </w:rPr>
            </w:pPr>
          </w:p>
        </w:tc>
      </w:tr>
      <w:tr>
        <w:trPr>
          <w:trHeight w:val="239"/>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380,956</w:t>
            </w:r>
          </w:p>
        </w:tc>
        <w:tc>
          <w:tcPr>
            <w:tcW w:w="1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334,757</w:t>
            </w:r>
          </w:p>
        </w:tc>
        <w:tc>
          <w:tcPr>
            <w:tcW w:w="1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1,081,879</w:t>
            </w:r>
          </w:p>
        </w:tc>
        <w:tc>
          <w:tcPr>
            <w:tcW w:w="1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955,634</w:t>
            </w:r>
          </w:p>
        </w:tc>
        <w:tc>
          <w:tcPr>
            <w:tcW w:w="0" w:type="dxa"/>
            <w:vAlign w:val="bottom"/>
          </w:tcPr>
          <w:p>
            <w:pPr>
              <w:spacing w:after="0"/>
              <w:rPr>
                <w:sz w:val="1"/>
                <w:szCs w:val="1"/>
                <w:color w:val="auto"/>
              </w:rPr>
            </w:pPr>
          </w:p>
        </w:tc>
      </w:tr>
      <w:tr>
        <w:trPr>
          <w:trHeight w:val="253"/>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242,437</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201,131</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682,737</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590,020</w:t>
            </w:r>
          </w:p>
        </w:tc>
        <w:tc>
          <w:tcPr>
            <w:tcW w:w="0" w:type="dxa"/>
            <w:vAlign w:val="bottom"/>
          </w:tcPr>
          <w:p>
            <w:pPr>
              <w:spacing w:after="0"/>
              <w:rPr>
                <w:sz w:val="1"/>
                <w:szCs w:val="1"/>
                <w:color w:val="auto"/>
              </w:rPr>
            </w:pPr>
          </w:p>
        </w:tc>
      </w:tr>
      <w:tr>
        <w:trPr>
          <w:trHeight w:val="23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138,519</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133,626</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399,142</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365,614</w:t>
            </w:r>
          </w:p>
        </w:tc>
        <w:tc>
          <w:tcPr>
            <w:tcW w:w="0" w:type="dxa"/>
            <w:vAlign w:val="bottom"/>
          </w:tcPr>
          <w:p>
            <w:pPr>
              <w:spacing w:after="0"/>
              <w:rPr>
                <w:sz w:val="1"/>
                <w:szCs w:val="1"/>
                <w:color w:val="auto"/>
              </w:rPr>
            </w:pPr>
          </w:p>
        </w:tc>
      </w:tr>
      <w:tr>
        <w:trPr>
          <w:trHeight w:val="257"/>
        </w:trPr>
        <w:tc>
          <w:tcPr>
            <w:tcW w:w="3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3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and marketing</w:t>
            </w: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33,799</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36,464</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101,871</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103,097</w:t>
            </w:r>
          </w:p>
        </w:tc>
        <w:tc>
          <w:tcPr>
            <w:tcW w:w="0" w:type="dxa"/>
            <w:vAlign w:val="bottom"/>
          </w:tcPr>
          <w:p>
            <w:pPr>
              <w:spacing w:after="0"/>
              <w:rPr>
                <w:sz w:val="1"/>
                <w:szCs w:val="1"/>
                <w:color w:val="auto"/>
              </w:rPr>
            </w:pPr>
          </w:p>
        </w:tc>
      </w:tr>
      <w:tr>
        <w:trPr>
          <w:trHeight w:val="259"/>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41,229</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31,543</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115,306</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88,426</w:t>
            </w:r>
          </w:p>
        </w:tc>
        <w:tc>
          <w:tcPr>
            <w:tcW w:w="0" w:type="dxa"/>
            <w:vAlign w:val="bottom"/>
          </w:tcPr>
          <w:p>
            <w:pPr>
              <w:spacing w:after="0"/>
              <w:rPr>
                <w:sz w:val="1"/>
                <w:szCs w:val="1"/>
                <w:color w:val="auto"/>
              </w:rPr>
            </w:pPr>
          </w:p>
        </w:tc>
      </w:tr>
      <w:tr>
        <w:trPr>
          <w:trHeight w:val="253"/>
        </w:trPr>
        <w:tc>
          <w:tcPr>
            <w:tcW w:w="3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4,171</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4,142</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12,479</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12,711</w:t>
            </w:r>
          </w:p>
        </w:tc>
        <w:tc>
          <w:tcPr>
            <w:tcW w:w="0" w:type="dxa"/>
            <w:vAlign w:val="bottom"/>
          </w:tcPr>
          <w:p>
            <w:pPr>
              <w:spacing w:after="0"/>
              <w:rPr>
                <w:sz w:val="1"/>
                <w:szCs w:val="1"/>
                <w:color w:val="auto"/>
              </w:rPr>
            </w:pPr>
          </w:p>
        </w:tc>
      </w:tr>
      <w:tr>
        <w:trPr>
          <w:trHeight w:val="257"/>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transaction costs</w:t>
            </w:r>
          </w:p>
        </w:tc>
        <w:tc>
          <w:tcPr>
            <w:tcW w:w="20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2,703</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2,703</w:t>
            </w:r>
          </w:p>
        </w:tc>
        <w:tc>
          <w:tcPr>
            <w:tcW w:w="0" w:type="dxa"/>
            <w:vAlign w:val="bottom"/>
          </w:tcPr>
          <w:p>
            <w:pPr>
              <w:spacing w:after="0"/>
              <w:rPr>
                <w:sz w:val="1"/>
                <w:szCs w:val="1"/>
                <w:color w:val="auto"/>
              </w:rPr>
            </w:pPr>
          </w:p>
        </w:tc>
      </w:tr>
      <w:tr>
        <w:trPr>
          <w:trHeight w:val="236"/>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79,199</w:t>
            </w: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74,852</w:t>
            </w: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230,476</w:t>
            </w: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206,937</w:t>
            </w:r>
          </w:p>
        </w:tc>
        <w:tc>
          <w:tcPr>
            <w:tcW w:w="0" w:type="dxa"/>
            <w:vAlign w:val="bottom"/>
          </w:tcPr>
          <w:p>
            <w:pPr>
              <w:spacing w:after="0"/>
              <w:rPr>
                <w:sz w:val="1"/>
                <w:szCs w:val="1"/>
                <w:color w:val="auto"/>
              </w:rPr>
            </w:pPr>
          </w:p>
        </w:tc>
      </w:tr>
      <w:tr>
        <w:trPr>
          <w:trHeight w:val="259"/>
        </w:trPr>
        <w:tc>
          <w:tcPr>
            <w:tcW w:w="33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59,320</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58,774</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168,666</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158,677</w:t>
            </w:r>
          </w:p>
        </w:tc>
        <w:tc>
          <w:tcPr>
            <w:tcW w:w="0" w:type="dxa"/>
            <w:vAlign w:val="bottom"/>
          </w:tcPr>
          <w:p>
            <w:pPr>
              <w:spacing w:after="0"/>
              <w:rPr>
                <w:sz w:val="1"/>
                <w:szCs w:val="1"/>
                <w:color w:val="auto"/>
              </w:rPr>
            </w:pPr>
          </w:p>
        </w:tc>
      </w:tr>
      <w:tr>
        <w:trPr>
          <w:trHeight w:val="259"/>
        </w:trPr>
        <w:tc>
          <w:tcPr>
            <w:tcW w:w="33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2,895</w:t>
            </w:r>
          </w:p>
        </w:tc>
        <w:tc>
          <w:tcPr>
            <w:tcW w:w="0" w:type="dxa"/>
            <w:vAlign w:val="bottom"/>
          </w:tcPr>
          <w:p>
            <w:pPr>
              <w:spacing w:after="0"/>
              <w:rPr>
                <w:sz w:val="1"/>
                <w:szCs w:val="1"/>
                <w:color w:val="auto"/>
              </w:rPr>
            </w:pPr>
          </w:p>
        </w:tc>
      </w:tr>
      <w:tr>
        <w:trPr>
          <w:trHeight w:val="253"/>
        </w:trPr>
        <w:tc>
          <w:tcPr>
            <w:tcW w:w="3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(4,900)</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(5,028)</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(19,099)</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(16,658)</w:t>
            </w:r>
          </w:p>
        </w:tc>
        <w:tc>
          <w:tcPr>
            <w:tcW w:w="0" w:type="dxa"/>
            <w:vAlign w:val="bottom"/>
          </w:tcPr>
          <w:p>
            <w:pPr>
              <w:spacing w:after="0"/>
              <w:rPr>
                <w:sz w:val="1"/>
                <w:szCs w:val="1"/>
                <w:color w:val="auto"/>
              </w:rPr>
            </w:pPr>
          </w:p>
        </w:tc>
      </w:tr>
      <w:tr>
        <w:trPr>
          <w:trHeight w:val="260"/>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gain on foreign currency transactions</w:t>
            </w: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191</w:t>
            </w:r>
          </w:p>
        </w:tc>
        <w:tc>
          <w:tcPr>
            <w:tcW w:w="0" w:type="dxa"/>
            <w:vAlign w:val="bottom"/>
          </w:tcPr>
          <w:p>
            <w:pPr>
              <w:spacing w:after="0"/>
              <w:rPr>
                <w:sz w:val="1"/>
                <w:szCs w:val="1"/>
                <w:color w:val="auto"/>
              </w:rPr>
            </w:pPr>
          </w:p>
        </w:tc>
      </w:tr>
      <w:tr>
        <w:trPr>
          <w:trHeight w:val="253"/>
        </w:trPr>
        <w:tc>
          <w:tcPr>
            <w:tcW w:w="3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4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(4,578)</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(4,057)</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(17,271)</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(13,464)</w:t>
            </w:r>
          </w:p>
        </w:tc>
        <w:tc>
          <w:tcPr>
            <w:tcW w:w="0" w:type="dxa"/>
            <w:vAlign w:val="bottom"/>
          </w:tcPr>
          <w:p>
            <w:pPr>
              <w:spacing w:after="0"/>
              <w:rPr>
                <w:sz w:val="1"/>
                <w:szCs w:val="1"/>
                <w:color w:val="auto"/>
              </w:rPr>
            </w:pPr>
          </w:p>
        </w:tc>
      </w:tr>
      <w:tr>
        <w:trPr>
          <w:trHeight w:val="257"/>
        </w:trPr>
        <w:tc>
          <w:tcPr>
            <w:tcW w:w="3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54,742</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54,717</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151,395</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145,213</w:t>
            </w:r>
          </w:p>
        </w:tc>
        <w:tc>
          <w:tcPr>
            <w:tcW w:w="0" w:type="dxa"/>
            <w:vAlign w:val="bottom"/>
          </w:tcPr>
          <w:p>
            <w:pPr>
              <w:spacing w:after="0"/>
              <w:rPr>
                <w:sz w:val="1"/>
                <w:szCs w:val="1"/>
                <w:color w:val="auto"/>
              </w:rPr>
            </w:pPr>
          </w:p>
        </w:tc>
      </w:tr>
      <w:tr>
        <w:trPr>
          <w:trHeight w:val="253"/>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13,640</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13,383</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35,424</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35,195</w:t>
            </w:r>
          </w:p>
        </w:tc>
        <w:tc>
          <w:tcPr>
            <w:tcW w:w="0" w:type="dxa"/>
            <w:vAlign w:val="bottom"/>
          </w:tcPr>
          <w:p>
            <w:pPr>
              <w:spacing w:after="0"/>
              <w:rPr>
                <w:sz w:val="1"/>
                <w:szCs w:val="1"/>
                <w:color w:val="auto"/>
              </w:rPr>
            </w:pPr>
          </w:p>
        </w:tc>
      </w:tr>
      <w:tr>
        <w:trPr>
          <w:trHeight w:val="24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41,102</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41,334</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115,971</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110,018</w:t>
            </w:r>
          </w:p>
        </w:tc>
        <w:tc>
          <w:tcPr>
            <w:tcW w:w="0" w:type="dxa"/>
            <w:vAlign w:val="bottom"/>
          </w:tcPr>
          <w:p>
            <w:pPr>
              <w:spacing w:after="0"/>
              <w:rPr>
                <w:sz w:val="1"/>
                <w:szCs w:val="1"/>
                <w:color w:val="auto"/>
              </w:rPr>
            </w:pPr>
          </w:p>
        </w:tc>
      </w:tr>
      <w:tr>
        <w:trPr>
          <w:trHeight w:val="257"/>
        </w:trPr>
        <w:tc>
          <w:tcPr>
            <w:tcW w:w="3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Foreign currency translation, net of</w:t>
            </w:r>
          </w:p>
        </w:tc>
        <w:tc>
          <w:tcPr>
            <w:tcW w:w="2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352</w:t>
            </w:r>
          </w:p>
        </w:tc>
        <w:tc>
          <w:tcPr>
            <w:tcW w:w="0" w:type="dxa"/>
            <w:vAlign w:val="bottom"/>
          </w:tcPr>
          <w:p>
            <w:pPr>
              <w:spacing w:after="0"/>
              <w:rPr>
                <w:sz w:val="1"/>
                <w:szCs w:val="1"/>
                <w:color w:val="auto"/>
              </w:rPr>
            </w:pPr>
          </w:p>
        </w:tc>
      </w:tr>
      <w:tr>
        <w:trPr>
          <w:trHeight w:val="213"/>
        </w:trPr>
        <w:tc>
          <w:tcPr>
            <w:tcW w:w="3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reclassification adjustments</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41,411</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41,429</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115,467</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110,370</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 from net income:</w:t>
            </w: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3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14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14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40" w:type="dxa"/>
            <w:vAlign w:val="bottom"/>
          </w:tcPr>
          <w:p>
            <w:pPr>
              <w:spacing w:after="0"/>
              <w:rPr>
                <w:sz w:val="22"/>
                <w:szCs w:val="22"/>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59"/>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53"/>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100,923,690</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100,024,230</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100,787,087</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99,852,203</w:t>
            </w:r>
          </w:p>
        </w:tc>
        <w:tc>
          <w:tcPr>
            <w:tcW w:w="0" w:type="dxa"/>
            <w:vAlign w:val="bottom"/>
          </w:tcPr>
          <w:p>
            <w:pPr>
              <w:spacing w:after="0"/>
              <w:rPr>
                <w:sz w:val="1"/>
                <w:szCs w:val="1"/>
                <w:color w:val="auto"/>
              </w:rPr>
            </w:pPr>
          </w:p>
        </w:tc>
      </w:tr>
      <w:tr>
        <w:trPr>
          <w:trHeight w:val="250"/>
        </w:trPr>
        <w:tc>
          <w:tcPr>
            <w:tcW w:w="3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101,635,521</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101,270,163</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101,669,998</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101,240,471</w:t>
            </w: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6"/>
          <w:szCs w:val="16"/>
          <w:i w:val="1"/>
          <w:iCs w:val="1"/>
          <w:color w:val="auto"/>
        </w:rPr>
        <w:t>See accompanying notes to the unaudited consolidated financial statements.</w:t>
      </w:r>
    </w:p>
    <w:p>
      <w:pPr>
        <w:spacing w:after="0" w:line="3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20" w:top="121" w:right="9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i w:val="1"/>
          <w:iCs w:val="1"/>
          <w:color w:val="auto"/>
        </w:rPr>
        <w:t>(Unaudited, dollars in thousands)</w:t>
      </w:r>
    </w:p>
    <w:p>
      <w:pPr>
        <w:spacing w:after="0" w:line="333" w:lineRule="exact"/>
        <w:rPr>
          <w:sz w:val="20"/>
          <w:szCs w:val="20"/>
          <w:color w:val="auto"/>
        </w:rPr>
      </w:pPr>
    </w:p>
    <w:tbl>
      <w:tblPr>
        <w:tblLayout w:type="fixed"/>
        <w:tblInd w:w="700" w:type="dxa"/>
        <w:tblCellMar>
          <w:top w:w="0" w:type="dxa"/>
          <w:left w:w="0" w:type="dxa"/>
          <w:bottom w:w="0" w:type="dxa"/>
          <w:right w:w="0" w:type="dxa"/>
        </w:tblCellMar>
      </w:tblPr>
      <w:tr>
        <w:trPr>
          <w:trHeight w:val="213"/>
        </w:trPr>
        <w:tc>
          <w:tcPr>
            <w:tcW w:w="66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color w:val="auto"/>
              </w:rPr>
              <w:t>Thirty-Nine Weeks Ended</w:t>
            </w:r>
          </w:p>
        </w:tc>
      </w:tr>
      <w:tr>
        <w:trPr>
          <w:trHeight w:val="210"/>
        </w:trPr>
        <w:tc>
          <w:tcPr>
            <w:tcW w:w="6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May 31, 2025</w:t>
            </w:r>
          </w:p>
        </w:tc>
        <w:tc>
          <w:tcPr>
            <w:tcW w:w="200" w:type="dxa"/>
            <w:vAlign w:val="bottom"/>
          </w:tcPr>
          <w:p>
            <w:pPr>
              <w:spacing w:after="0"/>
              <w:rPr>
                <w:sz w:val="18"/>
                <w:szCs w:val="18"/>
                <w:color w:val="auto"/>
              </w:rPr>
            </w:pPr>
          </w:p>
        </w:tc>
        <w:tc>
          <w:tcPr>
            <w:tcW w:w="13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May 25, 2024</w:t>
            </w:r>
          </w:p>
        </w:tc>
      </w:tr>
      <w:tr>
        <w:trPr>
          <w:trHeight w:val="199"/>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2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115,971</w:t>
            </w:r>
          </w:p>
        </w:tc>
        <w:tc>
          <w:tcPr>
            <w:tcW w:w="140" w:type="dxa"/>
            <w:vAlign w:val="bottom"/>
          </w:tcPr>
          <w:p>
            <w:pPr>
              <w:spacing w:after="0"/>
              <w:rPr>
                <w:sz w:val="18"/>
                <w:szCs w:val="18"/>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110,018</w:t>
            </w: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6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8"/>
                <w:szCs w:val="18"/>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15,480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15,871</w:t>
            </w:r>
          </w:p>
        </w:tc>
      </w:tr>
      <w:tr>
        <w:trPr>
          <w:trHeight w:val="219"/>
        </w:trPr>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of deferred financing costs and debt discount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1,334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1,213</w:t>
            </w:r>
          </w:p>
        </w:tc>
      </w:tr>
      <w:tr>
        <w:trPr>
          <w:trHeight w:val="213"/>
        </w:trPr>
        <w:tc>
          <w:tcPr>
            <w:tcW w:w="6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200" w:type="dxa"/>
            <w:vAlign w:val="bottom"/>
          </w:tcPr>
          <w:p>
            <w:pPr>
              <w:spacing w:after="0"/>
              <w:rPr>
                <w:sz w:val="18"/>
                <w:szCs w:val="18"/>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12,819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13,209</w:t>
            </w:r>
          </w:p>
        </w:tc>
      </w:tr>
      <w:tr>
        <w:trPr>
          <w:trHeight w:val="219"/>
        </w:trPr>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Estimated credit losses (gains)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r>
      <w:tr>
        <w:trPr>
          <w:trHeight w:val="213"/>
        </w:trPr>
        <w:tc>
          <w:tcPr>
            <w:tcW w:w="6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Unrealized gain (loss) on foreign currency transactions</w:t>
            </w:r>
          </w:p>
        </w:tc>
        <w:tc>
          <w:tcPr>
            <w:tcW w:w="200" w:type="dxa"/>
            <w:vAlign w:val="bottom"/>
          </w:tcPr>
          <w:p>
            <w:pPr>
              <w:spacing w:after="0"/>
              <w:rPr>
                <w:sz w:val="18"/>
                <w:szCs w:val="18"/>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r>
      <w:tr>
        <w:trPr>
          <w:trHeight w:val="219"/>
        </w:trPr>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Deferred income taxes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10,583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12,416</w:t>
            </w:r>
          </w:p>
        </w:tc>
      </w:tr>
      <w:tr>
        <w:trPr>
          <w:trHeight w:val="213"/>
        </w:trPr>
        <w:tc>
          <w:tcPr>
            <w:tcW w:w="6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Amortization of operating lease right-of-use asset</w:t>
            </w:r>
          </w:p>
        </w:tc>
        <w:tc>
          <w:tcPr>
            <w:tcW w:w="200" w:type="dxa"/>
            <w:vAlign w:val="bottom"/>
          </w:tcPr>
          <w:p>
            <w:pPr>
              <w:spacing w:after="0"/>
              <w:rPr>
                <w:sz w:val="18"/>
                <w:szCs w:val="18"/>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5,192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5,265</w:t>
            </w:r>
          </w:p>
        </w:tc>
      </w:tr>
      <w:tr>
        <w:trPr>
          <w:trHeight w:val="219"/>
        </w:trPr>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1,063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2,329</w:t>
            </w:r>
          </w:p>
        </w:tc>
      </w:tr>
      <w:tr>
        <w:trPr>
          <w:trHeight w:val="213"/>
        </w:trPr>
        <w:tc>
          <w:tcPr>
            <w:tcW w:w="6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Accounts receivable, net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w:t>
            </w:r>
          </w:p>
        </w:tc>
      </w:tr>
      <w:tr>
        <w:trPr>
          <w:trHeight w:val="213"/>
        </w:trPr>
        <w:tc>
          <w:tcPr>
            <w:tcW w:w="6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(23,185)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9,423</w:t>
            </w:r>
          </w:p>
        </w:tc>
      </w:tr>
      <w:tr>
        <w:trPr>
          <w:trHeight w:val="219"/>
        </w:trPr>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Prepaid expenses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(2,309)</w:t>
            </w:r>
          </w:p>
        </w:tc>
      </w:tr>
      <w:tr>
        <w:trPr>
          <w:trHeight w:val="213"/>
        </w:trPr>
        <w:tc>
          <w:tcPr>
            <w:tcW w:w="6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current assets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2,248</w:t>
            </w:r>
          </w:p>
        </w:tc>
      </w:tr>
      <w:tr>
        <w:trPr>
          <w:trHeight w:val="219"/>
        </w:trPr>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12,887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3,370</w:t>
            </w:r>
          </w:p>
        </w:tc>
      </w:tr>
      <w:tr>
        <w:trPr>
          <w:trHeight w:val="213"/>
        </w:trPr>
        <w:tc>
          <w:tcPr>
            <w:tcW w:w="6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Accrued interest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w:t>
            </w:r>
          </w:p>
        </w:tc>
      </w:tr>
      <w:tr>
        <w:trPr>
          <w:trHeight w:val="219"/>
        </w:trPr>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w:t>
            </w:r>
          </w:p>
        </w:tc>
      </w:tr>
      <w:tr>
        <w:trPr>
          <w:trHeight w:val="213"/>
        </w:trPr>
        <w:tc>
          <w:tcPr>
            <w:tcW w:w="66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(3,844)</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(3,951)</w:t>
            </w:r>
          </w:p>
        </w:tc>
      </w:tr>
      <w:tr>
        <w:trPr>
          <w:trHeight w:val="20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133,087</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166,755</w:t>
            </w:r>
          </w:p>
        </w:tc>
      </w:tr>
      <w:tr>
        <w:trPr>
          <w:trHeight w:val="199"/>
        </w:trPr>
        <w:tc>
          <w:tcPr>
            <w:tcW w:w="6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6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(1,838)</w:t>
            </w:r>
          </w:p>
        </w:tc>
      </w:tr>
      <w:tr>
        <w:trPr>
          <w:trHeight w:val="219"/>
        </w:trPr>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Acquisition of business, net of cash acquired</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1,713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6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Investments in intangible and other assets</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(1,389)</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w:t>
            </w:r>
          </w:p>
        </w:tc>
      </w:tr>
      <w:tr>
        <w:trPr>
          <w:trHeight w:val="21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(2,192)</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(2,345)</w:t>
            </w:r>
          </w:p>
        </w:tc>
      </w:tr>
      <w:tr>
        <w:trPr>
          <w:trHeight w:val="199"/>
        </w:trPr>
        <w:tc>
          <w:tcPr>
            <w:tcW w:w="6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option exercises</w:t>
            </w:r>
          </w:p>
        </w:tc>
        <w:tc>
          <w:tcPr>
            <w:tcW w:w="200" w:type="dxa"/>
            <w:vAlign w:val="bottom"/>
          </w:tcPr>
          <w:p>
            <w:pPr>
              <w:spacing w:after="0"/>
              <w:rPr>
                <w:sz w:val="18"/>
                <w:szCs w:val="18"/>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11,956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4,292</w:t>
            </w:r>
          </w:p>
        </w:tc>
      </w:tr>
      <w:tr>
        <w:trPr>
          <w:trHeight w:val="219"/>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Tax payments related to issuance of restricted stock units and performance stock units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(4,818)</w:t>
            </w:r>
          </w:p>
        </w:tc>
      </w:tr>
      <w:tr>
        <w:trPr>
          <w:trHeight w:val="213"/>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Payments on finance lease obligations</w:t>
            </w:r>
          </w:p>
        </w:tc>
        <w:tc>
          <w:tcPr>
            <w:tcW w:w="20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19"/>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received on repayment of note receivable</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2,100</w:t>
            </w:r>
          </w:p>
        </w:tc>
      </w:tr>
      <w:tr>
        <w:trPr>
          <w:trHeight w:val="213"/>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(24,338)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Principal payments of long-term debt</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w:t>
            </w:r>
          </w:p>
        </w:tc>
      </w:tr>
      <w:tr>
        <w:trPr>
          <w:trHeight w:val="207"/>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(165,206)</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(43,569)</w:t>
            </w:r>
          </w:p>
        </w:tc>
      </w:tr>
      <w:tr>
        <w:trPr>
          <w:trHeight w:val="199"/>
        </w:trPr>
        <w:tc>
          <w:tcPr>
            <w:tcW w:w="6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(decrease) increase in cash</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(34,311)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120,841</w:t>
            </w:r>
          </w:p>
        </w:tc>
      </w:tr>
      <w:tr>
        <w:trPr>
          <w:trHeight w:val="213"/>
        </w:trPr>
        <w:tc>
          <w:tcPr>
            <w:tcW w:w="6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Effect of exchange rate on cash</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125</w:t>
            </w:r>
          </w:p>
        </w:tc>
      </w:tr>
      <w:tr>
        <w:trPr>
          <w:trHeight w:val="216"/>
        </w:trPr>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at beginning of period</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132,530</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87,715</w:t>
            </w:r>
          </w:p>
        </w:tc>
      </w:tr>
      <w:tr>
        <w:trPr>
          <w:trHeight w:val="212"/>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98,008</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208,681</w:t>
            </w:r>
          </w:p>
        </w:tc>
      </w:tr>
      <w:tr>
        <w:trPr>
          <w:trHeight w:val="20"/>
        </w:trPr>
        <w:tc>
          <w:tcPr>
            <w:tcW w:w="6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21" w:right="10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5" w:lineRule="exact"/>
        <w:rPr>
          <w:sz w:val="20"/>
          <w:szCs w:val="20"/>
          <w:color w:val="auto"/>
        </w:rPr>
      </w:pPr>
    </w:p>
    <w:tbl>
      <w:tblPr>
        <w:tblLayout w:type="fixed"/>
        <w:tblInd w:w="600" w:type="dxa"/>
        <w:tblCellMar>
          <w:top w:w="0" w:type="dxa"/>
          <w:left w:w="0" w:type="dxa"/>
          <w:bottom w:w="0" w:type="dxa"/>
          <w:right w:w="0" w:type="dxa"/>
        </w:tblCellMar>
      </w:tblPr>
      <w:tr>
        <w:trPr>
          <w:trHeight w:val="213"/>
        </w:trPr>
        <w:tc>
          <w:tcPr>
            <w:tcW w:w="68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color w:val="auto"/>
              </w:rPr>
              <w:t>Thirty-Nine Weeks Ended</w:t>
            </w:r>
          </w:p>
        </w:tc>
      </w:tr>
      <w:tr>
        <w:trPr>
          <w:trHeight w:val="210"/>
        </w:trPr>
        <w:tc>
          <w:tcPr>
            <w:tcW w:w="6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May 31, 2025</w:t>
            </w:r>
          </w:p>
        </w:tc>
        <w:tc>
          <w:tcPr>
            <w:tcW w:w="200" w:type="dxa"/>
            <w:vAlign w:val="bottom"/>
          </w:tcPr>
          <w:p>
            <w:pPr>
              <w:spacing w:after="0"/>
              <w:rPr>
                <w:sz w:val="18"/>
                <w:szCs w:val="18"/>
                <w:color w:val="auto"/>
              </w:rPr>
            </w:pPr>
          </w:p>
        </w:tc>
        <w:tc>
          <w:tcPr>
            <w:tcW w:w="13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May 25, 2024</w:t>
            </w:r>
          </w:p>
        </w:tc>
      </w:tr>
      <w:tr>
        <w:trPr>
          <w:trHeight w:val="253"/>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20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r>
      <w:tr>
        <w:trPr>
          <w:trHeight w:val="267"/>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interest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17,986</w:t>
            </w:r>
          </w:p>
        </w:tc>
        <w:tc>
          <w:tcPr>
            <w:tcW w:w="14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16,013</w:t>
            </w:r>
          </w:p>
        </w:tc>
      </w:tr>
      <w:tr>
        <w:trPr>
          <w:trHeight w:val="273"/>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paid for taxes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29,112</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23,801</w:t>
            </w:r>
          </w:p>
        </w:tc>
      </w:tr>
      <w:tr>
        <w:trPr>
          <w:trHeight w:val="267"/>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transactions</w:t>
            </w: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3"/>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assets recognized in exchange for lease liabilities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15,880</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7"/>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credits for repayment of note receivable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4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w:t>
            </w:r>
          </w:p>
        </w:tc>
      </w:tr>
      <w:tr>
        <w:trPr>
          <w:trHeight w:val="273"/>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additions to property and equipment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64"/>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additions to intangible assets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4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328"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6"/>
          <w:szCs w:val="16"/>
          <w:i w:val="1"/>
          <w:iCs w:val="1"/>
          <w:color w:val="auto"/>
        </w:rPr>
        <w:t>See accompanying notes to the unaudited consolidated financial statements.</w:t>
      </w:r>
    </w:p>
    <w:p>
      <w:pPr>
        <w:spacing w:after="0" w:line="3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1" w:right="9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i w:val="1"/>
          <w:iCs w:val="1"/>
          <w:color w:val="auto"/>
        </w:rPr>
        <w:t>(Unaudited, dollars in thousands, except share data)</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1700" w:type="dxa"/>
            <w:vAlign w:val="bottom"/>
          </w:tcPr>
          <w:p>
            <w:pPr>
              <w:spacing w:after="0"/>
              <w:rPr>
                <w:sz w:val="16"/>
                <w:szCs w:val="16"/>
                <w:color w:val="auto"/>
              </w:rPr>
            </w:pPr>
          </w:p>
        </w:tc>
        <w:tc>
          <w:tcPr>
            <w:tcW w:w="1920" w:type="dxa"/>
            <w:vAlign w:val="bottom"/>
            <w:gridSpan w:val="5"/>
            <w:vMerge w:val="restart"/>
          </w:tcPr>
          <w:p>
            <w:pPr>
              <w:ind w:left="400"/>
              <w:spacing w:after="0"/>
              <w:rPr>
                <w:sz w:val="20"/>
                <w:szCs w:val="20"/>
                <w:color w:val="auto"/>
              </w:rPr>
            </w:pPr>
            <w:r>
              <w:rPr>
                <w:rFonts w:ascii="Times New Roman" w:cs="Times New Roman" w:eastAsia="Times New Roman" w:hAnsi="Times New Roman"/>
                <w:sz w:val="16"/>
                <w:szCs w:val="16"/>
                <w:color w:val="auto"/>
              </w:rPr>
              <w:t>Common Stock</w:t>
            </w:r>
          </w:p>
        </w:tc>
        <w:tc>
          <w:tcPr>
            <w:tcW w:w="1880" w:type="dxa"/>
            <w:vAlign w:val="bottom"/>
            <w:gridSpan w:val="5"/>
            <w:vMerge w:val="restart"/>
          </w:tcPr>
          <w:p>
            <w:pPr>
              <w:ind w:left="380"/>
              <w:spacing w:after="0"/>
              <w:rPr>
                <w:sz w:val="20"/>
                <w:szCs w:val="20"/>
                <w:color w:val="auto"/>
              </w:rPr>
            </w:pPr>
            <w:r>
              <w:rPr>
                <w:rFonts w:ascii="Times New Roman" w:cs="Times New Roman" w:eastAsia="Times New Roman" w:hAnsi="Times New Roman"/>
                <w:sz w:val="16"/>
                <w:szCs w:val="16"/>
                <w:color w:val="auto"/>
              </w:rPr>
              <w:t>Treasury Stock</w:t>
            </w:r>
          </w:p>
        </w:tc>
        <w:tc>
          <w:tcPr>
            <w:tcW w:w="12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9"/>
              </w:rPr>
              <w:t>Additional</w:t>
            </w:r>
          </w:p>
        </w:tc>
        <w:tc>
          <w:tcPr>
            <w:tcW w:w="180" w:type="dxa"/>
            <w:vAlign w:val="bottom"/>
          </w:tcPr>
          <w:p>
            <w:pPr>
              <w:spacing w:after="0"/>
              <w:rPr>
                <w:sz w:val="16"/>
                <w:szCs w:val="16"/>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Retained</w:t>
            </w: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Accumulated Other</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700" w:type="dxa"/>
            <w:vAlign w:val="bottom"/>
          </w:tcPr>
          <w:p>
            <w:pPr>
              <w:spacing w:after="0"/>
              <w:rPr>
                <w:sz w:val="7"/>
                <w:szCs w:val="7"/>
                <w:color w:val="auto"/>
              </w:rPr>
            </w:pPr>
          </w:p>
        </w:tc>
        <w:tc>
          <w:tcPr>
            <w:tcW w:w="1920" w:type="dxa"/>
            <w:vAlign w:val="bottom"/>
            <w:gridSpan w:val="5"/>
            <w:vMerge w:val="continue"/>
          </w:tcPr>
          <w:p>
            <w:pPr>
              <w:spacing w:after="0"/>
              <w:rPr>
                <w:sz w:val="7"/>
                <w:szCs w:val="7"/>
                <w:color w:val="auto"/>
              </w:rPr>
            </w:pPr>
          </w:p>
        </w:tc>
        <w:tc>
          <w:tcPr>
            <w:tcW w:w="188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gridSpan w:val="2"/>
            <w:vMerge w:val="restart"/>
          </w:tcPr>
          <w:p>
            <w:pPr>
              <w:jc w:val="center"/>
              <w:ind w:right="260"/>
              <w:spacing w:after="0" w:line="142" w:lineRule="exact"/>
              <w:rPr>
                <w:sz w:val="20"/>
                <w:szCs w:val="20"/>
                <w:color w:val="auto"/>
              </w:rPr>
            </w:pPr>
            <w:r>
              <w:rPr>
                <w:rFonts w:ascii="Times New Roman" w:cs="Times New Roman" w:eastAsia="Times New Roman" w:hAnsi="Times New Roman"/>
                <w:sz w:val="16"/>
                <w:szCs w:val="16"/>
                <w:color w:val="auto"/>
              </w:rPr>
              <w:t>Paid-In</w:t>
            </w:r>
          </w:p>
        </w:tc>
        <w:tc>
          <w:tcPr>
            <w:tcW w:w="18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340" w:type="dxa"/>
            <w:vAlign w:val="bottom"/>
            <w:gridSpan w:val="2"/>
            <w:vMerge w:val="restart"/>
          </w:tcPr>
          <w:p>
            <w:pPr>
              <w:jc w:val="center"/>
              <w:ind w:right="280"/>
              <w:spacing w:after="0" w:line="142" w:lineRule="exact"/>
              <w:rPr>
                <w:sz w:val="20"/>
                <w:szCs w:val="20"/>
                <w:color w:val="auto"/>
              </w:rPr>
            </w:pPr>
            <w:r>
              <w:rPr>
                <w:rFonts w:ascii="Times New Roman" w:cs="Times New Roman" w:eastAsia="Times New Roman" w:hAnsi="Times New Roman"/>
                <w:sz w:val="16"/>
                <w:szCs w:val="16"/>
                <w:color w:val="auto"/>
              </w:rPr>
              <w:t>Comprehensive</w:t>
            </w:r>
          </w:p>
        </w:tc>
        <w:tc>
          <w:tcPr>
            <w:tcW w:w="180" w:type="dxa"/>
            <w:vAlign w:val="bottom"/>
          </w:tcPr>
          <w:p>
            <w:pPr>
              <w:spacing w:after="0"/>
              <w:rPr>
                <w:sz w:val="7"/>
                <w:szCs w:val="7"/>
                <w:color w:val="auto"/>
              </w:rPr>
            </w:pPr>
          </w:p>
        </w:tc>
        <w:tc>
          <w:tcPr>
            <w:tcW w:w="800" w:type="dxa"/>
            <w:vAlign w:val="bottom"/>
            <w:vMerge w:val="restart"/>
          </w:tcPr>
          <w:p>
            <w:pPr>
              <w:jc w:val="right"/>
              <w:ind w:right="239"/>
              <w:spacing w:after="0" w:line="142" w:lineRule="exact"/>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81"/>
        </w:trPr>
        <w:tc>
          <w:tcPr>
            <w:tcW w:w="1700" w:type="dxa"/>
            <w:vAlign w:val="bottom"/>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Earnings</w:t>
            </w:r>
          </w:p>
        </w:tc>
        <w:tc>
          <w:tcPr>
            <w:tcW w:w="14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700" w:type="dxa"/>
            <w:vAlign w:val="bottom"/>
          </w:tcPr>
          <w:p>
            <w:pPr>
              <w:spacing w:after="0"/>
              <w:rPr>
                <w:sz w:val="9"/>
                <w:szCs w:val="9"/>
                <w:color w:val="auto"/>
              </w:rPr>
            </w:pPr>
          </w:p>
        </w:tc>
        <w:tc>
          <w:tcPr>
            <w:tcW w:w="10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auto"/>
              </w:rPr>
              <w:t>Shares</w:t>
            </w:r>
          </w:p>
        </w:tc>
        <w:tc>
          <w:tcPr>
            <w:tcW w:w="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auto"/>
              </w:rPr>
              <w:t>Amount</w:t>
            </w: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Shares</w:t>
            </w:r>
          </w:p>
        </w:tc>
        <w:tc>
          <w:tcPr>
            <w:tcW w:w="120" w:type="dxa"/>
            <w:vAlign w:val="bottom"/>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Amount</w:t>
            </w:r>
          </w:p>
        </w:tc>
        <w:tc>
          <w:tcPr>
            <w:tcW w:w="120" w:type="dxa"/>
            <w:vAlign w:val="bottom"/>
          </w:tcPr>
          <w:p>
            <w:pPr>
              <w:spacing w:after="0"/>
              <w:rPr>
                <w:sz w:val="9"/>
                <w:szCs w:val="9"/>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color w:val="auto"/>
              </w:rPr>
              <w:t>Capital</w:t>
            </w:r>
          </w:p>
        </w:tc>
        <w:tc>
          <w:tcPr>
            <w:tcW w:w="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color w:val="auto"/>
                <w:w w:val="99"/>
              </w:rPr>
              <w:t>Loss</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70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1700" w:type="dxa"/>
            <w:vAlign w:val="bottom"/>
            <w:tcBorders>
              <w:top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Balance at August 31,</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102,515,315</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2,365,100</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(78,451)</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1,319,686</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487,265</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1,727,486</w:t>
            </w:r>
          </w:p>
        </w:tc>
        <w:tc>
          <w:tcPr>
            <w:tcW w:w="0" w:type="dxa"/>
            <w:vAlign w:val="bottom"/>
          </w:tcPr>
          <w:p>
            <w:pPr>
              <w:spacing w:after="0"/>
              <w:rPr>
                <w:sz w:val="1"/>
                <w:szCs w:val="1"/>
                <w:color w:val="auto"/>
              </w:rPr>
            </w:pPr>
          </w:p>
        </w:tc>
      </w:tr>
      <w:tr>
        <w:trPr>
          <w:trHeight w:val="209"/>
        </w:trPr>
        <w:tc>
          <w:tcPr>
            <w:tcW w:w="1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0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gridSpan w:val="2"/>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700" w:type="dxa"/>
            <w:vAlign w:val="bottom"/>
            <w:tcBorders>
              <w:top w:val="single" w:sz="8" w:color="CCEEFF"/>
            </w:tcBorders>
            <w:vMerge w:val="continue"/>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38,122</w:t>
            </w: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38,122</w:t>
            </w:r>
          </w:p>
        </w:tc>
        <w:tc>
          <w:tcPr>
            <w:tcW w:w="0" w:type="dxa"/>
            <w:vAlign w:val="bottom"/>
          </w:tcPr>
          <w:p>
            <w:pPr>
              <w:spacing w:after="0"/>
              <w:rPr>
                <w:sz w:val="1"/>
                <w:szCs w:val="1"/>
                <w:color w:val="auto"/>
              </w:rPr>
            </w:pPr>
          </w:p>
        </w:tc>
      </w:tr>
      <w:tr>
        <w:trPr>
          <w:trHeight w:val="165"/>
        </w:trPr>
        <w:tc>
          <w:tcPr>
            <w:tcW w:w="170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Stock-based</w:t>
            </w:r>
          </w:p>
        </w:tc>
        <w:tc>
          <w:tcPr>
            <w:tcW w:w="10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3,654</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3,654</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10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Foreign currency</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10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0" w:type="dxa"/>
            <w:vAlign w:val="bottom"/>
          </w:tcPr>
          <w:p>
            <w:pPr>
              <w:spacing w:after="0"/>
              <w:rPr>
                <w:sz w:val="1"/>
                <w:szCs w:val="1"/>
                <w:color w:val="auto"/>
              </w:rPr>
            </w:pPr>
          </w:p>
        </w:tc>
      </w:tr>
      <w:tr>
        <w:trPr>
          <w:trHeight w:val="213"/>
        </w:trPr>
        <w:tc>
          <w:tcPr>
            <w:tcW w:w="1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adjustments</w:t>
            </w:r>
          </w:p>
        </w:tc>
        <w:tc>
          <w:tcPr>
            <w:tcW w:w="10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0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Shares issued upon</w:t>
            </w: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vesting of restricted</w:t>
            </w: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stock units and</w:t>
            </w: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performance stock</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164,093</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(2,317)</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(2,315)</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units</w:t>
            </w: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Exercise of options to</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purchase common</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713,751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tcPr>
          <w:p>
            <w:pPr>
              <w:spacing w:after="0"/>
              <w:rPr>
                <w:sz w:val="14"/>
                <w:szCs w:val="14"/>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9,977</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3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9,984</w:t>
            </w:r>
          </w:p>
        </w:tc>
        <w:tc>
          <w:tcPr>
            <w:tcW w:w="0" w:type="dxa"/>
            <w:vAlign w:val="bottom"/>
          </w:tcPr>
          <w:p>
            <w:pPr>
              <w:spacing w:after="0"/>
              <w:rPr>
                <w:sz w:val="1"/>
                <w:szCs w:val="1"/>
                <w:color w:val="auto"/>
              </w:rPr>
            </w:pPr>
          </w:p>
        </w:tc>
      </w:tr>
      <w:tr>
        <w:trPr>
          <w:trHeight w:val="213"/>
        </w:trPr>
        <w:tc>
          <w:tcPr>
            <w:tcW w:w="1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w:t>
            </w: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1700" w:type="dxa"/>
            <w:vAlign w:val="bottom"/>
            <w:tcBorders>
              <w:top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Balance at November</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103,393,159</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2,365,100</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(78,451)</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1,331,000</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525,387</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1,776,544</w:t>
            </w:r>
          </w:p>
        </w:tc>
        <w:tc>
          <w:tcPr>
            <w:tcW w:w="0" w:type="dxa"/>
            <w:vAlign w:val="bottom"/>
          </w:tcPr>
          <w:p>
            <w:pPr>
              <w:spacing w:after="0"/>
              <w:rPr>
                <w:sz w:val="1"/>
                <w:szCs w:val="1"/>
                <w:color w:val="auto"/>
              </w:rPr>
            </w:pPr>
          </w:p>
        </w:tc>
      </w:tr>
      <w:tr>
        <w:trPr>
          <w:trHeight w:val="209"/>
        </w:trPr>
        <w:tc>
          <w:tcPr>
            <w:tcW w:w="1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30, 2024</w:t>
            </w: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0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gridSpan w:val="2"/>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700" w:type="dxa"/>
            <w:vAlign w:val="bottom"/>
            <w:tcBorders>
              <w:top w:val="single" w:sz="8" w:color="CCEEFF"/>
            </w:tcBorders>
            <w:vMerge w:val="continue"/>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36,747</w:t>
            </w: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36,747</w:t>
            </w:r>
          </w:p>
        </w:tc>
        <w:tc>
          <w:tcPr>
            <w:tcW w:w="0" w:type="dxa"/>
            <w:vAlign w:val="bottom"/>
          </w:tcPr>
          <w:p>
            <w:pPr>
              <w:spacing w:after="0"/>
              <w:rPr>
                <w:sz w:val="1"/>
                <w:szCs w:val="1"/>
                <w:color w:val="auto"/>
              </w:rPr>
            </w:pPr>
          </w:p>
        </w:tc>
      </w:tr>
      <w:tr>
        <w:trPr>
          <w:trHeight w:val="165"/>
        </w:trPr>
        <w:tc>
          <w:tcPr>
            <w:tcW w:w="170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Stock-based</w:t>
            </w:r>
          </w:p>
        </w:tc>
        <w:tc>
          <w:tcPr>
            <w:tcW w:w="10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4,947</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4,947</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10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Foreign currency</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10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0" w:type="dxa"/>
            <w:vAlign w:val="bottom"/>
          </w:tcPr>
          <w:p>
            <w:pPr>
              <w:spacing w:after="0"/>
              <w:rPr>
                <w:sz w:val="1"/>
                <w:szCs w:val="1"/>
                <w:color w:val="auto"/>
              </w:rPr>
            </w:pPr>
          </w:p>
        </w:tc>
      </w:tr>
      <w:tr>
        <w:trPr>
          <w:trHeight w:val="213"/>
        </w:trPr>
        <w:tc>
          <w:tcPr>
            <w:tcW w:w="1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adjustments</w:t>
            </w:r>
          </w:p>
        </w:tc>
        <w:tc>
          <w:tcPr>
            <w:tcW w:w="10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0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Shares issued upon</w:t>
            </w: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vesting of restricted</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18,229</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 units</w:t>
            </w: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Exercise of options to</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purchase common</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3,914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3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13"/>
        </w:trPr>
        <w:tc>
          <w:tcPr>
            <w:tcW w:w="1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w:t>
            </w: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1700" w:type="dxa"/>
            <w:vAlign w:val="bottom"/>
            <w:tcBorders>
              <w:top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Balance at March 1,</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103,415,302</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2,365,100</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(78,451)</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1,335,892</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562,134</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(2,852)</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1,817,757</w:t>
            </w:r>
          </w:p>
        </w:tc>
        <w:tc>
          <w:tcPr>
            <w:tcW w:w="0" w:type="dxa"/>
            <w:vAlign w:val="bottom"/>
          </w:tcPr>
          <w:p>
            <w:pPr>
              <w:spacing w:after="0"/>
              <w:rPr>
                <w:sz w:val="1"/>
                <w:szCs w:val="1"/>
                <w:color w:val="auto"/>
              </w:rPr>
            </w:pPr>
          </w:p>
        </w:tc>
      </w:tr>
      <w:tr>
        <w:trPr>
          <w:trHeight w:val="209"/>
        </w:trPr>
        <w:tc>
          <w:tcPr>
            <w:tcW w:w="1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0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gridSpan w:val="2"/>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700" w:type="dxa"/>
            <w:vAlign w:val="bottom"/>
            <w:tcBorders>
              <w:top w:val="single" w:sz="8" w:color="CCEEFF"/>
            </w:tcBorders>
            <w:vMerge w:val="continue"/>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41,102</w:t>
            </w: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41,102</w:t>
            </w:r>
          </w:p>
        </w:tc>
        <w:tc>
          <w:tcPr>
            <w:tcW w:w="0" w:type="dxa"/>
            <w:vAlign w:val="bottom"/>
          </w:tcPr>
          <w:p>
            <w:pPr>
              <w:spacing w:after="0"/>
              <w:rPr>
                <w:sz w:val="1"/>
                <w:szCs w:val="1"/>
                <w:color w:val="auto"/>
              </w:rPr>
            </w:pPr>
          </w:p>
        </w:tc>
      </w:tr>
      <w:tr>
        <w:trPr>
          <w:trHeight w:val="165"/>
        </w:trPr>
        <w:tc>
          <w:tcPr>
            <w:tcW w:w="170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Stock-based</w:t>
            </w:r>
          </w:p>
        </w:tc>
        <w:tc>
          <w:tcPr>
            <w:tcW w:w="10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4,602</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4,602</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10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Foreign currency</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10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0" w:type="dxa"/>
            <w:vAlign w:val="bottom"/>
          </w:tcPr>
          <w:p>
            <w:pPr>
              <w:spacing w:after="0"/>
              <w:rPr>
                <w:sz w:val="1"/>
                <w:szCs w:val="1"/>
                <w:color w:val="auto"/>
              </w:rPr>
            </w:pPr>
          </w:p>
        </w:tc>
      </w:tr>
      <w:tr>
        <w:trPr>
          <w:trHeight w:val="213"/>
        </w:trPr>
        <w:tc>
          <w:tcPr>
            <w:tcW w:w="1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adjustments</w:t>
            </w:r>
          </w:p>
        </w:tc>
        <w:tc>
          <w:tcPr>
            <w:tcW w:w="10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0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Repurchase of</w:t>
            </w:r>
          </w:p>
        </w:tc>
        <w:tc>
          <w:tcPr>
            <w:tcW w:w="10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693,375</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(24,338)</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(24,338)</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w:t>
            </w:r>
          </w:p>
        </w:tc>
        <w:tc>
          <w:tcPr>
            <w:tcW w:w="10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Shares issued upon</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vesting of restricted</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17,400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3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0" w:type="dxa"/>
            <w:vAlign w:val="bottom"/>
          </w:tcPr>
          <w:p>
            <w:pPr>
              <w:spacing w:after="0"/>
              <w:rPr>
                <w:sz w:val="1"/>
                <w:szCs w:val="1"/>
                <w:color w:val="auto"/>
              </w:rPr>
            </w:pPr>
          </w:p>
        </w:tc>
      </w:tr>
      <w:tr>
        <w:trPr>
          <w:trHeight w:val="213"/>
        </w:trPr>
        <w:tc>
          <w:tcPr>
            <w:tcW w:w="1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 units</w:t>
            </w: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0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Exercise of options to</w:t>
            </w: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purchase common</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151,000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w:t>
            </w: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70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Balance at May 31,</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103,583,702</w:t>
            </w:r>
          </w:p>
        </w:tc>
        <w:tc>
          <w:tcPr>
            <w:tcW w:w="120" w:type="dxa"/>
            <w:vAlign w:val="bottom"/>
          </w:tcPr>
          <w:p>
            <w:pPr>
              <w:spacing w:after="0"/>
              <w:rPr>
                <w:sz w:val="12"/>
                <w:szCs w:val="12"/>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1,036</w:t>
            </w:r>
          </w:p>
        </w:tc>
        <w:tc>
          <w:tcPr>
            <w:tcW w:w="140" w:type="dxa"/>
            <w:vAlign w:val="bottom"/>
          </w:tcPr>
          <w:p>
            <w:pPr>
              <w:spacing w:after="0"/>
              <w:rPr>
                <w:sz w:val="12"/>
                <w:szCs w:val="12"/>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3,058,475</w:t>
            </w:r>
          </w:p>
        </w:tc>
        <w:tc>
          <w:tcPr>
            <w:tcW w:w="14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(102,789)</w:t>
            </w:r>
          </w:p>
        </w:tc>
        <w:tc>
          <w:tcPr>
            <w:tcW w:w="14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1,342,011</w:t>
            </w:r>
          </w:p>
        </w:tc>
        <w:tc>
          <w:tcPr>
            <w:tcW w:w="140" w:type="dxa"/>
            <w:vAlign w:val="bottom"/>
          </w:tcPr>
          <w:p>
            <w:pPr>
              <w:spacing w:after="0"/>
              <w:rPr>
                <w:sz w:val="12"/>
                <w:szCs w:val="12"/>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603,236</w:t>
            </w:r>
          </w:p>
        </w:tc>
        <w:tc>
          <w:tcPr>
            <w:tcW w:w="140" w:type="dxa"/>
            <w:vAlign w:val="bottom"/>
          </w:tcPr>
          <w:p>
            <w:pPr>
              <w:spacing w:after="0"/>
              <w:rPr>
                <w:sz w:val="12"/>
                <w:szCs w:val="12"/>
                <w:color w:val="auto"/>
              </w:rPr>
            </w:pPr>
          </w:p>
        </w:tc>
        <w:tc>
          <w:tcPr>
            <w:tcW w:w="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(2,543)</w:t>
            </w:r>
          </w:p>
        </w:tc>
        <w:tc>
          <w:tcPr>
            <w:tcW w:w="140" w:type="dxa"/>
            <w:vAlign w:val="bottom"/>
          </w:tcPr>
          <w:p>
            <w:pPr>
              <w:spacing w:after="0"/>
              <w:rPr>
                <w:sz w:val="12"/>
                <w:szCs w:val="12"/>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1,840,951</w:t>
            </w:r>
          </w:p>
        </w:tc>
        <w:tc>
          <w:tcPr>
            <w:tcW w:w="0" w:type="dxa"/>
            <w:vAlign w:val="bottom"/>
          </w:tcPr>
          <w:p>
            <w:pPr>
              <w:spacing w:after="0"/>
              <w:rPr>
                <w:sz w:val="1"/>
                <w:szCs w:val="1"/>
                <w:color w:val="auto"/>
              </w:rPr>
            </w:pPr>
          </w:p>
        </w:tc>
      </w:tr>
      <w:tr>
        <w:trPr>
          <w:trHeight w:val="194"/>
        </w:trPr>
        <w:tc>
          <w:tcPr>
            <w:tcW w:w="1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21" w:right="7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1740" w:type="dxa"/>
            <w:vAlign w:val="bottom"/>
          </w:tcPr>
          <w:p>
            <w:pPr>
              <w:spacing w:after="0"/>
              <w:rPr>
                <w:sz w:val="16"/>
                <w:szCs w:val="16"/>
                <w:color w:val="auto"/>
              </w:rPr>
            </w:pPr>
          </w:p>
        </w:tc>
        <w:tc>
          <w:tcPr>
            <w:tcW w:w="1920" w:type="dxa"/>
            <w:vAlign w:val="bottom"/>
            <w:gridSpan w:val="5"/>
            <w:vMerge w:val="restart"/>
          </w:tcPr>
          <w:p>
            <w:pPr>
              <w:ind w:left="380"/>
              <w:spacing w:after="0"/>
              <w:rPr>
                <w:sz w:val="20"/>
                <w:szCs w:val="20"/>
                <w:color w:val="auto"/>
              </w:rPr>
            </w:pPr>
            <w:r>
              <w:rPr>
                <w:rFonts w:ascii="Times New Roman" w:cs="Times New Roman" w:eastAsia="Times New Roman" w:hAnsi="Times New Roman"/>
                <w:sz w:val="16"/>
                <w:szCs w:val="16"/>
                <w:color w:val="auto"/>
              </w:rPr>
              <w:t>Common Stock</w:t>
            </w:r>
          </w:p>
        </w:tc>
        <w:tc>
          <w:tcPr>
            <w:tcW w:w="1820" w:type="dxa"/>
            <w:vAlign w:val="bottom"/>
            <w:gridSpan w:val="5"/>
            <w:vMerge w:val="restart"/>
          </w:tcPr>
          <w:p>
            <w:pPr>
              <w:ind w:left="340"/>
              <w:spacing w:after="0"/>
              <w:rPr>
                <w:sz w:val="20"/>
                <w:szCs w:val="20"/>
                <w:color w:val="auto"/>
              </w:rPr>
            </w:pPr>
            <w:r>
              <w:rPr>
                <w:rFonts w:ascii="Times New Roman" w:cs="Times New Roman" w:eastAsia="Times New Roman" w:hAnsi="Times New Roman"/>
                <w:sz w:val="16"/>
                <w:szCs w:val="16"/>
                <w:color w:val="auto"/>
              </w:rPr>
              <w:t>Treasury Stock</w:t>
            </w:r>
          </w:p>
        </w:tc>
        <w:tc>
          <w:tcPr>
            <w:tcW w:w="12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Additional</w:t>
            </w:r>
          </w:p>
        </w:tc>
        <w:tc>
          <w:tcPr>
            <w:tcW w:w="180" w:type="dxa"/>
            <w:vAlign w:val="bottom"/>
          </w:tcPr>
          <w:p>
            <w:pPr>
              <w:spacing w:after="0"/>
              <w:rPr>
                <w:sz w:val="16"/>
                <w:szCs w:val="16"/>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Retained</w:t>
            </w:r>
          </w:p>
        </w:tc>
        <w:tc>
          <w:tcPr>
            <w:tcW w:w="14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rPr>
              <w:t>Accumulated Other</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1920" w:type="dxa"/>
            <w:vAlign w:val="bottom"/>
            <w:gridSpan w:val="5"/>
            <w:vMerge w:val="continue"/>
          </w:tcPr>
          <w:p>
            <w:pPr>
              <w:spacing w:after="0"/>
              <w:rPr>
                <w:sz w:val="7"/>
                <w:szCs w:val="7"/>
                <w:color w:val="auto"/>
              </w:rPr>
            </w:pPr>
          </w:p>
        </w:tc>
        <w:tc>
          <w:tcPr>
            <w:tcW w:w="182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restart"/>
          </w:tcPr>
          <w:p>
            <w:pPr>
              <w:jc w:val="center"/>
              <w:ind w:right="280"/>
              <w:spacing w:after="0" w:line="142" w:lineRule="exact"/>
              <w:rPr>
                <w:sz w:val="20"/>
                <w:szCs w:val="20"/>
                <w:color w:val="auto"/>
              </w:rPr>
            </w:pPr>
            <w:r>
              <w:rPr>
                <w:rFonts w:ascii="Times New Roman" w:cs="Times New Roman" w:eastAsia="Times New Roman" w:hAnsi="Times New Roman"/>
                <w:sz w:val="16"/>
                <w:szCs w:val="16"/>
                <w:color w:val="auto"/>
              </w:rPr>
              <w:t>Paid-In</w:t>
            </w:r>
          </w:p>
        </w:tc>
        <w:tc>
          <w:tcPr>
            <w:tcW w:w="18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gridSpan w:val="2"/>
            <w:vMerge w:val="restart"/>
          </w:tcPr>
          <w:p>
            <w:pPr>
              <w:jc w:val="center"/>
              <w:ind w:right="280"/>
              <w:spacing w:after="0" w:line="142" w:lineRule="exact"/>
              <w:rPr>
                <w:sz w:val="20"/>
                <w:szCs w:val="20"/>
                <w:color w:val="auto"/>
              </w:rPr>
            </w:pPr>
            <w:r>
              <w:rPr>
                <w:rFonts w:ascii="Times New Roman" w:cs="Times New Roman" w:eastAsia="Times New Roman" w:hAnsi="Times New Roman"/>
                <w:sz w:val="16"/>
                <w:szCs w:val="16"/>
                <w:color w:val="auto"/>
                <w:w w:val="99"/>
              </w:rPr>
              <w:t>Comprehensive</w:t>
            </w:r>
          </w:p>
        </w:tc>
        <w:tc>
          <w:tcPr>
            <w:tcW w:w="160" w:type="dxa"/>
            <w:vAlign w:val="bottom"/>
          </w:tcPr>
          <w:p>
            <w:pPr>
              <w:spacing w:after="0"/>
              <w:rPr>
                <w:sz w:val="7"/>
                <w:szCs w:val="7"/>
                <w:color w:val="auto"/>
              </w:rPr>
            </w:pPr>
          </w:p>
        </w:tc>
        <w:tc>
          <w:tcPr>
            <w:tcW w:w="800" w:type="dxa"/>
            <w:vAlign w:val="bottom"/>
            <w:vMerge w:val="restart"/>
          </w:tcPr>
          <w:p>
            <w:pPr>
              <w:jc w:val="right"/>
              <w:ind w:right="239"/>
              <w:spacing w:after="0" w:line="142" w:lineRule="exact"/>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Earnings</w:t>
            </w:r>
          </w:p>
        </w:tc>
        <w:tc>
          <w:tcPr>
            <w:tcW w:w="12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740" w:type="dxa"/>
            <w:vAlign w:val="bottom"/>
          </w:tcPr>
          <w:p>
            <w:pPr>
              <w:spacing w:after="0"/>
              <w:rPr>
                <w:sz w:val="9"/>
                <w:szCs w:val="9"/>
                <w:color w:val="auto"/>
              </w:rPr>
            </w:pPr>
          </w:p>
        </w:tc>
        <w:tc>
          <w:tcPr>
            <w:tcW w:w="10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Shares</w:t>
            </w:r>
          </w:p>
        </w:tc>
        <w:tc>
          <w:tcPr>
            <w:tcW w:w="86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auto"/>
              </w:rPr>
              <w:t>Amount</w:t>
            </w: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auto"/>
              </w:rPr>
              <w:t>Shares</w:t>
            </w: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Amount</w:t>
            </w:r>
          </w:p>
        </w:tc>
        <w:tc>
          <w:tcPr>
            <w:tcW w:w="120" w:type="dxa"/>
            <w:vAlign w:val="bottom"/>
          </w:tcPr>
          <w:p>
            <w:pPr>
              <w:spacing w:after="0"/>
              <w:rPr>
                <w:sz w:val="9"/>
                <w:szCs w:val="9"/>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color w:val="auto"/>
                <w:w w:val="99"/>
              </w:rPr>
              <w:t>Capital</w:t>
            </w:r>
          </w:p>
        </w:tc>
        <w:tc>
          <w:tcPr>
            <w:tcW w:w="18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color w:val="auto"/>
              </w:rPr>
              <w:t>Loss</w:t>
            </w: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74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9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1740" w:type="dxa"/>
            <w:vAlign w:val="bottom"/>
            <w:tcBorders>
              <w:top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6"/>
                <w:szCs w:val="16"/>
                <w:color w:val="auto"/>
              </w:rPr>
              <w:t>Balance at August 26,</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101,929,868</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1,019</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2,365,100</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(78,451)</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1,303,168</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347,956</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1,571,099</w:t>
            </w:r>
          </w:p>
        </w:tc>
        <w:tc>
          <w:tcPr>
            <w:tcW w:w="0" w:type="dxa"/>
            <w:vAlign w:val="bottom"/>
          </w:tcPr>
          <w:p>
            <w:pPr>
              <w:spacing w:after="0"/>
              <w:rPr>
                <w:sz w:val="1"/>
                <w:szCs w:val="1"/>
                <w:color w:val="auto"/>
              </w:rPr>
            </w:pPr>
          </w:p>
        </w:tc>
      </w:tr>
      <w:tr>
        <w:trPr>
          <w:trHeight w:val="209"/>
        </w:trPr>
        <w:tc>
          <w:tcPr>
            <w:tcW w:w="1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2023</w:t>
            </w: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gridSpan w:val="2"/>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740" w:type="dxa"/>
            <w:vAlign w:val="bottom"/>
            <w:tcBorders>
              <w:top w:val="single" w:sz="8" w:color="CCEEFF"/>
            </w:tcBorders>
            <w:vMerge w:val="continue"/>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7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35,561</w:t>
            </w: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35,561</w:t>
            </w:r>
          </w:p>
        </w:tc>
        <w:tc>
          <w:tcPr>
            <w:tcW w:w="0" w:type="dxa"/>
            <w:vAlign w:val="bottom"/>
          </w:tcPr>
          <w:p>
            <w:pPr>
              <w:spacing w:after="0"/>
              <w:rPr>
                <w:sz w:val="1"/>
                <w:szCs w:val="1"/>
                <w:color w:val="auto"/>
              </w:rPr>
            </w:pPr>
          </w:p>
        </w:tc>
      </w:tr>
      <w:tr>
        <w:trPr>
          <w:trHeight w:val="165"/>
        </w:trPr>
        <w:tc>
          <w:tcPr>
            <w:tcW w:w="174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Stock-based</w:t>
            </w:r>
          </w:p>
        </w:tc>
        <w:tc>
          <w:tcPr>
            <w:tcW w:w="10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3,888</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3,888</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compensation</w:t>
            </w: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4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Foreign currency</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1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0" w:type="dxa"/>
            <w:vAlign w:val="bottom"/>
          </w:tcPr>
          <w:p>
            <w:pPr>
              <w:spacing w:after="0"/>
              <w:rPr>
                <w:sz w:val="1"/>
                <w:szCs w:val="1"/>
                <w:color w:val="auto"/>
              </w:rPr>
            </w:pPr>
          </w:p>
        </w:tc>
      </w:tr>
      <w:tr>
        <w:trPr>
          <w:trHeight w:val="213"/>
        </w:trPr>
        <w:tc>
          <w:tcPr>
            <w:tcW w:w="1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adjustments</w:t>
            </w: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4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Shares issued upon</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vesting of restricted</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stock units and</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performance stock</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245,365</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(3,645)</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(3,642)</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units</w:t>
            </w: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7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Balance at November</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102,175,233</w:t>
            </w:r>
          </w:p>
        </w:tc>
        <w:tc>
          <w:tcPr>
            <w:tcW w:w="120" w:type="dxa"/>
            <w:vAlign w:val="bottom"/>
          </w:tcPr>
          <w:p>
            <w:pPr>
              <w:spacing w:after="0"/>
              <w:rPr>
                <w:sz w:val="12"/>
                <w:szCs w:val="12"/>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1,022</w:t>
            </w:r>
          </w:p>
        </w:tc>
        <w:tc>
          <w:tcPr>
            <w:tcW w:w="140" w:type="dxa"/>
            <w:vAlign w:val="bottom"/>
          </w:tcPr>
          <w:p>
            <w:pPr>
              <w:spacing w:after="0"/>
              <w:rPr>
                <w:sz w:val="12"/>
                <w:szCs w:val="12"/>
                <w:color w:val="auto"/>
              </w:rPr>
            </w:pPr>
          </w:p>
        </w:tc>
        <w:tc>
          <w:tcPr>
            <w:tcW w:w="78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2,365,100</w:t>
            </w:r>
          </w:p>
        </w:tc>
        <w:tc>
          <w:tcPr>
            <w:tcW w:w="120" w:type="dxa"/>
            <w:vAlign w:val="bottom"/>
          </w:tcPr>
          <w:p>
            <w:pPr>
              <w:spacing w:after="0"/>
              <w:rPr>
                <w:sz w:val="12"/>
                <w:szCs w:val="12"/>
                <w:color w:val="auto"/>
              </w:rPr>
            </w:pPr>
          </w:p>
        </w:tc>
        <w:tc>
          <w:tcPr>
            <w:tcW w:w="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6"/>
                <w:szCs w:val="16"/>
                <w:color w:val="auto"/>
              </w:rPr>
              <w:t>(78,451)</w:t>
            </w:r>
          </w:p>
        </w:tc>
        <w:tc>
          <w:tcPr>
            <w:tcW w:w="12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1,303,411</w:t>
            </w:r>
          </w:p>
        </w:tc>
        <w:tc>
          <w:tcPr>
            <w:tcW w:w="140" w:type="dxa"/>
            <w:vAlign w:val="bottom"/>
          </w:tcPr>
          <w:p>
            <w:pPr>
              <w:spacing w:after="0"/>
              <w:rPr>
                <w:sz w:val="12"/>
                <w:szCs w:val="12"/>
                <w:color w:val="auto"/>
              </w:rPr>
            </w:pPr>
          </w:p>
        </w:tc>
        <w:tc>
          <w:tcPr>
            <w:tcW w:w="18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383,517</w:t>
            </w:r>
          </w:p>
        </w:tc>
        <w:tc>
          <w:tcPr>
            <w:tcW w:w="14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(2,321)</w:t>
            </w:r>
          </w:p>
        </w:tc>
        <w:tc>
          <w:tcPr>
            <w:tcW w:w="140" w:type="dxa"/>
            <w:vAlign w:val="bottom"/>
          </w:tcPr>
          <w:p>
            <w:pPr>
              <w:spacing w:after="0"/>
              <w:rPr>
                <w:sz w:val="12"/>
                <w:szCs w:val="12"/>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1,607,178</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25, 2023</w:t>
            </w: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33,123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33,123</w:t>
            </w:r>
          </w:p>
        </w:tc>
        <w:tc>
          <w:tcPr>
            <w:tcW w:w="0" w:type="dxa"/>
            <w:vAlign w:val="bottom"/>
          </w:tcPr>
          <w:p>
            <w:pPr>
              <w:spacing w:after="0"/>
              <w:rPr>
                <w:sz w:val="1"/>
                <w:szCs w:val="1"/>
                <w:color w:val="auto"/>
              </w:rPr>
            </w:pPr>
          </w:p>
        </w:tc>
      </w:tr>
      <w:tr>
        <w:trPr>
          <w:trHeight w:val="162"/>
        </w:trPr>
        <w:tc>
          <w:tcPr>
            <w:tcW w:w="174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Stock-based</w:t>
            </w:r>
          </w:p>
        </w:tc>
        <w:tc>
          <w:tcPr>
            <w:tcW w:w="1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4,288</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3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4,288</w:t>
            </w:r>
          </w:p>
        </w:tc>
        <w:tc>
          <w:tcPr>
            <w:tcW w:w="0" w:type="dxa"/>
            <w:vAlign w:val="bottom"/>
          </w:tcPr>
          <w:p>
            <w:pPr>
              <w:spacing w:after="0"/>
              <w:rPr>
                <w:sz w:val="1"/>
                <w:szCs w:val="1"/>
                <w:color w:val="auto"/>
              </w:rPr>
            </w:pPr>
          </w:p>
        </w:tc>
      </w:tr>
      <w:tr>
        <w:trPr>
          <w:trHeight w:val="213"/>
        </w:trPr>
        <w:tc>
          <w:tcPr>
            <w:tcW w:w="1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compensation</w:t>
            </w: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4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Foreign currency</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10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adjustments</w:t>
            </w: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4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Shares issued upon</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vesting of restricted</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5,285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3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13"/>
        </w:trPr>
        <w:tc>
          <w:tcPr>
            <w:tcW w:w="1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units</w:t>
            </w: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4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Exercise of options to</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purchase common</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173,100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3,013</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3,015</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w:t>
            </w: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7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Balance at February 24,</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102,353,618</w:t>
            </w:r>
          </w:p>
        </w:tc>
        <w:tc>
          <w:tcPr>
            <w:tcW w:w="120" w:type="dxa"/>
            <w:vAlign w:val="bottom"/>
          </w:tcPr>
          <w:p>
            <w:pPr>
              <w:spacing w:after="0"/>
              <w:rPr>
                <w:sz w:val="12"/>
                <w:szCs w:val="12"/>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1,024</w:t>
            </w:r>
          </w:p>
        </w:tc>
        <w:tc>
          <w:tcPr>
            <w:tcW w:w="140" w:type="dxa"/>
            <w:vAlign w:val="bottom"/>
          </w:tcPr>
          <w:p>
            <w:pPr>
              <w:spacing w:after="0"/>
              <w:rPr>
                <w:sz w:val="12"/>
                <w:szCs w:val="12"/>
                <w:color w:val="auto"/>
              </w:rPr>
            </w:pPr>
          </w:p>
        </w:tc>
        <w:tc>
          <w:tcPr>
            <w:tcW w:w="78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2,365,100</w:t>
            </w:r>
          </w:p>
        </w:tc>
        <w:tc>
          <w:tcPr>
            <w:tcW w:w="120" w:type="dxa"/>
            <w:vAlign w:val="bottom"/>
          </w:tcPr>
          <w:p>
            <w:pPr>
              <w:spacing w:after="0"/>
              <w:rPr>
                <w:sz w:val="12"/>
                <w:szCs w:val="12"/>
                <w:color w:val="auto"/>
              </w:rPr>
            </w:pPr>
          </w:p>
        </w:tc>
        <w:tc>
          <w:tcPr>
            <w:tcW w:w="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6"/>
                <w:szCs w:val="16"/>
                <w:color w:val="auto"/>
              </w:rPr>
              <w:t>(78,451)</w:t>
            </w:r>
          </w:p>
        </w:tc>
        <w:tc>
          <w:tcPr>
            <w:tcW w:w="12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1,310,605</w:t>
            </w:r>
          </w:p>
        </w:tc>
        <w:tc>
          <w:tcPr>
            <w:tcW w:w="140" w:type="dxa"/>
            <w:vAlign w:val="bottom"/>
          </w:tcPr>
          <w:p>
            <w:pPr>
              <w:spacing w:after="0"/>
              <w:rPr>
                <w:sz w:val="12"/>
                <w:szCs w:val="12"/>
                <w:color w:val="auto"/>
              </w:rPr>
            </w:pPr>
          </w:p>
        </w:tc>
        <w:tc>
          <w:tcPr>
            <w:tcW w:w="18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416,640</w:t>
            </w:r>
          </w:p>
        </w:tc>
        <w:tc>
          <w:tcPr>
            <w:tcW w:w="14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(2,336)</w:t>
            </w:r>
          </w:p>
        </w:tc>
        <w:tc>
          <w:tcPr>
            <w:tcW w:w="140" w:type="dxa"/>
            <w:vAlign w:val="bottom"/>
          </w:tcPr>
          <w:p>
            <w:pPr>
              <w:spacing w:after="0"/>
              <w:rPr>
                <w:sz w:val="12"/>
                <w:szCs w:val="12"/>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1,647,482</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41,334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41,334</w:t>
            </w:r>
          </w:p>
        </w:tc>
        <w:tc>
          <w:tcPr>
            <w:tcW w:w="0" w:type="dxa"/>
            <w:vAlign w:val="bottom"/>
          </w:tcPr>
          <w:p>
            <w:pPr>
              <w:spacing w:after="0"/>
              <w:rPr>
                <w:sz w:val="1"/>
                <w:szCs w:val="1"/>
                <w:color w:val="auto"/>
              </w:rPr>
            </w:pPr>
          </w:p>
        </w:tc>
      </w:tr>
      <w:tr>
        <w:trPr>
          <w:trHeight w:val="162"/>
        </w:trPr>
        <w:tc>
          <w:tcPr>
            <w:tcW w:w="174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Stock-based</w:t>
            </w:r>
          </w:p>
        </w:tc>
        <w:tc>
          <w:tcPr>
            <w:tcW w:w="1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4,193</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3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4,193</w:t>
            </w:r>
          </w:p>
        </w:tc>
        <w:tc>
          <w:tcPr>
            <w:tcW w:w="0" w:type="dxa"/>
            <w:vAlign w:val="bottom"/>
          </w:tcPr>
          <w:p>
            <w:pPr>
              <w:spacing w:after="0"/>
              <w:rPr>
                <w:sz w:val="1"/>
                <w:szCs w:val="1"/>
                <w:color w:val="auto"/>
              </w:rPr>
            </w:pPr>
          </w:p>
        </w:tc>
      </w:tr>
      <w:tr>
        <w:trPr>
          <w:trHeight w:val="213"/>
        </w:trPr>
        <w:tc>
          <w:tcPr>
            <w:tcW w:w="1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compensation</w:t>
            </w: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4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Foreign currency</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10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adjustments</w:t>
            </w: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4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Shares issued upon</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vesting of restricted</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63,553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3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0" w:type="dxa"/>
            <w:vAlign w:val="bottom"/>
          </w:tcPr>
          <w:p>
            <w:pPr>
              <w:spacing w:after="0"/>
              <w:rPr>
                <w:sz w:val="1"/>
                <w:szCs w:val="1"/>
                <w:color w:val="auto"/>
              </w:rPr>
            </w:pPr>
          </w:p>
        </w:tc>
      </w:tr>
      <w:tr>
        <w:trPr>
          <w:trHeight w:val="213"/>
        </w:trPr>
        <w:tc>
          <w:tcPr>
            <w:tcW w:w="1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units</w:t>
            </w: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4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Exercise of options to</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purchase common</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83,779</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1,277</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w:t>
            </w: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7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Balance at May 25,</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102,500,950</w:t>
            </w:r>
          </w:p>
        </w:tc>
        <w:tc>
          <w:tcPr>
            <w:tcW w:w="120" w:type="dxa"/>
            <w:vAlign w:val="bottom"/>
          </w:tcPr>
          <w:p>
            <w:pPr>
              <w:spacing w:after="0"/>
              <w:rPr>
                <w:sz w:val="12"/>
                <w:szCs w:val="12"/>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1,025</w:t>
            </w:r>
          </w:p>
        </w:tc>
        <w:tc>
          <w:tcPr>
            <w:tcW w:w="140" w:type="dxa"/>
            <w:vAlign w:val="bottom"/>
          </w:tcPr>
          <w:p>
            <w:pPr>
              <w:spacing w:after="0"/>
              <w:rPr>
                <w:sz w:val="12"/>
                <w:szCs w:val="12"/>
                <w:color w:val="auto"/>
              </w:rPr>
            </w:pPr>
          </w:p>
        </w:tc>
        <w:tc>
          <w:tcPr>
            <w:tcW w:w="78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2,365,100</w:t>
            </w:r>
          </w:p>
        </w:tc>
        <w:tc>
          <w:tcPr>
            <w:tcW w:w="120" w:type="dxa"/>
            <w:vAlign w:val="bottom"/>
          </w:tcPr>
          <w:p>
            <w:pPr>
              <w:spacing w:after="0"/>
              <w:rPr>
                <w:sz w:val="12"/>
                <w:szCs w:val="12"/>
                <w:color w:val="auto"/>
              </w:rPr>
            </w:pPr>
          </w:p>
        </w:tc>
        <w:tc>
          <w:tcPr>
            <w:tcW w:w="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6"/>
                <w:szCs w:val="16"/>
                <w:color w:val="auto"/>
              </w:rPr>
              <w:t>(78,451)</w:t>
            </w:r>
          </w:p>
        </w:tc>
        <w:tc>
          <w:tcPr>
            <w:tcW w:w="12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1,315,005</w:t>
            </w:r>
          </w:p>
        </w:tc>
        <w:tc>
          <w:tcPr>
            <w:tcW w:w="140" w:type="dxa"/>
            <w:vAlign w:val="bottom"/>
          </w:tcPr>
          <w:p>
            <w:pPr>
              <w:spacing w:after="0"/>
              <w:rPr>
                <w:sz w:val="12"/>
                <w:szCs w:val="12"/>
                <w:color w:val="auto"/>
              </w:rPr>
            </w:pPr>
          </w:p>
        </w:tc>
        <w:tc>
          <w:tcPr>
            <w:tcW w:w="18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457,974</w:t>
            </w:r>
          </w:p>
        </w:tc>
        <w:tc>
          <w:tcPr>
            <w:tcW w:w="14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(2,241)</w:t>
            </w:r>
          </w:p>
        </w:tc>
        <w:tc>
          <w:tcPr>
            <w:tcW w:w="140" w:type="dxa"/>
            <w:vAlign w:val="bottom"/>
          </w:tcPr>
          <w:p>
            <w:pPr>
              <w:spacing w:after="0"/>
              <w:rPr>
                <w:sz w:val="12"/>
                <w:szCs w:val="12"/>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1,693,312</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6"/>
          <w:szCs w:val="16"/>
          <w:i w:val="1"/>
          <w:iCs w:val="1"/>
          <w:color w:val="auto"/>
        </w:rPr>
        <w:t>See accompanying notes to the unaudited consolidated financial statements.</w:t>
      </w:r>
    </w:p>
    <w:p>
      <w:pPr>
        <w:spacing w:after="0" w:line="35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21" w:right="7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dollars in thousands, except for share and per share data)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 and Principles of Consolidation</w:t>
      </w: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Simply Good Foods Company (“Simply Good Foods” or the “Company”) is a consumer packaged food and beverage company that aims to lead the nutritious snacking movement with trusted brands that offer a variety of convenient, innovative, great-tasting, better-for-you snacks and meal replacements, and other product offerings. The product portfolio the Company develops, markets and sells consists primarily of protein bars, ready-to-drink (“RTD”) beverages, sweet and salty snacks and confectionery products marketed under the Quest, Atkins, and OWYN brand names. Simply Good Foods is poised to expand its wellness platform through innovation and organic growth along with acquisition opportunities in the nutritional snacking space.</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April 29, 2024, the Company entered into a stock purchase agreement (the “Purchase Agreement”) to acquire Only What You Need, Inc. (“OWYN”), a plant-based protein food company (the “OWYN Acquisition”), for approximately $280.0 million. On June 13, 2024, pursuant to the Purchase Agreement, the Company completed the OWYN Acquisition by acquiring 100% of the equity interests for a cash purchase price at closing of $281.9 million, subject to certain customary post-closing adjustments.</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nutritious snacking platform consists of brands that specialize in providing products for consumers that follow certain nutritional philosophies and health-and-wellness trends: Quest for consumers seeking a variety of protein-rich foods and beverages that also limit sugars and simple carbohydrates, Atkins for those following a low-carbohydrate lifestyle or seeking to manage weight or blood sugar levels, and OWYN for consumers seeking protein-rich beverages that are plant-based and tested for the top nine allergens that also limit sugars and simple carbohydrates. We distribute our products in major retail channels, primarily in North America, including grocery, club, and mass merchandise, as well as through e-commerce, convenience, specialty, and other channels. Our portfolio of nutritious snacking brands gives us a strong platform with which to introduce new products, expand distribution, and attract new consumers to our products.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common stock of Simply Good Foods is listed on the Nasdaq Capital Market under the symbol “SMPL.”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Consolidated Financial Statements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unaudited interim consolidated financial statements include the accounts of Simply Good Foods and its wholly-owned subsidiaries. All intercompany accounts and transactions have been eliminated. Unless the context otherwise requires, “we,” “us,” “our” and the “Company” refer to Simply Good Foods and its subsidiaries. In context, “Quest” may also refer to the Quest brand, “Atkins” may also refer to the Atkins brand, and “OWYN” may also refer to the OWYN brand. Atkins, Atkins Endulge, Quest, OWYN, and the Simply Good logo are either registered trademarks or trademarks of the Company’s wholly owned subsidiary Simply Good Foods USA, Inc. or one of its affiliates in the United States and elsewhere. All rights are reserved.</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maintains its accounting records on a 52/53-week fiscal year, ending on the last Saturday in August of each year.</w:t>
      </w:r>
    </w:p>
    <w:p>
      <w:pPr>
        <w:spacing w:after="0" w:line="2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interim consolidated financial statements and related notes of the Company and its subsidiaries are unaudited. The unaudited interim consolidated financial statements have been prepared in accordance with U.S. Generally Accepted Accounting Principles (“GAAP”) and the rules and regulations of the Securities and Exchange Commission (the “SEC”). The unaudited interim consolidated financial statements reflect all adjustments and disclosures which are, in the Company’s opinion, necessary for a fair presentation of the results of operations, financial position and cash flows for the indicated periods. All such adjustments were of a normal and recurring nature unless otherwise disclosed. The year-end balance sheet data was derived from the audited financial statements and, in accordance with the instructions to Form 10-Q, certain information and footnote disclosures required by GAAP have been condensed or omitted. The results reported in these unaudited interim consolidated financial statements are not necessarily indicative of the results that may be reported for the entire fiscal year and should be read in conjunction with the Company’s consolidated financial statements for the fiscal year ended August 31, 2024, included in the Company’s Annual Report on Form 10-K (“Annual Report”) filed with the SEC on October 29,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6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Refer to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consolidated financial statements included in the Annual Report for a description of significant accounting policies.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(“ASU 2023-07”), which updates reportable segment disclosure requirements primarily through enhanced disclosures about significant segment expenses. The amendments are effective for fiscal years beginning after December 15, 2023, and for interim periods within fiscal years beginning after December 15, 2024. Early adoption is permitted. The amendments should be applied retrospectively to all prior periods presented in the financial statements. The Company is currently evaluating the provisions of the amendments and the effect on its future consolidated financial statements.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which updates disclosures required in the footnotes to the financial statements to further aid investors in understanding how to analyze income tax reporting. The amendments are effective for fiscal years beginning after December 15, 2024. Early adoption is permitted for annual financial statements that have not yet been issued or made available. The amendments should be applied on a prospective basis; however, retrospective application is permitted. The Company is currently evaluating the provisions of the amendments and the effect on its future consolidated financial statements.</w:t>
      </w:r>
    </w:p>
    <w:p>
      <w:pPr>
        <w:spacing w:after="0" w:line="2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(Subtopic 220-40): Disaggregation of Income Statement Expenses (“ASU 2024-03”), which will improve the disclosures about a public business entity’s expenses and address requests from investors for more detailed information about the types of expenses in commonly presented expense captions such as cost of sales, SG&amp;A, and R&amp;D. The amendments are effective for fiscal years beginning after December 15, 2026, and for interim periods within fiscal years beginning after December 15, 2027. Early adoption is permitted for annual financial statements that have not yet been issued or made available. The amendments should be applied on either (1) prospectively to financial statements issued for reporting periods after the effective date or (2) retrospectively to any or all prior periods presented in the financial statements. The Company is currently evaluating the provisions of the amendments and the effect on its future consolidated financial statements.</w:t>
      </w:r>
    </w:p>
    <w:p>
      <w:pPr>
        <w:spacing w:after="0" w:line="20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other new accounting pronouncement issued or effective during the fiscal year had or is expected to have a material effect on the Company’s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Business Combination</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April 29, 2024, the Company’s wholly owned subsidiary, Simply Good Foods, USA, Inc. entered into a Purchase Agreement to acquire OWYN, a plant-based protein food company, for approximately $280.0 million. On June 13, 2024, pursuant to the Purchase Agreement, the Company completed the OWYN Acquisition by acquiring 100% of the equity interests for a cash purchase price at closing of $281.9 million, subject to certain customary post-closing adjustments. We acquired OWYN as a part of our vision to lead the nutritious snacking movement with trusted brands that offer a variety of convenient, innovative, great-tasting, better-for-you snacks and meal replacements that will now offer plant-based products to a wider market of consumers.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OWYN Acquisition was funded through a combination of incremental borrowings under our outstanding Term Facility, as defined below, totaling $250.0 million and cash on hand. In the second fiscal quarter of 2025, the Company received a post-closing release from escrow of approximately $1.7 million related to net working capital adjustments, resulting in a total net consideration paid of $280.2 million as of May 31, 2025. Business transaction costs within the Consolidated Statements of Operations and Comprehensive Income for the thirty-nine weeks ended May 31, 2025, were $0.8 million, which consisted of legal, accounting, and other costs.</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OWYN Acquisition was accounted for as a business combination under ASC 805, Business Combinations (“ASC 805”), which requires, among other things, assets acquired and liabilities assumed to be measured at their acquisition date fair value. The following table sets forth the preliminary purchase price allocation of the OWYN Acquisition to the estimated fair value of the net assets acquired at the date of the Acquisition, in thousands. The preliminary purchase price allocation may be adjusted as a result of the finalization of the Company’s purchase price allocation procedures related to the assets acquired and liabilities assumed; including, but not limited to, certain customary post-closing adjustments such as the finalization of working capital, tax return finalization, and other adjustments.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preliminary June 13, 2024, fair value is as follows:</w:t>
      </w:r>
    </w:p>
    <w:p>
      <w:pPr>
        <w:spacing w:after="0" w:line="351" w:lineRule="exact"/>
        <w:rPr>
          <w:sz w:val="20"/>
          <w:szCs w:val="20"/>
          <w:color w:val="auto"/>
        </w:rPr>
      </w:pPr>
    </w:p>
    <w:tbl>
      <w:tblPr>
        <w:tblLayout w:type="fixed"/>
        <w:tblInd w:w="940" w:type="dxa"/>
        <w:tblCellMar>
          <w:top w:w="0" w:type="dxa"/>
          <w:left w:w="0" w:type="dxa"/>
          <w:bottom w:w="0" w:type="dxa"/>
          <w:right w:w="0" w:type="dxa"/>
        </w:tblCellMar>
      </w:tblP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 acquired:</w:t>
            </w: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7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2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w:t>
            </w:r>
          </w:p>
        </w:tc>
      </w:tr>
      <w:tr>
        <w:trPr>
          <w:trHeight w:val="267"/>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5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14,214</w:t>
            </w:r>
          </w:p>
        </w:tc>
      </w:tr>
      <w:tr>
        <w:trPr>
          <w:trHeight w:val="27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r>
              <w:rPr>
                <w:rFonts w:ascii="Times New Roman" w:cs="Times New Roman" w:eastAsia="Times New Roman" w:hAnsi="Times New Roman"/>
                <w:sz w:val="21"/>
                <w:szCs w:val="21"/>
                <w:color w:val="auto"/>
                <w:vertAlign w:val="superscript"/>
              </w:rPr>
              <w:t>(1)</w:t>
            </w: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38,955</w:t>
            </w:r>
          </w:p>
        </w:tc>
      </w:tr>
      <w:tr>
        <w:trPr>
          <w:trHeight w:val="267"/>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assets</w:t>
            </w:r>
          </w:p>
        </w:tc>
        <w:tc>
          <w:tcPr>
            <w:tcW w:w="5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w:t>
            </w:r>
          </w:p>
        </w:tc>
      </w:tr>
      <w:tr>
        <w:trPr>
          <w:trHeight w:val="27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70"/>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Intangible assets, net</w:t>
            </w:r>
            <w:r>
              <w:rPr>
                <w:rFonts w:ascii="Times New Roman" w:cs="Times New Roman" w:eastAsia="Times New Roman" w:hAnsi="Times New Roman"/>
                <w:sz w:val="21"/>
                <w:szCs w:val="21"/>
                <w:color w:val="auto"/>
                <w:vertAlign w:val="superscript"/>
              </w:rPr>
              <w:t>(2)</w:t>
            </w:r>
          </w:p>
        </w:tc>
        <w:tc>
          <w:tcPr>
            <w:tcW w:w="5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243,626</w:t>
            </w:r>
          </w:p>
        </w:tc>
      </w:tr>
      <w:tr>
        <w:trPr>
          <w:trHeight w:val="270"/>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long-term assets</w:t>
            </w: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67"/>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 assumed:</w:t>
            </w:r>
          </w:p>
        </w:tc>
        <w:tc>
          <w:tcPr>
            <w:tcW w:w="5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20,378</w:t>
            </w:r>
          </w:p>
        </w:tc>
      </w:tr>
      <w:tr>
        <w:trPr>
          <w:trHeight w:val="267"/>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5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3,753</w:t>
            </w:r>
          </w:p>
        </w:tc>
      </w:tr>
      <w:tr>
        <w:trPr>
          <w:trHeight w:val="27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tax liability</w:t>
            </w:r>
            <w:r>
              <w:rPr>
                <w:rFonts w:ascii="Times New Roman" w:cs="Times New Roman" w:eastAsia="Times New Roman" w:hAnsi="Times New Roman"/>
                <w:sz w:val="21"/>
                <w:szCs w:val="21"/>
                <w:color w:val="auto"/>
                <w:vertAlign w:val="superscript"/>
              </w:rPr>
              <w:t>(3)</w:t>
            </w:r>
          </w:p>
        </w:tc>
        <w:tc>
          <w:tcPr>
            <w:tcW w:w="5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41,513</w:t>
            </w:r>
          </w:p>
        </w:tc>
      </w:tr>
      <w:tr>
        <w:trPr>
          <w:trHeight w:val="247"/>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identifiable net assets</w:t>
            </w: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233,332</w:t>
            </w:r>
          </w:p>
        </w:tc>
      </w:tr>
      <w:tr>
        <w:trPr>
          <w:trHeight w:val="27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Goodwill</w:t>
            </w:r>
            <w:r>
              <w:rPr>
                <w:rFonts w:ascii="Times New Roman" w:cs="Times New Roman" w:eastAsia="Times New Roman" w:hAnsi="Times New Roman"/>
                <w:sz w:val="21"/>
                <w:szCs w:val="21"/>
                <w:color w:val="auto"/>
                <w:vertAlign w:val="superscript"/>
              </w:rPr>
              <w:t>(4)</w:t>
            </w: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46,840</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 acquired and liabilities assumed</w:t>
            </w:r>
          </w:p>
        </w:tc>
        <w:tc>
          <w:tcPr>
            <w:tcW w:w="5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280,172</w:t>
            </w:r>
          </w:p>
        </w:tc>
      </w:tr>
      <w:tr>
        <w:trPr>
          <w:trHeight w:val="21"/>
        </w:trPr>
        <w:tc>
          <w:tcPr>
            <w:tcW w:w="84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ind w:left="340" w:hanging="332"/>
        <w:spacing w:after="0" w:line="280" w:lineRule="auto"/>
        <w:tabs>
          <w:tab w:leader="none" w:pos="353"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Inventory was estimated using the comparative sales method, which quantifies the fair value of inventory based on the expected sales price of the subject inventory, reduced for: (i) all costs expected to be incurred in its completion/disposition efforts; and (ii) a profit on those costs.</w:t>
      </w:r>
    </w:p>
    <w:p>
      <w:pPr>
        <w:spacing w:after="0" w:line="191" w:lineRule="exact"/>
        <w:rPr>
          <w:rFonts w:ascii="Times New Roman" w:cs="Times New Roman" w:eastAsia="Times New Roman" w:hAnsi="Times New Roman"/>
          <w:sz w:val="16"/>
          <w:szCs w:val="16"/>
          <w:color w:val="auto"/>
        </w:rPr>
      </w:pPr>
    </w:p>
    <w:p>
      <w:pPr>
        <w:jc w:val="both"/>
        <w:ind w:left="340" w:hanging="332"/>
        <w:spacing w:after="0" w:line="263" w:lineRule="auto"/>
        <w:tabs>
          <w:tab w:leader="none" w:pos="353"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Intangible assets were recorded at fair value consistent with ASC 820 as a result of the OWYN Acquisition. Intangible assets consisted of $223.0 million of brand and $20.5 million of customer relationships. The useful lives of the intangible assets are disclosed in Note 5 of the Consolidated Financial Statements. The fair value measurement of the assets and liabilities was based on significant inputs not observable in the market and thus represent Level 3 measurements within the fair value measurement hierarchy. Level 3 fair market values were determined using a variety of information, including estimated future cash flows and market comparable data and companies.</w:t>
      </w:r>
    </w:p>
    <w:p>
      <w:pPr>
        <w:spacing w:after="0" w:line="206" w:lineRule="exact"/>
        <w:rPr>
          <w:rFonts w:ascii="Times New Roman" w:cs="Times New Roman" w:eastAsia="Times New Roman" w:hAnsi="Times New Roman"/>
          <w:sz w:val="16"/>
          <w:szCs w:val="16"/>
          <w:color w:val="auto"/>
        </w:rPr>
      </w:pPr>
    </w:p>
    <w:p>
      <w:pPr>
        <w:ind w:left="340"/>
        <w:spacing w:after="0" w:line="29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the indefinite-lived brand asset was estimated using the multi-period excess earnings method of the income approach, wherein the net earnings attributable to the asset are isolated from other “contributory assets” in order to estimate the cash flows solely attributable to the asset over its remaining economic life.</w:t>
      </w:r>
    </w:p>
    <w:p>
      <w:pPr>
        <w:spacing w:after="0" w:line="177" w:lineRule="exact"/>
        <w:rPr>
          <w:rFonts w:ascii="Times New Roman" w:cs="Times New Roman" w:eastAsia="Times New Roman" w:hAnsi="Times New Roman"/>
          <w:sz w:val="16"/>
          <w:szCs w:val="16"/>
          <w:color w:val="auto"/>
        </w:rPr>
      </w:pPr>
    </w:p>
    <w:p>
      <w:pPr>
        <w:jc w:val="both"/>
        <w:ind w:left="34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the customer relationship intangible asset was estimated using the with/without method of the income approach, wherein the value is estimated by comparing the overall business cash flows with the customer relationships in place to the cash flows in a hypothetical scenario where the customer relationships are not in place. The significant assumptions used in estimating the fair value under the with/without method include the time to recreate the asset, profitability under both scenarios, and the estimated discount rate.</w:t>
      </w:r>
    </w:p>
    <w:p>
      <w:pPr>
        <w:spacing w:after="0" w:line="219"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as a result of the fair value attributable to the identifiable intangible assets, the deferred income tax liability was $41.5 million.</w:t>
      </w:r>
    </w:p>
    <w:p>
      <w:pPr>
        <w:spacing w:after="0" w:line="248" w:lineRule="exact"/>
        <w:rPr>
          <w:rFonts w:ascii="Times New Roman" w:cs="Times New Roman" w:eastAsia="Times New Roman" w:hAnsi="Times New Roman"/>
          <w:sz w:val="16"/>
          <w:szCs w:val="16"/>
          <w:color w:val="auto"/>
        </w:rPr>
      </w:pPr>
    </w:p>
    <w:p>
      <w:pPr>
        <w:jc w:val="both"/>
        <w:ind w:left="340" w:hanging="332"/>
        <w:spacing w:after="0" w:line="272" w:lineRule="auto"/>
        <w:tabs>
          <w:tab w:leader="none" w:pos="353"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Goodwill was recorded at fair value consistent with ASC 820 as a result of the OWYN Acquisition. Amounts recorded for goodwill created in an acquisition structured as a stock purchase for tax are generally not expected to be deductible for tax purposes. As such, the acquired goodwill is not expected to be deductible for tax purposes. Goodwill represents the future economic benefits arising from other assets acquired that could not be individually identified and separately recognized.</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final determination of the fair value of the assets acquired and liabilities assumed is expected to be completed in the fourth fiscal quarter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Measurement period adjustments are recognized in the reporting period in which the adjustments are determined and calculated as if the accounting had been completed at the acquisition date. In the second fiscal quarter of 2025, a measurement period adjustment of $1.7 million was recorded to goodwill. The final fair value determination of the assets acquired and liabilities assumed will be completed prior to one year from the transaction completion, consistent with ASC 805.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results of OWYN’s operations have been included in the Simply Good Foods’ Consolidated Financial Statements since the acquisition date. The Company has not disclosed earnings from the acquired OWYN business as they are immaterial. The following table provides net sales from the acquired OWYN business included in the Company’s results:</w:t>
      </w:r>
    </w:p>
    <w:p>
      <w:pPr>
        <w:spacing w:after="0" w:line="383" w:lineRule="exact"/>
        <w:rPr>
          <w:sz w:val="20"/>
          <w:szCs w:val="20"/>
          <w:color w:val="auto"/>
        </w:rPr>
      </w:pPr>
    </w:p>
    <w:tbl>
      <w:tblPr>
        <w:tblLayout w:type="fixed"/>
        <w:tblInd w:w="2620" w:type="dxa"/>
        <w:tblCellMar>
          <w:top w:w="0" w:type="dxa"/>
          <w:left w:w="0" w:type="dxa"/>
          <w:bottom w:w="0" w:type="dxa"/>
          <w:right w:w="0" w:type="dxa"/>
        </w:tblCellMar>
      </w:tblPr>
      <w:tr>
        <w:trPr>
          <w:trHeight w:val="210"/>
        </w:trPr>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9"/>
              </w:rPr>
              <w:t>Thirteen Weeks Ended</w:t>
            </w: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Thirty-Nine Weeks Ended</w:t>
            </w:r>
          </w:p>
        </w:tc>
      </w:tr>
      <w:tr>
        <w:trPr>
          <w:trHeight w:val="259"/>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22"/>
                <w:szCs w:val="22"/>
                <w:color w:val="auto"/>
              </w:rPr>
            </w:pPr>
          </w:p>
        </w:tc>
        <w:tc>
          <w:tcPr>
            <w:tcW w:w="18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May 31, 2025</w:t>
            </w:r>
          </w:p>
        </w:tc>
        <w:tc>
          <w:tcPr>
            <w:tcW w:w="280" w:type="dxa"/>
            <w:vAlign w:val="bottom"/>
          </w:tcPr>
          <w:p>
            <w:pPr>
              <w:spacing w:after="0"/>
              <w:rPr>
                <w:sz w:val="22"/>
                <w:szCs w:val="22"/>
                <w:color w:val="auto"/>
              </w:rPr>
            </w:pPr>
          </w:p>
        </w:tc>
        <w:tc>
          <w:tcPr>
            <w:tcW w:w="156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May 31, 2025</w:t>
            </w:r>
          </w:p>
        </w:tc>
      </w:tr>
      <w:tr>
        <w:trPr>
          <w:trHeight w:val="213"/>
        </w:trPr>
        <w:tc>
          <w:tcPr>
            <w:tcW w:w="2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33,551</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99,611</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Pro Forma Financial Information</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 forma financial information is not intended to represent or be indicative of the actual results of operations of the combined business that would have been reported had the OWYN Acquisition been completed at the beginning of the fiscal year 2024, nor is it representative of future operating results of the Company.</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unaudited pro forma combined financial information is prepared based on ASC 805 period end guidance. The Company and the legacy OWYN entity have different fiscal year ends, with Simply Good Foods’ fiscal year being the last Saturday of August while the legacy OWYN business fiscal year was December 31. Because the year ends differ by more than 93 days, OWYN’s financial information is required to be adjusted to a period within 93 days of Simply Good Foods’ fiscal period end. In addition to these period end adjustments, the pro forma results include certain nonrecurring adjustments that were directly related to the business combination, including business transaction costs, as disclosed above.</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combined financial information presents combined results of the Company assuming the OWYN Acquisition occurred at the beginning of fiscal year 2024:</w:t>
      </w:r>
    </w:p>
    <w:p>
      <w:pPr>
        <w:spacing w:after="0" w:line="234" w:lineRule="exact"/>
        <w:rPr>
          <w:sz w:val="20"/>
          <w:szCs w:val="20"/>
          <w:color w:val="auto"/>
        </w:rPr>
      </w:pPr>
    </w:p>
    <w:tbl>
      <w:tblPr>
        <w:tblLayout w:type="fixed"/>
        <w:tblInd w:w="1920" w:type="dxa"/>
        <w:tblCellMar>
          <w:top w:w="0" w:type="dxa"/>
          <w:left w:w="0" w:type="dxa"/>
          <w:bottom w:w="0" w:type="dxa"/>
          <w:right w:w="0" w:type="dxa"/>
        </w:tblCellMar>
      </w:tblPr>
      <w:tr>
        <w:trPr>
          <w:trHeight w:val="210"/>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Thirteen Weeks Ended</w:t>
            </w:r>
          </w:p>
        </w:tc>
        <w:tc>
          <w:tcPr>
            <w:tcW w:w="140" w:type="dxa"/>
            <w:vAlign w:val="bottom"/>
          </w:tcPr>
          <w:p>
            <w:pPr>
              <w:spacing w:after="0"/>
              <w:rPr>
                <w:sz w:val="18"/>
                <w:szCs w:val="18"/>
                <w:color w:val="auto"/>
              </w:rPr>
            </w:pPr>
          </w:p>
        </w:tc>
        <w:tc>
          <w:tcPr>
            <w:tcW w:w="19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Thirty-Nine Weeks Ended</w:t>
            </w:r>
          </w:p>
        </w:tc>
      </w:tr>
      <w:tr>
        <w:trPr>
          <w:trHeight w:val="229"/>
        </w:trPr>
        <w:tc>
          <w:tcPr>
            <w:tcW w:w="3240" w:type="dxa"/>
            <w:vAlign w:val="bottom"/>
            <w:gridSpan w:val="2"/>
          </w:tcPr>
          <w:p>
            <w:pPr>
              <w:ind w:left="6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9"/>
                <w:szCs w:val="19"/>
                <w:color w:val="auto"/>
              </w:rPr>
            </w:pPr>
          </w:p>
        </w:tc>
        <w:tc>
          <w:tcPr>
            <w:tcW w:w="19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May 25, 2024</w:t>
            </w:r>
          </w:p>
        </w:tc>
        <w:tc>
          <w:tcPr>
            <w:tcW w:w="140" w:type="dxa"/>
            <w:vAlign w:val="bottom"/>
          </w:tcPr>
          <w:p>
            <w:pPr>
              <w:spacing w:after="0"/>
              <w:rPr>
                <w:sz w:val="19"/>
                <w:szCs w:val="19"/>
                <w:color w:val="auto"/>
              </w:rPr>
            </w:pPr>
          </w:p>
        </w:tc>
        <w:tc>
          <w:tcPr>
            <w:tcW w:w="192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May 25, 2024</w:t>
            </w:r>
          </w:p>
        </w:tc>
      </w:tr>
      <w:tr>
        <w:trPr>
          <w:trHeight w:val="229"/>
        </w:trPr>
        <w:tc>
          <w:tcPr>
            <w:tcW w:w="31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364,606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1,034,114</w:t>
            </w:r>
          </w:p>
        </w:tc>
      </w:tr>
      <w:tr>
        <w:trPr>
          <w:trHeight w:val="210"/>
        </w:trPr>
        <w:tc>
          <w:tcPr>
            <w:tcW w:w="32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38,887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96,060</w:t>
            </w:r>
          </w:p>
        </w:tc>
      </w:tr>
    </w:tbl>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 Recognition</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Revenue from transactions with external customers for each of the Company’s products would be impracticable to disclose and management does not view its business by product line. The following is a summary of revenue disaggregated by geographic area and brands:</w:t>
      </w:r>
    </w:p>
    <w:p>
      <w:pPr>
        <w:spacing w:after="0" w:line="288" w:lineRule="exact"/>
        <w:rPr>
          <w:sz w:val="20"/>
          <w:szCs w:val="20"/>
          <w:color w:val="auto"/>
        </w:rPr>
      </w:pPr>
    </w:p>
    <w:tbl>
      <w:tblPr>
        <w:tblLayout w:type="fixed"/>
        <w:tblInd w:w="680" w:type="dxa"/>
        <w:tblCellMar>
          <w:top w:w="0" w:type="dxa"/>
          <w:left w:w="0" w:type="dxa"/>
          <w:bottom w:w="0" w:type="dxa"/>
          <w:right w:w="0" w:type="dxa"/>
        </w:tblCellMar>
      </w:tblPr>
      <w:tr>
        <w:trPr>
          <w:trHeight w:val="210"/>
        </w:trPr>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color w:val="auto"/>
              </w:rPr>
              <w:t>Thirteen Weeks Ended</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color w:val="auto"/>
              </w:rPr>
              <w:t>Thirty-Nine Weeks Ended</w:t>
            </w:r>
          </w:p>
        </w:tc>
      </w:tr>
      <w:tr>
        <w:trPr>
          <w:trHeight w:val="253"/>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May 31, 2025</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May 25, 2024</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May 31, 2025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May 25, 2024</w:t>
            </w:r>
          </w:p>
        </w:tc>
      </w:tr>
      <w:tr>
        <w:trPr>
          <w:trHeight w:val="253"/>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North America </w:t>
            </w:r>
            <w:r>
              <w:rPr>
                <w:rFonts w:ascii="Times New Roman" w:cs="Times New Roman" w:eastAsia="Times New Roman" w:hAnsi="Times New Roman"/>
                <w:sz w:val="21"/>
                <w:szCs w:val="21"/>
                <w:color w:val="auto"/>
                <w:vertAlign w:val="superscript"/>
              </w:rPr>
              <w:t>(1)</w:t>
            </w: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67"/>
        </w:trPr>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Atkins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112,287</w:t>
            </w:r>
          </w:p>
        </w:tc>
        <w:tc>
          <w:tcPr>
            <w:tcW w:w="140" w:type="dxa"/>
            <w:vAlign w:val="bottom"/>
          </w:tcPr>
          <w:p>
            <w:pPr>
              <w:spacing w:after="0"/>
              <w:rPr>
                <w:sz w:val="23"/>
                <w:szCs w:val="23"/>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128,602</w:t>
            </w:r>
          </w:p>
        </w:tc>
        <w:tc>
          <w:tcPr>
            <w:tcW w:w="1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329,105</w:t>
            </w:r>
          </w:p>
        </w:tc>
        <w:tc>
          <w:tcPr>
            <w:tcW w:w="12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370,855</w:t>
            </w:r>
          </w:p>
        </w:tc>
      </w:tr>
      <w:tr>
        <w:trPr>
          <w:trHeight w:val="273"/>
        </w:trPr>
        <w:tc>
          <w:tcPr>
            <w:tcW w:w="3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Quest</w:t>
            </w: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227,737</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198,096</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630,445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560,433</w:t>
            </w:r>
          </w:p>
        </w:tc>
      </w:tr>
      <w:tr>
        <w:trPr>
          <w:trHeight w:val="267"/>
        </w:trPr>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OWYN</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33,551</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99,611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362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North America</w:t>
            </w:r>
          </w:p>
        </w:tc>
        <w:tc>
          <w:tcPr>
            <w:tcW w:w="18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373,575</w:t>
            </w:r>
          </w:p>
        </w:tc>
        <w:tc>
          <w:tcPr>
            <w:tcW w:w="14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326,698</w:t>
            </w:r>
          </w:p>
        </w:tc>
        <w:tc>
          <w:tcPr>
            <w:tcW w:w="14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1,059,161</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931,288</w:t>
            </w:r>
          </w:p>
        </w:tc>
      </w:tr>
      <w:tr>
        <w:trPr>
          <w:trHeight w:val="267"/>
        </w:trPr>
        <w:tc>
          <w:tcPr>
            <w:tcW w:w="3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1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7,381</w:t>
            </w:r>
          </w:p>
        </w:tc>
        <w:tc>
          <w:tcPr>
            <w:tcW w:w="1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8,059</w:t>
            </w:r>
          </w:p>
        </w:tc>
        <w:tc>
          <w:tcPr>
            <w:tcW w:w="1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22,718</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24,346</w:t>
            </w:r>
          </w:p>
        </w:tc>
      </w:tr>
      <w:tr>
        <w:trPr>
          <w:trHeight w:val="251"/>
        </w:trPr>
        <w:tc>
          <w:tcPr>
            <w:tcW w:w="36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net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380,956</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334,757</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1,081,879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955,634</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780" w:right="700" w:hanging="86"/>
        <w:spacing w:after="0" w:line="228" w:lineRule="auto"/>
        <w:tabs>
          <w:tab w:leader="none" w:pos="848"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North America geographic area consists of net sales substantially related to the United States and there is no individual foreign country to which more than 10% of the Company’s net sales are attributed or that is otherwise deemed individually material.</w:t>
      </w:r>
    </w:p>
    <w:p>
      <w:pPr>
        <w:spacing w:after="0" w:line="3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Charges related to credit losses on accounts receivable from transactions with external customers were $0.1 million and $0.2 million for the thirteen and thirty-nine weeks ended May 31, 2025, respectively. Charges related to credit losses on accounts receivable from transactions with external customers were immaterial and $(0.2) million for the thirteen and thirty-nine weeks ended May 25, 2024, respectively. As of May 31, 2025, and August 31, 2024, the allowance for credit losses related to accounts receivable were $1.6 million and $0.7 million,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Changes to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xml:space="preserve"> during the thirty-nine weeks ended May 31, 2025, were as follows:</w:t>
      </w:r>
    </w:p>
    <w:p>
      <w:pPr>
        <w:spacing w:after="0" w:line="297" w:lineRule="exact"/>
        <w:rPr>
          <w:sz w:val="20"/>
          <w:szCs w:val="20"/>
          <w:color w:val="auto"/>
        </w:rPr>
      </w:pPr>
    </w:p>
    <w:tbl>
      <w:tblPr>
        <w:tblLayout w:type="fixed"/>
        <w:tblInd w:w="3000" w:type="dxa"/>
        <w:tblCellMar>
          <w:top w:w="0" w:type="dxa"/>
          <w:left w:w="0" w:type="dxa"/>
          <w:bottom w:w="0" w:type="dxa"/>
          <w:right w:w="0" w:type="dxa"/>
        </w:tblCellMar>
      </w:tblPr>
      <w:tr>
        <w:trPr>
          <w:trHeight w:val="215"/>
        </w:trPr>
        <w:tc>
          <w:tcPr>
            <w:tcW w:w="392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8"/>
                <w:szCs w:val="18"/>
                <w:color w:val="auto"/>
              </w:rPr>
            </w:pPr>
          </w:p>
        </w:tc>
        <w:tc>
          <w:tcPr>
            <w:tcW w:w="11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Goodwill</w:t>
            </w:r>
          </w:p>
        </w:tc>
      </w:tr>
      <w:tr>
        <w:trPr>
          <w:trHeight w:val="213"/>
        </w:trPr>
        <w:tc>
          <w:tcPr>
            <w:tcW w:w="3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August 31, 2024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591,687</w:t>
            </w:r>
          </w:p>
        </w:tc>
      </w:tr>
      <w:tr>
        <w:trPr>
          <w:trHeight w:val="213"/>
        </w:trPr>
        <w:tc>
          <w:tcPr>
            <w:tcW w:w="3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Acquisition of business</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w:t>
            </w:r>
          </w:p>
        </w:tc>
      </w:tr>
      <w:tr>
        <w:trPr>
          <w:trHeight w:val="244"/>
        </w:trPr>
        <w:tc>
          <w:tcPr>
            <w:tcW w:w="3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May 31, 2025</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589,974</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change in the Company's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xml:space="preserve"> from August 31, 2024, to May 31, 2025, is the result of the acquisition method of accounting related to the OWYN Acquisition, as described in Note 3. There were no impairment charges related to goodwill during the thirteen and thirty-nine weeks ended May 31, 2025, or since the inception of the Company.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Intangible assets, net </w:t>
      </w:r>
      <w:r>
        <w:rPr>
          <w:rFonts w:ascii="Times New Roman" w:cs="Times New Roman" w:eastAsia="Times New Roman" w:hAnsi="Times New Roman"/>
          <w:sz w:val="18"/>
          <w:szCs w:val="18"/>
          <w:color w:val="auto"/>
        </w:rPr>
        <w:t>in the Consolidated Balance Sheets consists of the following:</w:t>
      </w:r>
    </w:p>
    <w:p>
      <w:pPr>
        <w:spacing w:after="0" w:line="178" w:lineRule="exact"/>
        <w:rPr>
          <w:sz w:val="20"/>
          <w:szCs w:val="20"/>
          <w:color w:val="auto"/>
        </w:rPr>
      </w:pPr>
    </w:p>
    <w:tbl>
      <w:tblPr>
        <w:tblLayout w:type="fixed"/>
        <w:tblInd w:w="90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May 31, 2025</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vMerge w:val="restart"/>
          </w:tcPr>
          <w:p>
            <w:pPr>
              <w:jc w:val="center"/>
              <w:ind w:right="139"/>
              <w:spacing w:after="0"/>
              <w:rPr>
                <w:sz w:val="20"/>
                <w:szCs w:val="20"/>
                <w:color w:val="auto"/>
              </w:rPr>
            </w:pPr>
            <w:r>
              <w:rPr>
                <w:rFonts w:ascii="Times New Roman" w:cs="Times New Roman" w:eastAsia="Times New Roman" w:hAnsi="Times New Roman"/>
                <w:sz w:val="16"/>
                <w:szCs w:val="16"/>
                <w:color w:val="auto"/>
              </w:rPr>
              <w:t>Useful life</w:t>
            </w:r>
          </w:p>
        </w:tc>
        <w:tc>
          <w:tcPr>
            <w:tcW w:w="14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Gross carrying</w:t>
            </w:r>
          </w:p>
        </w:tc>
        <w:tc>
          <w:tcPr>
            <w:tcW w:w="140" w:type="dxa"/>
            <w:vAlign w:val="bottom"/>
          </w:tcPr>
          <w:p>
            <w:pPr>
              <w:spacing w:after="0"/>
              <w:rPr>
                <w:sz w:val="17"/>
                <w:szCs w:val="17"/>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Accumulated</w:t>
            </w:r>
          </w:p>
        </w:tc>
        <w:tc>
          <w:tcPr>
            <w:tcW w:w="200" w:type="dxa"/>
            <w:vAlign w:val="bottom"/>
          </w:tcPr>
          <w:p>
            <w:pPr>
              <w:spacing w:after="0"/>
              <w:rPr>
                <w:sz w:val="17"/>
                <w:szCs w:val="17"/>
                <w:color w:val="auto"/>
              </w:rPr>
            </w:pPr>
          </w:p>
        </w:tc>
        <w:tc>
          <w:tcPr>
            <w:tcW w:w="126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Net carrying</w:t>
            </w:r>
          </w:p>
        </w:tc>
        <w:tc>
          <w:tcPr>
            <w:tcW w:w="0" w:type="dxa"/>
            <w:vAlign w:val="bottom"/>
          </w:tcPr>
          <w:p>
            <w:pPr>
              <w:spacing w:after="0"/>
              <w:rPr>
                <w:sz w:val="1"/>
                <w:szCs w:val="1"/>
                <w:color w:val="auto"/>
              </w:rPr>
            </w:pPr>
          </w:p>
        </w:tc>
      </w:tr>
      <w:tr>
        <w:trPr>
          <w:trHeight w:val="213"/>
        </w:trPr>
        <w:tc>
          <w:tcPr>
            <w:tcW w:w="34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amount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rPr>
              <w:t>amortization</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w w:val="99"/>
              </w:rPr>
              <w:t>amount</w:t>
            </w:r>
          </w:p>
        </w:tc>
        <w:tc>
          <w:tcPr>
            <w:tcW w:w="0" w:type="dxa"/>
            <w:vAlign w:val="bottom"/>
          </w:tcPr>
          <w:p>
            <w:pPr>
              <w:spacing w:after="0"/>
              <w:rPr>
                <w:sz w:val="1"/>
                <w:szCs w:val="1"/>
                <w:color w:val="auto"/>
              </w:rPr>
            </w:pPr>
          </w:p>
        </w:tc>
      </w:tr>
      <w:tr>
        <w:trPr>
          <w:trHeight w:val="25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with indefinite life:</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Brands and trademarks</w:t>
            </w:r>
          </w:p>
        </w:tc>
        <w:tc>
          <w:tcPr>
            <w:tcW w:w="126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Indefinite life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1,197,000</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1,197,000</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with finite lives:</w:t>
            </w:r>
          </w:p>
        </w:tc>
        <w:tc>
          <w:tcPr>
            <w:tcW w:w="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Customer relationships</w:t>
            </w:r>
          </w:p>
        </w:tc>
        <w:tc>
          <w:tcPr>
            <w:tcW w:w="200" w:type="dxa"/>
            <w:vAlign w:val="bottom"/>
          </w:tcPr>
          <w:p>
            <w:pPr>
              <w:spacing w:after="0"/>
              <w:rPr>
                <w:sz w:val="23"/>
                <w:szCs w:val="23"/>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15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194,500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74,896</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119,604</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Licensing agreements</w:t>
            </w:r>
          </w:p>
        </w:tc>
        <w:tc>
          <w:tcPr>
            <w:tcW w:w="200" w:type="dxa"/>
            <w:vAlign w:val="bottom"/>
            <w:shd w:val="clear" w:color="auto" w:fill="CCEEFF"/>
          </w:tcPr>
          <w:p>
            <w:pPr>
              <w:spacing w:after="0"/>
              <w:rPr>
                <w:sz w:val="23"/>
                <w:szCs w:val="23"/>
                <w:color w:val="auto"/>
              </w:rPr>
            </w:pPr>
          </w:p>
        </w:tc>
        <w:tc>
          <w:tcPr>
            <w:tcW w:w="1060" w:type="dxa"/>
            <w:vAlign w:val="bottom"/>
            <w:gridSpan w:val="3"/>
            <w:shd w:val="clear" w:color="auto" w:fill="CCEEFF"/>
          </w:tcPr>
          <w:p>
            <w:pPr>
              <w:jc w:val="center"/>
              <w:ind w:right="360"/>
              <w:spacing w:after="0"/>
              <w:rPr>
                <w:sz w:val="20"/>
                <w:szCs w:val="20"/>
                <w:color w:val="auto"/>
              </w:rPr>
            </w:pPr>
            <w:r>
              <w:rPr>
                <w:rFonts w:ascii="Times New Roman" w:cs="Times New Roman" w:eastAsia="Times New Roman" w:hAnsi="Times New Roman"/>
                <w:sz w:val="16"/>
                <w:szCs w:val="16"/>
                <w:color w:val="auto"/>
              </w:rPr>
              <w:t>13 years</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22,000</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13,853</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8,147</w:t>
            </w: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Proprietary recipes and formulas</w:t>
            </w:r>
          </w:p>
        </w:tc>
        <w:tc>
          <w:tcPr>
            <w:tcW w:w="200" w:type="dxa"/>
            <w:vAlign w:val="bottom"/>
          </w:tcPr>
          <w:p>
            <w:pPr>
              <w:spacing w:after="0"/>
              <w:rPr>
                <w:sz w:val="23"/>
                <w:szCs w:val="23"/>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7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7,000</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Software and website development costs</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74"/>
              </w:rPr>
              <w:t>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5 years</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5,034</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4,947</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Intangible assets in progress</w:t>
            </w:r>
          </w:p>
        </w:tc>
        <w:tc>
          <w:tcPr>
            <w:tcW w:w="20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74"/>
              </w:rPr>
              <w:t>3</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5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w:t>
            </w:r>
          </w:p>
        </w:tc>
        <w:tc>
          <w:tcPr>
            <w:tcW w:w="0" w:type="dxa"/>
            <w:vAlign w:val="bottom"/>
          </w:tcPr>
          <w:p>
            <w:pPr>
              <w:spacing w:after="0"/>
              <w:rPr>
                <w:sz w:val="1"/>
                <w:szCs w:val="1"/>
                <w:color w:val="auto"/>
              </w:rPr>
            </w:pPr>
          </w:p>
        </w:tc>
      </w:tr>
      <w:tr>
        <w:trPr>
          <w:trHeight w:val="248"/>
        </w:trPr>
        <w:tc>
          <w:tcPr>
            <w:tcW w:w="34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1,426,649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100,696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1,325,953</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3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August 31, 2024</w:t>
            </w: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restart"/>
          </w:tcPr>
          <w:p>
            <w:pPr>
              <w:jc w:val="center"/>
              <w:ind w:right="139"/>
              <w:spacing w:after="0"/>
              <w:rPr>
                <w:sz w:val="20"/>
                <w:szCs w:val="20"/>
                <w:color w:val="auto"/>
              </w:rPr>
            </w:pPr>
            <w:r>
              <w:rPr>
                <w:rFonts w:ascii="Times New Roman" w:cs="Times New Roman" w:eastAsia="Times New Roman" w:hAnsi="Times New Roman"/>
                <w:sz w:val="16"/>
                <w:szCs w:val="16"/>
                <w:color w:val="auto"/>
              </w:rPr>
              <w:t>Useful life</w:t>
            </w:r>
          </w:p>
        </w:tc>
        <w:tc>
          <w:tcPr>
            <w:tcW w:w="14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Gross carrying</w:t>
            </w:r>
          </w:p>
        </w:tc>
        <w:tc>
          <w:tcPr>
            <w:tcW w:w="140" w:type="dxa"/>
            <w:vAlign w:val="bottom"/>
          </w:tcPr>
          <w:p>
            <w:pPr>
              <w:spacing w:after="0"/>
              <w:rPr>
                <w:sz w:val="16"/>
                <w:szCs w:val="16"/>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Accumulated</w:t>
            </w:r>
          </w:p>
        </w:tc>
        <w:tc>
          <w:tcPr>
            <w:tcW w:w="200" w:type="dxa"/>
            <w:vAlign w:val="bottom"/>
          </w:tcPr>
          <w:p>
            <w:pPr>
              <w:spacing w:after="0"/>
              <w:rPr>
                <w:sz w:val="16"/>
                <w:szCs w:val="16"/>
                <w:color w:val="auto"/>
              </w:rPr>
            </w:pPr>
          </w:p>
        </w:tc>
        <w:tc>
          <w:tcPr>
            <w:tcW w:w="126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Net carrying</w:t>
            </w:r>
          </w:p>
        </w:tc>
        <w:tc>
          <w:tcPr>
            <w:tcW w:w="0" w:type="dxa"/>
            <w:vAlign w:val="bottom"/>
          </w:tcPr>
          <w:p>
            <w:pPr>
              <w:spacing w:after="0"/>
              <w:rPr>
                <w:sz w:val="1"/>
                <w:szCs w:val="1"/>
                <w:color w:val="auto"/>
              </w:rPr>
            </w:pPr>
          </w:p>
        </w:tc>
      </w:tr>
      <w:tr>
        <w:trPr>
          <w:trHeight w:val="213"/>
        </w:trPr>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amount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rPr>
              <w:t>amortization</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w w:val="99"/>
              </w:rPr>
              <w:t>amount</w:t>
            </w:r>
          </w:p>
        </w:tc>
        <w:tc>
          <w:tcPr>
            <w:tcW w:w="0" w:type="dxa"/>
            <w:vAlign w:val="bottom"/>
          </w:tcPr>
          <w:p>
            <w:pPr>
              <w:spacing w:after="0"/>
              <w:rPr>
                <w:sz w:val="1"/>
                <w:szCs w:val="1"/>
                <w:color w:val="auto"/>
              </w:rPr>
            </w:pPr>
          </w:p>
        </w:tc>
      </w:tr>
      <w:tr>
        <w:trPr>
          <w:trHeight w:val="25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with indefinite life:</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Brands and trademarks</w:t>
            </w:r>
          </w:p>
        </w:tc>
        <w:tc>
          <w:tcPr>
            <w:tcW w:w="126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Indefinite life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1,197,000</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1,197,000</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with finite lives:</w:t>
            </w:r>
          </w:p>
        </w:tc>
        <w:tc>
          <w:tcPr>
            <w:tcW w:w="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Customer relationships</w:t>
            </w:r>
          </w:p>
        </w:tc>
        <w:tc>
          <w:tcPr>
            <w:tcW w:w="200" w:type="dxa"/>
            <w:vAlign w:val="bottom"/>
          </w:tcPr>
          <w:p>
            <w:pPr>
              <w:spacing w:after="0"/>
              <w:rPr>
                <w:sz w:val="23"/>
                <w:szCs w:val="23"/>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15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194,500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65,171</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129,329</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Licensing agreements</w:t>
            </w:r>
          </w:p>
        </w:tc>
        <w:tc>
          <w:tcPr>
            <w:tcW w:w="200" w:type="dxa"/>
            <w:vAlign w:val="bottom"/>
            <w:shd w:val="clear" w:color="auto" w:fill="CCEEFF"/>
          </w:tcPr>
          <w:p>
            <w:pPr>
              <w:spacing w:after="0"/>
              <w:rPr>
                <w:sz w:val="23"/>
                <w:szCs w:val="23"/>
                <w:color w:val="auto"/>
              </w:rPr>
            </w:pPr>
          </w:p>
        </w:tc>
        <w:tc>
          <w:tcPr>
            <w:tcW w:w="1060" w:type="dxa"/>
            <w:vAlign w:val="bottom"/>
            <w:gridSpan w:val="3"/>
            <w:shd w:val="clear" w:color="auto" w:fill="CCEEFF"/>
          </w:tcPr>
          <w:p>
            <w:pPr>
              <w:jc w:val="center"/>
              <w:ind w:right="360"/>
              <w:spacing w:after="0"/>
              <w:rPr>
                <w:sz w:val="20"/>
                <w:szCs w:val="20"/>
                <w:color w:val="auto"/>
              </w:rPr>
            </w:pPr>
            <w:r>
              <w:rPr>
                <w:rFonts w:ascii="Times New Roman" w:cs="Times New Roman" w:eastAsia="Times New Roman" w:hAnsi="Times New Roman"/>
                <w:sz w:val="16"/>
                <w:szCs w:val="16"/>
                <w:color w:val="auto"/>
              </w:rPr>
              <w:t>13 years</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22,000</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12,415</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9,585</w:t>
            </w: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Proprietary recipes and formulas</w:t>
            </w:r>
          </w:p>
        </w:tc>
        <w:tc>
          <w:tcPr>
            <w:tcW w:w="200" w:type="dxa"/>
            <w:vAlign w:val="bottom"/>
          </w:tcPr>
          <w:p>
            <w:pPr>
              <w:spacing w:after="0"/>
              <w:rPr>
                <w:sz w:val="23"/>
                <w:szCs w:val="23"/>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7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7,000</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Software and website development costs</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74"/>
              </w:rPr>
              <w:t>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5 years</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5,034</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4,921</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Intangible assets in progress</w:t>
            </w:r>
          </w:p>
        </w:tc>
        <w:tc>
          <w:tcPr>
            <w:tcW w:w="20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74"/>
              </w:rPr>
              <w:t>3</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5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0" w:type="dxa"/>
            <w:vAlign w:val="bottom"/>
          </w:tcPr>
          <w:p>
            <w:pPr>
              <w:spacing w:after="0"/>
              <w:rPr>
                <w:sz w:val="1"/>
                <w:szCs w:val="1"/>
                <w:color w:val="auto"/>
              </w:rPr>
            </w:pPr>
          </w:p>
        </w:tc>
      </w:tr>
      <w:tr>
        <w:trPr>
          <w:trHeight w:val="248"/>
        </w:trPr>
        <w:tc>
          <w:tcPr>
            <w:tcW w:w="34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1,425,973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89,507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1,336,466</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Changes in </w:t>
      </w:r>
      <w:r>
        <w:rPr>
          <w:rFonts w:ascii="Times New Roman" w:cs="Times New Roman" w:eastAsia="Times New Roman" w:hAnsi="Times New Roman"/>
          <w:sz w:val="18"/>
          <w:szCs w:val="18"/>
          <w:i w:val="1"/>
          <w:iCs w:val="1"/>
          <w:color w:val="auto"/>
        </w:rPr>
        <w:t>Intangible assets, net</w:t>
      </w:r>
      <w:r>
        <w:rPr>
          <w:rFonts w:ascii="Times New Roman" w:cs="Times New Roman" w:eastAsia="Times New Roman" w:hAnsi="Times New Roman"/>
          <w:sz w:val="18"/>
          <w:szCs w:val="18"/>
          <w:color w:val="auto"/>
        </w:rPr>
        <w:t xml:space="preserve"> during the thirty-nine weeks ended May 31, 2025, were primarily related to recurring amortization expense. Amortization expense related to intangible assets was $3.7 million for the thirteen weeks ended May 31, 2025, and May 25, 2024, and $11.2 million and $11.4 million for the thirty-nine weeks ended May 31, 2025, and May 25, 2024, respectively. There were no impairment charges related to its finite-lived intangible assets during the thirteen and thirty-nine weeks ended May 31, 2025, and May 25, 2024.</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Estimated future amortization for each of the next five fiscal years and thereafter is as follows:</w:t>
      </w:r>
    </w:p>
    <w:p>
      <w:pPr>
        <w:spacing w:after="0" w:line="336" w:lineRule="exact"/>
        <w:rPr>
          <w:sz w:val="20"/>
          <w:szCs w:val="20"/>
          <w:color w:val="auto"/>
        </w:rPr>
      </w:pPr>
    </w:p>
    <w:tbl>
      <w:tblPr>
        <w:tblLayout w:type="fixed"/>
        <w:tblInd w:w="2940" w:type="dxa"/>
        <w:tblCellMar>
          <w:top w:w="0" w:type="dxa"/>
          <w:left w:w="0" w:type="dxa"/>
          <w:bottom w:w="0" w:type="dxa"/>
          <w:right w:w="0" w:type="dxa"/>
        </w:tblCellMar>
      </w:tblPr>
      <w:tr>
        <w:trPr>
          <w:trHeight w:val="215"/>
        </w:trPr>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Amortization</w:t>
            </w:r>
          </w:p>
        </w:tc>
      </w:tr>
      <w:tr>
        <w:trPr>
          <w:trHeight w:val="253"/>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Remainder of 2025</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3,728</w:t>
            </w:r>
          </w:p>
        </w:tc>
      </w:tr>
      <w:tr>
        <w:trPr>
          <w:trHeight w:val="267"/>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14,891</w:t>
            </w:r>
          </w:p>
        </w:tc>
      </w:tr>
      <w:tr>
        <w:trPr>
          <w:trHeight w:val="27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14,891</w:t>
            </w:r>
          </w:p>
        </w:tc>
      </w:tr>
      <w:tr>
        <w:trPr>
          <w:trHeight w:val="267"/>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2028</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14,891</w:t>
            </w:r>
          </w:p>
        </w:tc>
      </w:tr>
      <w:tr>
        <w:trPr>
          <w:trHeight w:val="27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2029</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14,891</w:t>
            </w:r>
          </w:p>
        </w:tc>
      </w:tr>
      <w:tr>
        <w:trPr>
          <w:trHeight w:val="267"/>
        </w:trPr>
        <w:tc>
          <w:tcPr>
            <w:tcW w:w="38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2030 and thereafter</w:t>
            </w:r>
          </w:p>
        </w:tc>
        <w:tc>
          <w:tcPr>
            <w:tcW w:w="2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64,546</w:t>
            </w:r>
          </w:p>
        </w:tc>
      </w:tr>
      <w:tr>
        <w:trPr>
          <w:trHeight w:val="251"/>
        </w:trPr>
        <w:tc>
          <w:tcPr>
            <w:tcW w:w="3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127,838</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6. Long-Term Debt and Line of Credit</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July 7, 2017, the Company (through certain of its subsidiaries) entered into a credit agreement with Barclays Bank PLC and other parties (as amended to date, the “Credit Agreement”). The Credit Agreement at that time provided for (i) a term facility of $200.0 million (“Term Facility”) with a seven-year maturity and (ii) a revolving credit facility of up to $75.0 million (the “Revolving Credit Facility”) with a five-year maturity. Substantially concurrent with the consummation of the business combination which formed the Company between Conyers Park Acquisition Corp. and NCP-ATK Holdings, Inc. on July 7, 2017, the full $200.0 million of the Term Facility (the “Term Loan”) was drawn.</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November 7, 2019, the Company entered into a second amendment (the “Incremental Facility Amendment”) to the Credit Agreement to increase the principal borrowed on the Term Facility by $460.0 million. The Term Facility together with the incremental borrowing make up the Initial Term Loans (as defined in the Incremental Facility Amendment). The Incremental Facility Amendment was executed to partially finance the acquisition of Quest Nutrition, LLC on November 7, 2019. No amounts under the Term Facility were repaid as a result of the execution of the Incremental Facility Amendment.</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Effective as of December 16, 2021, the Company entered into a third amendment (the “Extension Amendment”) to the Credit Agreement. The Extension Amendment provided for an extension of the stated maturity date of the Revolving Commitments and Revolving Loans (each as defined in the Credit Agreement) from July 7, 2022, to the earlier of (i) 91 days prior to the then-effective maturity date of the Initial Term Loans and (ii) December 16, 2026.</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January 21, 2022, the Company entered into the “2022 Repricing Amendment” to the Credit Agreement. The 2022 Repricing Amendment, among other things, (i) reduced the interest rate per annum applicable to the Initial Term Loans outstanding under the Credit Agreement immediately prior to the effective date of the 2022 Repricing Amendment, (ii) reset the prepayment premium for the existing Initial Term Loans to apply to Repricing Transactions (as defined in the Credit Agreement) that occur within six months after the effective date of the 2022 Repricing Amendment, and (iii) implemented SOFR and related replacement provisions for LIBOR.</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25, 2023, the Company entered into the “2023 Repricing Amendment” to the Credit Agreement. The 2023 Repricing Amendment, (i) reduced the interest rate per annum applicable to the Initial Term Loans outstanding under the Credit Agreement immediately prior to April 25, 2023, and (ii) provided for an extension of the maturity date of the Initial Term Loans from July 7, 2024, to March 17, 2027.</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13, 2024, the Company entered into a sixth amendment (the “2024 Incremental Facility Amendment”) to the Credit Agreement to increase the principal borrowed on the Term Facility by $250.0 million. The terms of the incremental borrowing are the same as the terms of the outstanding borrowings under the Term Facility. The 2024 Incremental Facility Amendment was executed to partially finance the OWYN Acquisition. No amounts under the Term Facility were repaid as a result of the execution of the 2024 Incremental Facility Amendment.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31, 2025, the Company entered into a seventh amendment (the “2025 Repricing Amendment”) to the Credit Agreement to reduce the interest rate per annum applicable to the Initial Term Loans outstanding under the Credit Agreement immediately prior to the effective date of the 2025 Repricing Amendment.</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Effective as of the 2025 Repricing Amendment, the interest rate per annum for the Initial Term Loans is based on either:</w:t>
      </w:r>
    </w:p>
    <w:p>
      <w:pPr>
        <w:spacing w:after="0" w:line="90" w:lineRule="exact"/>
        <w:rPr>
          <w:sz w:val="20"/>
          <w:szCs w:val="20"/>
          <w:color w:val="auto"/>
        </w:rPr>
      </w:pPr>
    </w:p>
    <w:p>
      <w:pPr>
        <w:jc w:val="both"/>
        <w:ind w:left="660" w:hanging="328"/>
        <w:spacing w:after="0" w:line="266" w:lineRule="auto"/>
        <w:tabs>
          <w:tab w:leader="none" w:pos="67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rate equaling the higher of (a) the “prime rate,” (b) the federal funds effective rate plus 0.50%, or (c) the Adjusted Term SOFR Rate (as defined in the Credit Agreement) applicable for an interest period of one month plus 1.00% plus (x) 1.00% margin for the Term Loan or (y) 2.00% margin for the Revolving Credit Facility; or</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SOFR, subject to a floor of 0.50%, plus (x) 2.00% margin for the Term Loan or (y) 3.00% margin for the Revolving Credit Facility.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In connection with the closing of the 2025 Repricing Amendment, the Company expensed $0.7 million of non-deferrable third-party costs through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Simply Good Foods Company is not a borrower under the Credit Agreement and has not provided a guarantee of the Credit Agreement. Simply Good Foods USA, Inc., is the administrative borrower and certain other subsidiary holding companies are co-borrowers under the Credit Agreement. Each of the Company’s domestic subsidiaries that is not a named borrower under the Credit Agreement has provided a guarantee on a secured basis. As security for the payment or performance of the debt under the Credit Agreement, the borrowers and the guarantors have pledged certain equity interests in their respective subsidiaries and granted the lenders a security interest in substantially all of their domestic assets. All guarantors other than Quest Nutrition, LLC and Only What You Need, Inc. are holding companies with no assets other than their investments in their respective subsidiaries.</w:t>
      </w:r>
    </w:p>
    <w:p>
      <w:pPr>
        <w:spacing w:after="0" w:line="21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Credit Agreement contains certain financial and other covenants that limit the Company’s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The Revolving Credit Facility has a maximum total net leverage ratio equal to or less than 6.00:1.00 contingent on credit extensions in excess of 30% of the total amount of commitments available under the Revolving Credit Facility. Any failure to comply with the restrictions of the credit facilities may result in an event of default. The Company was in compliance with all covenants as of May 31, 2025, and August 31, 2024, respectively.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147" w:lineRule="exact"/>
        <w:rPr>
          <w:sz w:val="20"/>
          <w:szCs w:val="20"/>
          <w:color w:val="auto"/>
        </w:rPr>
      </w:pPr>
    </w:p>
    <w:tbl>
      <w:tblPr>
        <w:tblLayout w:type="fixed"/>
        <w:tblInd w:w="1380" w:type="dxa"/>
        <w:tblCellMar>
          <w:top w:w="0" w:type="dxa"/>
          <w:left w:w="0" w:type="dxa"/>
          <w:bottom w:w="0" w:type="dxa"/>
          <w:right w:w="0" w:type="dxa"/>
        </w:tblCellMar>
      </w:tblPr>
      <w:tr>
        <w:trPr>
          <w:trHeight w:val="215"/>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18"/>
                <w:szCs w:val="18"/>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May 31, 2025</w:t>
            </w:r>
          </w:p>
        </w:tc>
        <w:tc>
          <w:tcPr>
            <w:tcW w:w="140" w:type="dxa"/>
            <w:vAlign w:val="bottom"/>
          </w:tcPr>
          <w:p>
            <w:pPr>
              <w:spacing w:after="0"/>
              <w:rPr>
                <w:sz w:val="18"/>
                <w:szCs w:val="18"/>
                <w:color w:val="auto"/>
              </w:rPr>
            </w:pPr>
          </w:p>
        </w:tc>
        <w:tc>
          <w:tcPr>
            <w:tcW w:w="13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August 31, 2024</w:t>
            </w:r>
          </w:p>
        </w:tc>
      </w:tr>
      <w:tr>
        <w:trPr>
          <w:trHeight w:val="213"/>
        </w:trPr>
        <w:tc>
          <w:tcPr>
            <w:tcW w:w="5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Facility (effective rate of 6.3% at May 31, 2025)</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400,000</w:t>
            </w:r>
          </w:p>
        </w:tc>
      </w:tr>
      <w:tr>
        <w:trPr>
          <w:trHeight w:val="213"/>
        </w:trPr>
        <w:tc>
          <w:tcPr>
            <w:tcW w:w="5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Less: Deferred financing fees</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2,515</w:t>
            </w:r>
          </w:p>
        </w:tc>
      </w:tr>
      <w:tr>
        <w:trPr>
          <w:trHeight w:val="237"/>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 of deferred financing fees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248,920</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397,485</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 not required to make principal payments on the Term Facility over the twelve months following the period ended May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outstanding balance of the Term Facility is due upon its maturity in March 2027.</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May 31, 2025, the Company had letters of credit in the amount of $0.9 million outstanding. These letters of credit offset against the $75.0 million availability of the Revolving Credit Facility and exist to support two of the Company’s leased buildings. No amounts were drawn against these letters of credit as of May 31, 2025.</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utilizes market approaches to estimate the fair value of certain outstanding borrowings by discounting anticipated future cash flows derived from the contractual terms of the obligations and observable market interest and foreign exchange rates. The Company carries debt at historical cost and discloses fair value. As of May 31, 2025, and August 31, 2024, the book value of the Company’s debt approximated fair value. The estimated fair value of the Term Loan is valued based on observable inputs and classified as Level 2 in the fair value hierarchy.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of Financial Instruments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measurements, a three-tier fair value hierarchy, which prioritizes the inputs used in the valuation methodologies, is used:</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Valuations based on quoted prices for identical assets and liabilities in active markets.</w:t>
      </w:r>
    </w:p>
    <w:p>
      <w:pPr>
        <w:spacing w:after="0" w:line="11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2 – Valuations based on observable inputs other than quoted prices included in Level 1, such as quoted prices for similar assets or liabilities in active markets, quoted prices for identical or similar assets and liabilities in markets that are not active, or other inputs that are observable or can be corroborated by observable market data.</w:t>
      </w:r>
    </w:p>
    <w:p>
      <w:pPr>
        <w:spacing w:after="0" w:line="68"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Level 3 – Valuations based on unobservable inputs reflecting the Company’s own assumptions, consistent with reasonably available assumptions made by other market participants. These valuations require significant judgment.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Components of the balance sheet such as accounts receivable, cash and cash equivalents, and others approximate fair value as of May 31, 2025.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tax expense and the effective tax rate resulting from operations were as follows:</w:t>
      </w:r>
    </w:p>
    <w:p>
      <w:pPr>
        <w:spacing w:after="0" w:line="95" w:lineRule="exact"/>
        <w:rPr>
          <w:sz w:val="20"/>
          <w:szCs w:val="20"/>
          <w:color w:val="auto"/>
        </w:rPr>
      </w:pPr>
    </w:p>
    <w:tbl>
      <w:tblPr>
        <w:tblLayout w:type="fixed"/>
        <w:tblInd w:w="2000" w:type="dxa"/>
        <w:tblCellMar>
          <w:top w:w="0" w:type="dxa"/>
          <w:left w:w="0" w:type="dxa"/>
          <w:bottom w:w="0" w:type="dxa"/>
          <w:right w:w="0" w:type="dxa"/>
        </w:tblCellMar>
      </w:tblPr>
      <w:tr>
        <w:trPr>
          <w:trHeight w:val="210"/>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color w:val="auto"/>
              </w:rPr>
              <w:t>Thirty-Nine Weeks Ended</w:t>
            </w:r>
          </w:p>
        </w:tc>
      </w:tr>
      <w:tr>
        <w:trPr>
          <w:trHeight w:val="240"/>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May 31, 2025</w:t>
            </w: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May 25, 2024</w:t>
            </w:r>
          </w:p>
        </w:tc>
      </w:tr>
      <w:tr>
        <w:trPr>
          <w:trHeight w:val="253"/>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151,395</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145,213</w:t>
            </w:r>
          </w:p>
        </w:tc>
      </w:tr>
      <w:tr>
        <w:trPr>
          <w:trHeight w:val="267"/>
        </w:trPr>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35,424</w:t>
            </w:r>
          </w:p>
        </w:tc>
        <w:tc>
          <w:tcPr>
            <w:tcW w:w="140" w:type="dxa"/>
            <w:vAlign w:val="bottom"/>
          </w:tcPr>
          <w:p>
            <w:pPr>
              <w:spacing w:after="0"/>
              <w:rPr>
                <w:sz w:val="23"/>
                <w:szCs w:val="23"/>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35,195</w:t>
            </w:r>
          </w:p>
        </w:tc>
      </w:tr>
      <w:tr>
        <w:trPr>
          <w:trHeight w:val="273"/>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Effective tax rate</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23.4 %</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24.2 %</w:t>
            </w:r>
          </w:p>
        </w:tc>
      </w:tr>
    </w:tbl>
    <w:p>
      <w:pPr>
        <w:spacing w:after="0" w:line="31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effective tax rate for the thirty-nine weeks ended May 31, 2025, was 0.8% lower than the effective tax rate for the thirty-nine weeks ended May 25, 2024, which was primarily driven by permanent differences, principally stock-based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54" w:lineRule="exact"/>
        <w:rPr>
          <w:sz w:val="20"/>
          <w:szCs w:val="20"/>
          <w:color w:val="auto"/>
        </w:rPr>
      </w:pPr>
    </w:p>
    <w:tbl>
      <w:tblPr>
        <w:tblLayout w:type="fixed"/>
        <w:tblInd w:w="580" w:type="dxa"/>
        <w:tblCellMar>
          <w:top w:w="0" w:type="dxa"/>
          <w:left w:w="0" w:type="dxa"/>
          <w:bottom w:w="0" w:type="dxa"/>
          <w:right w:w="0" w:type="dxa"/>
        </w:tblCellMar>
      </w:tblPr>
      <w:tr>
        <w:trPr>
          <w:trHeight w:val="210"/>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color w:val="auto"/>
              </w:rPr>
              <w:t>Thirteen Weeks Ended</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6"/>
                <w:szCs w:val="16"/>
                <w:color w:val="auto"/>
              </w:rPr>
              <w:t>Thirty-Nine Weeks Ended</w:t>
            </w:r>
          </w:p>
        </w:tc>
        <w:tc>
          <w:tcPr>
            <w:tcW w:w="0" w:type="dxa"/>
            <w:vAlign w:val="bottom"/>
          </w:tcPr>
          <w:p>
            <w:pPr>
              <w:spacing w:after="0"/>
              <w:rPr>
                <w:sz w:val="1"/>
                <w:szCs w:val="1"/>
                <w:color w:val="auto"/>
              </w:rPr>
            </w:pPr>
          </w:p>
        </w:tc>
      </w:tr>
      <w:tr>
        <w:trPr>
          <w:trHeight w:val="148"/>
        </w:trPr>
        <w:tc>
          <w:tcPr>
            <w:tcW w:w="2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60" w:type="dxa"/>
            <w:vAlign w:val="bottom"/>
            <w:gridSpan w:val="2"/>
          </w:tcPr>
          <w:p>
            <w:pPr>
              <w:spacing w:after="0" w:line="148" w:lineRule="exact"/>
              <w:rPr>
                <w:sz w:val="20"/>
                <w:szCs w:val="20"/>
                <w:color w:val="auto"/>
              </w:rPr>
            </w:pPr>
            <w:r>
              <w:rPr>
                <w:rFonts w:ascii="Times New Roman" w:cs="Times New Roman" w:eastAsia="Times New Roman" w:hAnsi="Times New Roman"/>
                <w:sz w:val="16"/>
                <w:szCs w:val="16"/>
                <w:color w:val="auto"/>
              </w:rPr>
              <w:t>Statements of Operations</w:t>
            </w:r>
          </w:p>
        </w:tc>
        <w:tc>
          <w:tcPr>
            <w:tcW w:w="160" w:type="dxa"/>
            <w:vAlign w:val="bottom"/>
          </w:tcPr>
          <w:p>
            <w:pPr>
              <w:spacing w:after="0"/>
              <w:rPr>
                <w:sz w:val="12"/>
                <w:szCs w:val="12"/>
                <w:color w:val="auto"/>
              </w:rPr>
            </w:pPr>
          </w:p>
        </w:tc>
        <w:tc>
          <w:tcPr>
            <w:tcW w:w="1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May 31, 2025</w:t>
            </w:r>
          </w:p>
        </w:tc>
        <w:tc>
          <w:tcPr>
            <w:tcW w:w="180" w:type="dxa"/>
            <w:vAlign w:val="bottom"/>
          </w:tcPr>
          <w:p>
            <w:pPr>
              <w:spacing w:after="0"/>
              <w:rPr>
                <w:sz w:val="12"/>
                <w:szCs w:val="12"/>
                <w:color w:val="auto"/>
              </w:rPr>
            </w:pPr>
          </w:p>
        </w:tc>
        <w:tc>
          <w:tcPr>
            <w:tcW w:w="1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May 25, 2024</w:t>
            </w:r>
          </w:p>
        </w:tc>
        <w:tc>
          <w:tcPr>
            <w:tcW w:w="140" w:type="dxa"/>
            <w:vAlign w:val="bottom"/>
          </w:tcPr>
          <w:p>
            <w:pPr>
              <w:spacing w:after="0"/>
              <w:rPr>
                <w:sz w:val="12"/>
                <w:szCs w:val="12"/>
                <w:color w:val="auto"/>
              </w:rPr>
            </w:pPr>
          </w:p>
        </w:tc>
        <w:tc>
          <w:tcPr>
            <w:tcW w:w="1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May 31, 2025</w:t>
            </w:r>
          </w:p>
        </w:tc>
        <w:tc>
          <w:tcPr>
            <w:tcW w:w="140" w:type="dxa"/>
            <w:vAlign w:val="bottom"/>
          </w:tcPr>
          <w:p>
            <w:pPr>
              <w:spacing w:after="0"/>
              <w:rPr>
                <w:sz w:val="12"/>
                <w:szCs w:val="12"/>
                <w:color w:val="auto"/>
              </w:rPr>
            </w:pPr>
          </w:p>
        </w:tc>
        <w:tc>
          <w:tcPr>
            <w:tcW w:w="11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May 25, 2024</w:t>
            </w:r>
          </w:p>
        </w:tc>
        <w:tc>
          <w:tcPr>
            <w:tcW w:w="0" w:type="dxa"/>
            <w:vAlign w:val="bottom"/>
          </w:tcPr>
          <w:p>
            <w:pPr>
              <w:spacing w:after="0"/>
              <w:rPr>
                <w:sz w:val="1"/>
                <w:szCs w:val="1"/>
                <w:color w:val="auto"/>
              </w:rPr>
            </w:pPr>
          </w:p>
        </w:tc>
      </w:tr>
      <w:tr>
        <w:trPr>
          <w:trHeight w:val="213"/>
        </w:trPr>
        <w:tc>
          <w:tcPr>
            <w:tcW w:w="2080" w:type="dxa"/>
            <w:vAlign w:val="bottom"/>
            <w:gridSpan w:val="2"/>
            <w:vMerge w:val="continue"/>
          </w:tcPr>
          <w:p>
            <w:pPr>
              <w:spacing w:after="0"/>
              <w:rPr>
                <w:sz w:val="18"/>
                <w:szCs w:val="18"/>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Caption</w:t>
            </w:r>
          </w:p>
        </w:tc>
        <w:tc>
          <w:tcPr>
            <w:tcW w:w="16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1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Lease cost</w:t>
            </w:r>
          </w:p>
        </w:tc>
        <w:tc>
          <w:tcPr>
            <w:tcW w:w="226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i w:val="1"/>
                <w:iCs w:val="1"/>
                <w:color w:val="auto"/>
              </w:rPr>
              <w:t>Cost of goods sold and General</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2,504</w:t>
            </w:r>
          </w:p>
        </w:tc>
        <w:tc>
          <w:tcPr>
            <w:tcW w:w="12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2,256</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6,923</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6,770</w:t>
            </w:r>
          </w:p>
        </w:tc>
        <w:tc>
          <w:tcPr>
            <w:tcW w:w="0" w:type="dxa"/>
            <w:vAlign w:val="bottom"/>
          </w:tcPr>
          <w:p>
            <w:pPr>
              <w:spacing w:after="0"/>
              <w:rPr>
                <w:sz w:val="1"/>
                <w:szCs w:val="1"/>
                <w:color w:val="auto"/>
              </w:rPr>
            </w:pPr>
          </w:p>
        </w:tc>
      </w:tr>
      <w:tr>
        <w:trPr>
          <w:trHeight w:val="214"/>
        </w:trPr>
        <w:tc>
          <w:tcPr>
            <w:tcW w:w="2080" w:type="dxa"/>
            <w:vAlign w:val="bottom"/>
            <w:gridSpan w:val="2"/>
            <w:vMerge w:val="continue"/>
          </w:tcPr>
          <w:p>
            <w:pPr>
              <w:spacing w:after="0"/>
              <w:rPr>
                <w:sz w:val="18"/>
                <w:szCs w:val="18"/>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and administrative</w:t>
            </w:r>
          </w:p>
        </w:tc>
        <w:tc>
          <w:tcPr>
            <w:tcW w:w="16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Variable lease cost </w:t>
            </w:r>
            <w:r>
              <w:rPr>
                <w:rFonts w:ascii="Times New Roman" w:cs="Times New Roman" w:eastAsia="Times New Roman" w:hAnsi="Times New Roman"/>
                <w:sz w:val="21"/>
                <w:szCs w:val="21"/>
                <w:color w:val="auto"/>
                <w:vertAlign w:val="superscript"/>
              </w:rPr>
              <w:t>(1)</w:t>
            </w:r>
          </w:p>
        </w:tc>
        <w:tc>
          <w:tcPr>
            <w:tcW w:w="226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6"/>
                <w:szCs w:val="16"/>
                <w:i w:val="1"/>
                <w:iCs w:val="1"/>
                <w:color w:val="auto"/>
              </w:rPr>
              <w:t>Cost of goods sold and General</w:t>
            </w:r>
          </w:p>
        </w:tc>
        <w:tc>
          <w:tcPr>
            <w:tcW w:w="1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2,970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2,799</w:t>
            </w:r>
          </w:p>
        </w:tc>
        <w:tc>
          <w:tcPr>
            <w:tcW w:w="0" w:type="dxa"/>
            <w:vAlign w:val="bottom"/>
          </w:tcPr>
          <w:p>
            <w:pPr>
              <w:spacing w:after="0"/>
              <w:rPr>
                <w:sz w:val="1"/>
                <w:szCs w:val="1"/>
                <w:color w:val="auto"/>
              </w:rPr>
            </w:pPr>
          </w:p>
        </w:tc>
      </w:tr>
      <w:tr>
        <w:trPr>
          <w:trHeight w:val="216"/>
        </w:trPr>
        <w:tc>
          <w:tcPr>
            <w:tcW w:w="2080" w:type="dxa"/>
            <w:vAlign w:val="bottom"/>
            <w:gridSpan w:val="2"/>
            <w:vMerge w:val="continue"/>
            <w:shd w:val="clear" w:color="auto" w:fill="CCEEFF"/>
          </w:tcPr>
          <w:p>
            <w:pPr>
              <w:spacing w:after="0"/>
              <w:rPr>
                <w:sz w:val="18"/>
                <w:szCs w:val="18"/>
                <w:color w:val="auto"/>
              </w:rPr>
            </w:pP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and administrative</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operating lease cost</w:t>
            </w: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9,893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9,569</w:t>
            </w:r>
          </w:p>
        </w:tc>
        <w:tc>
          <w:tcPr>
            <w:tcW w:w="0" w:type="dxa"/>
            <w:vAlign w:val="bottom"/>
          </w:tcPr>
          <w:p>
            <w:pPr>
              <w:spacing w:after="0"/>
              <w:rPr>
                <w:sz w:val="1"/>
                <w:szCs w:val="1"/>
                <w:color w:val="auto"/>
              </w:rPr>
            </w:pPr>
          </w:p>
        </w:tc>
      </w:tr>
      <w:tr>
        <w:trPr>
          <w:trHeight w:val="219"/>
        </w:trPr>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cost:</w:t>
            </w:r>
          </w:p>
        </w:tc>
        <w:tc>
          <w:tcPr>
            <w:tcW w:w="2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80" w:type="dxa"/>
            <w:vAlign w:val="bottom"/>
            <w:gridSpan w:val="2"/>
          </w:tcPr>
          <w:p>
            <w:pPr>
              <w:ind w:left="140"/>
              <w:spacing w:after="0" w:line="162" w:lineRule="exact"/>
              <w:rPr>
                <w:sz w:val="20"/>
                <w:szCs w:val="20"/>
                <w:color w:val="auto"/>
              </w:rPr>
            </w:pPr>
            <w:r>
              <w:rPr>
                <w:rFonts w:ascii="Times New Roman" w:cs="Times New Roman" w:eastAsia="Times New Roman" w:hAnsi="Times New Roman"/>
                <w:sz w:val="16"/>
                <w:szCs w:val="16"/>
                <w:color w:val="auto"/>
              </w:rPr>
              <w:t>Amortization of right-of-</w:t>
            </w:r>
          </w:p>
        </w:tc>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i w:val="1"/>
                <w:iCs w:val="1"/>
                <w:color w:val="auto"/>
              </w:rPr>
              <w:t>Cost of goods sold</w:t>
            </w:r>
          </w:p>
        </w:tc>
        <w:tc>
          <w:tcPr>
            <w:tcW w:w="160" w:type="dxa"/>
            <w:vAlign w:val="bottom"/>
          </w:tcPr>
          <w:p>
            <w:pPr>
              <w:spacing w:after="0"/>
              <w:rPr>
                <w:sz w:val="14"/>
                <w:szCs w:val="14"/>
                <w:color w:val="auto"/>
              </w:rPr>
            </w:pPr>
          </w:p>
        </w:tc>
        <w:tc>
          <w:tcPr>
            <w:tcW w:w="13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13"/>
        </w:trPr>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use assets</w:t>
            </w:r>
          </w:p>
        </w:tc>
        <w:tc>
          <w:tcPr>
            <w:tcW w:w="22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Interest expense</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7"/>
        </w:trPr>
        <w:tc>
          <w:tcPr>
            <w:tcW w:w="2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finance lease cost</w:t>
            </w: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05"/>
        </w:trPr>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lease cost</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3,416</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3,323</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9,893</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9,694</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740" w:hanging="140"/>
        <w:spacing w:after="0"/>
        <w:tabs>
          <w:tab w:leader="none" w:pos="740"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Variable lease cost primarily consists of common area maintenance, such as cleaning and repairs.</w:t>
      </w:r>
    </w:p>
    <w:p>
      <w:pPr>
        <w:spacing w:after="0" w:line="3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right-of-use assets and corresponding liabilities related to both operating and finance leases are as follows:</w:t>
      </w:r>
    </w:p>
    <w:p>
      <w:pPr>
        <w:spacing w:after="0" w:line="336" w:lineRule="exact"/>
        <w:rPr>
          <w:sz w:val="20"/>
          <w:szCs w:val="20"/>
          <w:color w:val="auto"/>
        </w:rPr>
      </w:pPr>
    </w:p>
    <w:tbl>
      <w:tblPr>
        <w:tblLayout w:type="fixed"/>
        <w:tblInd w:w="640" w:type="dxa"/>
        <w:tblCellMar>
          <w:top w:w="0" w:type="dxa"/>
          <w:left w:w="0" w:type="dxa"/>
          <w:bottom w:w="0" w:type="dxa"/>
          <w:right w:w="0" w:type="dxa"/>
        </w:tblCellMar>
      </w:tblPr>
      <w:tr>
        <w:trPr>
          <w:trHeight w:val="215"/>
        </w:trPr>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CCEEFF"/>
            </w:tcBorders>
          </w:tcPr>
          <w:p>
            <w:pPr>
              <w:spacing w:after="0"/>
              <w:rPr>
                <w:sz w:val="18"/>
                <w:szCs w:val="18"/>
                <w:color w:val="auto"/>
              </w:rPr>
            </w:pP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Balance Sheets Caption</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May 31, 2025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31, 2024</w:t>
            </w:r>
          </w:p>
        </w:tc>
        <w:tc>
          <w:tcPr>
            <w:tcW w:w="0" w:type="dxa"/>
            <w:vAlign w:val="bottom"/>
          </w:tcPr>
          <w:p>
            <w:pPr>
              <w:spacing w:after="0"/>
              <w:rPr>
                <w:sz w:val="1"/>
                <w:szCs w:val="1"/>
                <w:color w:val="auto"/>
              </w:rPr>
            </w:pPr>
          </w:p>
        </w:tc>
      </w:tr>
      <w:tr>
        <w:trPr>
          <w:trHeight w:val="253"/>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3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2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4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i w:val="1"/>
                <w:iCs w:val="1"/>
                <w:color w:val="auto"/>
              </w:rPr>
              <w:t>Other long-term assets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45,785</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35,097</w:t>
            </w:r>
          </w:p>
        </w:tc>
        <w:tc>
          <w:tcPr>
            <w:tcW w:w="0" w:type="dxa"/>
            <w:vAlign w:val="bottom"/>
          </w:tcPr>
          <w:p>
            <w:pPr>
              <w:spacing w:after="0"/>
              <w:rPr>
                <w:sz w:val="1"/>
                <w:szCs w:val="1"/>
                <w:color w:val="auto"/>
              </w:rPr>
            </w:pPr>
          </w:p>
        </w:tc>
      </w:tr>
      <w:tr>
        <w:trPr>
          <w:trHeight w:val="251"/>
        </w:trPr>
        <w:tc>
          <w:tcPr>
            <w:tcW w:w="27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lease assets</w:t>
            </w:r>
          </w:p>
        </w:tc>
        <w:tc>
          <w:tcPr>
            <w:tcW w:w="3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45,785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35,097</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3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720" w:type="dxa"/>
            <w:vAlign w:val="bottom"/>
            <w:gridSpan w:val="2"/>
            <w:vMerge w:val="continue"/>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3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27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41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Accrued expenses and other current liabilities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4,386</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5,494</w:t>
            </w:r>
          </w:p>
        </w:tc>
        <w:tc>
          <w:tcPr>
            <w:tcW w:w="0" w:type="dxa"/>
            <w:vAlign w:val="bottom"/>
          </w:tcPr>
          <w:p>
            <w:pPr>
              <w:spacing w:after="0"/>
              <w:rPr>
                <w:sz w:val="1"/>
                <w:szCs w:val="1"/>
                <w:color w:val="auto"/>
              </w:rPr>
            </w:pPr>
          </w:p>
        </w:tc>
      </w:tr>
      <w:tr>
        <w:trPr>
          <w:trHeight w:val="273"/>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w:t>
            </w:r>
          </w:p>
        </w:tc>
        <w:tc>
          <w:tcPr>
            <w:tcW w:w="3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27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4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i w:val="1"/>
                <w:iCs w:val="1"/>
                <w:color w:val="auto"/>
              </w:rPr>
              <w:t>Other long-term liabilities</w:t>
            </w:r>
          </w:p>
        </w:tc>
        <w:tc>
          <w:tcPr>
            <w:tcW w:w="2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51,427</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34,330</w:t>
            </w:r>
          </w:p>
        </w:tc>
        <w:tc>
          <w:tcPr>
            <w:tcW w:w="0" w:type="dxa"/>
            <w:vAlign w:val="bottom"/>
          </w:tcPr>
          <w:p>
            <w:pPr>
              <w:spacing w:after="0"/>
              <w:rPr>
                <w:sz w:val="1"/>
                <w:szCs w:val="1"/>
                <w:color w:val="auto"/>
              </w:rPr>
            </w:pPr>
          </w:p>
        </w:tc>
      </w:tr>
      <w:tr>
        <w:trPr>
          <w:trHeight w:val="251"/>
        </w:trPr>
        <w:tc>
          <w:tcPr>
            <w:tcW w:w="27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lease liabilities</w:t>
            </w:r>
          </w:p>
        </w:tc>
        <w:tc>
          <w:tcPr>
            <w:tcW w:w="3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55,813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39,824</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maturities of lease liabilities as of May 31, 2025, were as follows:</w:t>
      </w:r>
    </w:p>
    <w:p>
      <w:pPr>
        <w:spacing w:after="0" w:line="336" w:lineRule="exact"/>
        <w:rPr>
          <w:sz w:val="20"/>
          <w:szCs w:val="20"/>
          <w:color w:val="auto"/>
        </w:rPr>
      </w:pPr>
    </w:p>
    <w:tbl>
      <w:tblPr>
        <w:tblLayout w:type="fixed"/>
        <w:tblInd w:w="2940" w:type="dxa"/>
        <w:tblCellMar>
          <w:top w:w="0" w:type="dxa"/>
          <w:left w:w="0" w:type="dxa"/>
          <w:bottom w:w="0" w:type="dxa"/>
          <w:right w:w="0" w:type="dxa"/>
        </w:tblCellMar>
      </w:tblPr>
      <w:tr>
        <w:trPr>
          <w:trHeight w:val="215"/>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Operating Leases</w:t>
            </w:r>
          </w:p>
        </w:tc>
      </w:tr>
      <w:tr>
        <w:trPr>
          <w:trHeight w:val="253"/>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Fiscal year ending:</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67"/>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Remainder of 2025</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1,084</w:t>
            </w:r>
          </w:p>
        </w:tc>
      </w:tr>
      <w:tr>
        <w:trPr>
          <w:trHeight w:val="27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9,207</w:t>
            </w:r>
          </w:p>
        </w:tc>
      </w:tr>
      <w:tr>
        <w:trPr>
          <w:trHeight w:val="267"/>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10,927</w:t>
            </w:r>
          </w:p>
        </w:tc>
      </w:tr>
      <w:tr>
        <w:trPr>
          <w:trHeight w:val="27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10,388</w:t>
            </w:r>
          </w:p>
        </w:tc>
      </w:tr>
      <w:tr>
        <w:trPr>
          <w:trHeight w:val="267"/>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10,438</w:t>
            </w:r>
          </w:p>
        </w:tc>
      </w:tr>
      <w:tr>
        <w:trPr>
          <w:trHeight w:val="270"/>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6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26,696</w:t>
            </w:r>
          </w:p>
        </w:tc>
      </w:tr>
      <w:tr>
        <w:trPr>
          <w:trHeight w:val="25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160" w:type="dxa"/>
            <w:vAlign w:val="bottom"/>
          </w:tcPr>
          <w:p>
            <w:pPr>
              <w:spacing w:after="0"/>
              <w:rPr>
                <w:sz w:val="21"/>
                <w:szCs w:val="21"/>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68,740</w:t>
            </w:r>
          </w:p>
        </w:tc>
      </w:tr>
      <w:tr>
        <w:trPr>
          <w:trHeight w:val="270"/>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Interest</w:t>
            </w:r>
          </w:p>
        </w:tc>
        <w:tc>
          <w:tcPr>
            <w:tcW w:w="16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(12,927)</w:t>
            </w:r>
          </w:p>
        </w:tc>
      </w:tr>
      <w:tr>
        <w:trPr>
          <w:trHeight w:val="226"/>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55,813</w:t>
            </w:r>
          </w:p>
        </w:tc>
      </w:tr>
      <w:tr>
        <w:trPr>
          <w:trHeight w:val="21"/>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weighted-average remaining lease terms and weighted-average discount rates for operating and finance leases were as follows:</w:t>
      </w:r>
    </w:p>
    <w:p>
      <w:pPr>
        <w:spacing w:after="0" w:line="338" w:lineRule="exact"/>
        <w:rPr>
          <w:sz w:val="20"/>
          <w:szCs w:val="20"/>
          <w:color w:val="auto"/>
        </w:rPr>
      </w:pPr>
    </w:p>
    <w:tbl>
      <w:tblPr>
        <w:tblLayout w:type="fixed"/>
        <w:tblInd w:w="1400" w:type="dxa"/>
        <w:tblCellMar>
          <w:top w:w="0" w:type="dxa"/>
          <w:left w:w="0" w:type="dxa"/>
          <w:bottom w:w="0" w:type="dxa"/>
          <w:right w:w="0" w:type="dxa"/>
        </w:tblCellMar>
      </w:tblPr>
      <w:tr>
        <w:trPr>
          <w:trHeight w:val="213"/>
        </w:trPr>
        <w:tc>
          <w:tcPr>
            <w:tcW w:w="5240" w:type="dxa"/>
            <w:vAlign w:val="bottom"/>
          </w:tcPr>
          <w:p>
            <w:pPr>
              <w:spacing w:after="0"/>
              <w:rPr>
                <w:sz w:val="18"/>
                <w:szCs w:val="18"/>
                <w:color w:val="auto"/>
              </w:rPr>
            </w:pPr>
          </w:p>
        </w:tc>
        <w:tc>
          <w:tcPr>
            <w:tcW w:w="16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May 31, 2025</w:t>
            </w:r>
          </w:p>
        </w:tc>
        <w:tc>
          <w:tcPr>
            <w:tcW w:w="15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August 31, 2024</w:t>
            </w:r>
          </w:p>
        </w:tc>
      </w:tr>
      <w:tr>
        <w:trPr>
          <w:trHeight w:val="253"/>
        </w:trPr>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remaining lease term (in years)</w:t>
            </w:r>
          </w:p>
        </w:tc>
        <w:tc>
          <w:tcPr>
            <w:tcW w:w="154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540" w:type="dxa"/>
            <w:vAlign w:val="bottom"/>
            <w:tcBorders>
              <w:top w:val="single" w:sz="8" w:color="auto"/>
            </w:tcBorders>
            <w:shd w:val="clear" w:color="auto" w:fill="CCEEFF"/>
          </w:tcPr>
          <w:p>
            <w:pPr>
              <w:spacing w:after="0"/>
              <w:rPr>
                <w:sz w:val="22"/>
                <w:szCs w:val="22"/>
                <w:color w:val="auto"/>
              </w:rPr>
            </w:pPr>
          </w:p>
        </w:tc>
      </w:tr>
      <w:tr>
        <w:trPr>
          <w:trHeight w:val="267"/>
        </w:trPr>
        <w:tc>
          <w:tcPr>
            <w:tcW w:w="5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leases</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1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r>
      <w:tr>
        <w:trPr>
          <w:trHeight w:val="27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15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64"/>
        </w:trPr>
        <w:tc>
          <w:tcPr>
            <w:tcW w:w="5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leases</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14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r>
    </w:tbl>
    <w:p>
      <w:pPr>
        <w:spacing w:after="0" w:line="3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and other information related to leases was as follows:</w:t>
      </w:r>
    </w:p>
    <w:p>
      <w:pPr>
        <w:spacing w:after="0" w:line="297" w:lineRule="exact"/>
        <w:rPr>
          <w:sz w:val="20"/>
          <w:szCs w:val="20"/>
          <w:color w:val="auto"/>
        </w:rPr>
      </w:pPr>
    </w:p>
    <w:tbl>
      <w:tblPr>
        <w:tblLayout w:type="fixed"/>
        <w:tblInd w:w="140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color w:val="auto"/>
              </w:rPr>
              <w:t>Thirty-Nine Weeks Ended</w:t>
            </w:r>
          </w:p>
        </w:tc>
      </w:tr>
      <w:tr>
        <w:trPr>
          <w:trHeight w:val="213"/>
        </w:trPr>
        <w:tc>
          <w:tcPr>
            <w:tcW w:w="53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May 31, 2025</w:t>
            </w:r>
          </w:p>
        </w:tc>
        <w:tc>
          <w:tcPr>
            <w:tcW w:w="180" w:type="dxa"/>
            <w:vAlign w:val="bottom"/>
          </w:tcPr>
          <w:p>
            <w:pPr>
              <w:spacing w:after="0"/>
              <w:rPr>
                <w:sz w:val="18"/>
                <w:szCs w:val="18"/>
                <w:color w:val="auto"/>
              </w:rPr>
            </w:pPr>
          </w:p>
        </w:tc>
        <w:tc>
          <w:tcPr>
            <w:tcW w:w="13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May 25, 2024</w:t>
            </w:r>
          </w:p>
        </w:tc>
      </w:tr>
      <w:tr>
        <w:trPr>
          <w:trHeight w:val="212"/>
        </w:trPr>
        <w:tc>
          <w:tcPr>
            <w:tcW w:w="5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13"/>
        </w:trPr>
        <w:tc>
          <w:tcPr>
            <w:tcW w:w="53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7,925</w:t>
            </w:r>
          </w:p>
        </w:tc>
        <w:tc>
          <w:tcPr>
            <w:tcW w:w="140" w:type="dxa"/>
            <w:vAlign w:val="bottom"/>
          </w:tcPr>
          <w:p>
            <w:pPr>
              <w:spacing w:after="0"/>
              <w:rPr>
                <w:sz w:val="18"/>
                <w:szCs w:val="18"/>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9,141</w:t>
            </w:r>
          </w:p>
        </w:tc>
      </w:tr>
      <w:tr>
        <w:trPr>
          <w:trHeight w:val="219"/>
        </w:trPr>
        <w:tc>
          <w:tcPr>
            <w:tcW w:w="5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cash flows from finance leases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w:t>
            </w:r>
          </w:p>
        </w:tc>
      </w:tr>
      <w:tr>
        <w:trPr>
          <w:trHeight w:val="210"/>
        </w:trPr>
        <w:tc>
          <w:tcPr>
            <w:tcW w:w="53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Financing cash flows from finance leases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r>
    </w:tbl>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a party to certain litigation and claims that are considered normal to the operations of the business. From time to time, the Company has been and may again become involved in legal proceedings arising in the ordinary course of business. The Company is not presently a party to any litigation that it believes to be material, and the Company is not aware of any pending or threatened litigation against it that its management believes could have a material adverse effect on its business, operating results, financial condition or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enters into endorsement contracts with certain celebrity figures and social media influencers to promote and endorse the Quest, Atkins, and OWYN brands and product lines. These contracts contain endorsement fees, which are expensed ratably over the life of the contract, and performance fees, that are recognized at the time of achievement. Based on the terms of contracts in place and achievement of performance conditions as of May 31, 2025, the Company will be required to make payments of $1.8 million over the next year.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Stockholders’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adopted a $50.0 million stock repurchase program on November 13, 2018. On April 13, 2022, and October 21, 2022, the Company announced that its Board of Directors had approved the addition of $50.0 million and $50.0 million, respectively, to its stock repurchase program, resulting in authorized stock repurchases of up to an aggregate of $150.0 million. Under the stock repurchase program, the Company may repurchase shares from time to time in the open market or in privately negotiated transactions. The stock repurchase program does not obligate the Company to acquire any specific number of shares or acquire shares over any specific period of time. The stock repurchase program may be suspended or discontinued at any time by the Company and does not have an expiration date.</w:t>
      </w:r>
    </w:p>
    <w:p>
      <w:pPr>
        <w:spacing w:after="0" w:line="21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During the thirteen and thirty-nine weeks ended May 31, 2025, the Company repurchased 693,375 shares of common stock at an average share price of $35.10 per share. The Company did not repurchase any shares of common stock during the thirteen and thirty-nine weeks ended May 25, 2024. As of May 31, 2025, approximately $47.2 million remained available under the stock repurchase program.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Earnings Per Share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Basic earnings or loss per share is based on the weighted average number of common shares issued and outstanding. In computing diluted earnings per share, basic earnings per share is adjusted for the assumed issuance of all potentially dilutive securities, including the Company’s employee stock options and non-vested stock units.</w:t>
      </w:r>
    </w:p>
    <w:p>
      <w:pPr>
        <w:spacing w:after="0" w:line="20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periods in which the Company has a net loss, diluted loss per share is based on the weighted average number of common shares issued and outstanding as the effect of including common stock equivalents outstanding would be anti-dilutive.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reconciles the numerators and denominators used in the computations of both basic and diluted earnings per share:</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210"/>
        </w:trPr>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ind w:left="620"/>
              <w:spacing w:after="0"/>
              <w:rPr>
                <w:sz w:val="20"/>
                <w:szCs w:val="20"/>
                <w:color w:val="auto"/>
              </w:rPr>
            </w:pPr>
            <w:r>
              <w:rPr>
                <w:rFonts w:ascii="Times New Roman" w:cs="Times New Roman" w:eastAsia="Times New Roman" w:hAnsi="Times New Roman"/>
                <w:sz w:val="16"/>
                <w:szCs w:val="16"/>
                <w:color w:val="auto"/>
              </w:rPr>
              <w:t>Thirteen Weeks Ended</w:t>
            </w:r>
          </w:p>
        </w:tc>
        <w:tc>
          <w:tcPr>
            <w:tcW w:w="200" w:type="dxa"/>
            <w:vAlign w:val="bottom"/>
          </w:tcPr>
          <w:p>
            <w:pPr>
              <w:spacing w:after="0"/>
              <w:rPr>
                <w:sz w:val="18"/>
                <w:szCs w:val="18"/>
                <w:color w:val="auto"/>
              </w:rPr>
            </w:pPr>
          </w:p>
        </w:tc>
        <w:tc>
          <w:tcPr>
            <w:tcW w:w="2900" w:type="dxa"/>
            <w:vAlign w:val="bottom"/>
            <w:gridSpan w:val="4"/>
          </w:tcPr>
          <w:p>
            <w:pPr>
              <w:jc w:val="right"/>
              <w:ind w:right="619"/>
              <w:spacing w:after="0"/>
              <w:rPr>
                <w:sz w:val="20"/>
                <w:szCs w:val="20"/>
                <w:color w:val="auto"/>
              </w:rPr>
            </w:pPr>
            <w:r>
              <w:rPr>
                <w:rFonts w:ascii="Times New Roman" w:cs="Times New Roman" w:eastAsia="Times New Roman" w:hAnsi="Times New Roman"/>
                <w:sz w:val="16"/>
                <w:szCs w:val="16"/>
                <w:color w:val="auto"/>
              </w:rPr>
              <w:t>Thirty-Nine Weeks Ended</w:t>
            </w:r>
          </w:p>
        </w:tc>
        <w:tc>
          <w:tcPr>
            <w:tcW w:w="0" w:type="dxa"/>
            <w:vAlign w:val="bottom"/>
          </w:tcPr>
          <w:p>
            <w:pPr>
              <w:spacing w:after="0"/>
              <w:rPr>
                <w:sz w:val="1"/>
                <w:szCs w:val="1"/>
                <w:color w:val="auto"/>
              </w:rPr>
            </w:pPr>
          </w:p>
        </w:tc>
      </w:tr>
      <w:tr>
        <w:trPr>
          <w:trHeight w:val="213"/>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May 31, 2025</w:t>
            </w:r>
          </w:p>
        </w:tc>
        <w:tc>
          <w:tcPr>
            <w:tcW w:w="14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May 25, 2024</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May 31, 2025</w:t>
            </w:r>
          </w:p>
        </w:tc>
        <w:tc>
          <w:tcPr>
            <w:tcW w:w="12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May 25, 2024</w:t>
            </w:r>
          </w:p>
        </w:tc>
        <w:tc>
          <w:tcPr>
            <w:tcW w:w="0" w:type="dxa"/>
            <w:vAlign w:val="bottom"/>
          </w:tcPr>
          <w:p>
            <w:pPr>
              <w:spacing w:after="0"/>
              <w:rPr>
                <w:sz w:val="1"/>
                <w:szCs w:val="1"/>
                <w:color w:val="auto"/>
              </w:rPr>
            </w:pPr>
          </w:p>
        </w:tc>
      </w:tr>
      <w:tr>
        <w:trPr>
          <w:trHeight w:val="253"/>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per share computation:</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3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Numerator:</w:t>
            </w: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income available to common stockholders</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41,102</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41,334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115,971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110,018</w:t>
            </w:r>
          </w:p>
        </w:tc>
        <w:tc>
          <w:tcPr>
            <w:tcW w:w="0" w:type="dxa"/>
            <w:vAlign w:val="bottom"/>
          </w:tcPr>
          <w:p>
            <w:pPr>
              <w:spacing w:after="0"/>
              <w:rPr>
                <w:sz w:val="1"/>
                <w:szCs w:val="1"/>
                <w:color w:val="auto"/>
              </w:rPr>
            </w:pPr>
          </w:p>
        </w:tc>
      </w:tr>
      <w:tr>
        <w:trPr>
          <w:trHeight w:val="267"/>
        </w:trPr>
        <w:tc>
          <w:tcPr>
            <w:tcW w:w="3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Denominator:</w:t>
            </w: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5"/>
        </w:trPr>
        <w:tc>
          <w:tcPr>
            <w:tcW w:w="3600" w:type="dxa"/>
            <w:vAlign w:val="bottom"/>
            <w:gridSpan w:val="2"/>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Weighted average common shares outstanding -</w:t>
            </w:r>
          </w:p>
        </w:tc>
        <w:tc>
          <w:tcPr>
            <w:tcW w:w="1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100,923,690</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100,024,230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100,787,087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99,852,203</w:t>
            </w:r>
          </w:p>
        </w:tc>
        <w:tc>
          <w:tcPr>
            <w:tcW w:w="0" w:type="dxa"/>
            <w:vAlign w:val="bottom"/>
          </w:tcPr>
          <w:p>
            <w:pPr>
              <w:spacing w:after="0"/>
              <w:rPr>
                <w:sz w:val="1"/>
                <w:szCs w:val="1"/>
                <w:color w:val="auto"/>
              </w:rPr>
            </w:pPr>
          </w:p>
        </w:tc>
      </w:tr>
      <w:tr>
        <w:trPr>
          <w:trHeight w:val="213"/>
        </w:trPr>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6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Basic earnings per share from net income</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Diluted earnings per share computation:</w:t>
            </w: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3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Numerator:</w:t>
            </w: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6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Net income available for common stockholders</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41,102</w:t>
            </w:r>
          </w:p>
        </w:tc>
        <w:tc>
          <w:tcPr>
            <w:tcW w:w="1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41,334</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115,971</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110,018</w:t>
            </w:r>
          </w:p>
        </w:tc>
        <w:tc>
          <w:tcPr>
            <w:tcW w:w="0" w:type="dxa"/>
            <w:vAlign w:val="bottom"/>
          </w:tcPr>
          <w:p>
            <w:pPr>
              <w:spacing w:after="0"/>
              <w:rPr>
                <w:sz w:val="1"/>
                <w:szCs w:val="1"/>
                <w:color w:val="auto"/>
              </w:rPr>
            </w:pPr>
          </w:p>
        </w:tc>
      </w:tr>
      <w:tr>
        <w:trPr>
          <w:trHeight w:val="253"/>
        </w:trPr>
        <w:tc>
          <w:tcPr>
            <w:tcW w:w="3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Numerator for diluted earnings per share</w:t>
            </w: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41,102</w:t>
            </w:r>
          </w:p>
        </w:tc>
        <w:tc>
          <w:tcPr>
            <w:tcW w:w="1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41,334</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115,971</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110,018</w:t>
            </w:r>
          </w:p>
        </w:tc>
        <w:tc>
          <w:tcPr>
            <w:tcW w:w="0" w:type="dxa"/>
            <w:vAlign w:val="bottom"/>
          </w:tcPr>
          <w:p>
            <w:pPr>
              <w:spacing w:after="0"/>
              <w:rPr>
                <w:sz w:val="1"/>
                <w:szCs w:val="1"/>
                <w:color w:val="auto"/>
              </w:rPr>
            </w:pPr>
          </w:p>
        </w:tc>
      </w:tr>
      <w:tr>
        <w:trPr>
          <w:trHeight w:val="247"/>
        </w:trPr>
        <w:tc>
          <w:tcPr>
            <w:tcW w:w="3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Denominator:</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3600" w:type="dxa"/>
            <w:vAlign w:val="bottom"/>
            <w:gridSpan w:val="2"/>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Weighted average common shares outstanding -</w:t>
            </w:r>
          </w:p>
        </w:tc>
        <w:tc>
          <w:tcPr>
            <w:tcW w:w="1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100,923,690</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100,024,230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100,787,087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99,852,203</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6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Employee stock options</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548,926</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1,055,882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700,710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1,143,855</w:t>
            </w:r>
          </w:p>
        </w:tc>
        <w:tc>
          <w:tcPr>
            <w:tcW w:w="0" w:type="dxa"/>
            <w:vAlign w:val="bottom"/>
          </w:tcPr>
          <w:p>
            <w:pPr>
              <w:spacing w:after="0"/>
              <w:rPr>
                <w:sz w:val="1"/>
                <w:szCs w:val="1"/>
                <w:color w:val="auto"/>
              </w:rPr>
            </w:pPr>
          </w:p>
        </w:tc>
      </w:tr>
      <w:tr>
        <w:trPr>
          <w:trHeight w:val="270"/>
        </w:trPr>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Non-vested stock units</w:t>
            </w: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162,905</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190,051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182,201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244,413</w:t>
            </w:r>
          </w:p>
        </w:tc>
        <w:tc>
          <w:tcPr>
            <w:tcW w:w="0" w:type="dxa"/>
            <w:vAlign w:val="bottom"/>
          </w:tcPr>
          <w:p>
            <w:pPr>
              <w:spacing w:after="0"/>
              <w:rPr>
                <w:sz w:val="1"/>
                <w:szCs w:val="1"/>
                <w:color w:val="auto"/>
              </w:rPr>
            </w:pPr>
          </w:p>
        </w:tc>
      </w:tr>
      <w:tr>
        <w:trPr>
          <w:trHeight w:val="250"/>
        </w:trPr>
        <w:tc>
          <w:tcPr>
            <w:tcW w:w="36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Weighted average common shares - diluted</w:t>
            </w: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101,635,521</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101,270,163</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101,669,998</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101,240,471</w:t>
            </w:r>
          </w:p>
        </w:tc>
        <w:tc>
          <w:tcPr>
            <w:tcW w:w="0" w:type="dxa"/>
            <w:vAlign w:val="bottom"/>
          </w:tcPr>
          <w:p>
            <w:pPr>
              <w:spacing w:after="0"/>
              <w:rPr>
                <w:sz w:val="1"/>
                <w:szCs w:val="1"/>
                <w:color w:val="auto"/>
              </w:rPr>
            </w:pPr>
          </w:p>
        </w:tc>
      </w:tr>
      <w:tr>
        <w:trPr>
          <w:trHeight w:val="251"/>
        </w:trPr>
        <w:tc>
          <w:tcPr>
            <w:tcW w:w="36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Diluted earnings per share from net income</w:t>
            </w: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Diluted earnings per share calculations for the thirteen and thirty-nine week periods ended May 31, 2025, both excluded 0.7 million shares of common stock issuable upon exercise of stock options that would have been anti-dilutive. Diluted earnings per share calculations for the thirteen and thirty-nine week periods ended May 25, 2024, both excluded 0.8 million shares of common stock issuable upon exercise of stock options that would have been anti-dilutive.</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Diluted earnings per share calculations for the thirteen and thirty-nine week periods ended May 31, 2025, and May 25, 2024, both excluded an immaterial number of non-vested stock units that would have been anti-dilutive, respectively.</w:t>
      </w:r>
    </w:p>
    <w:p>
      <w:pPr>
        <w:sectPr>
          <w:pgSz w:w="11900" w:h="16838" w:orient="portrait"/>
          <w:cols w:equalWidth="0" w:num="1">
            <w:col w:w="11240"/>
          </w:cols>
          <w:pgMar w:left="320" w:top="121" w:right="339" w:bottom="1440" w:gutter="0" w:footer="0" w:header="0"/>
        </w:sect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13. Omnibus Incentive Plan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Stock-based compensation includes stock options, restricted stock units, performance stock unit awards, and stock appreciation rights, which are awarded to employees, directors, and consultants of the Company. Stock-based compensation expense is recognized on a straight-line basis over the requisite service period of the award based on their grant date fair value. Stock-based compensation expense is included within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expense, which is the same financial statement caption where recipient’s other compensation is reported.</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of $4.0 million and $4.5 million in the thirteen weeks ended May 31, 2025, and May 25, 2024, respectively, and $12.8 million and $13.2 million in the thirty-nine weeks ended May 31, 2025, and May 25, 2024,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thirty-nine weeks ended May 31, 2025:</w:t>
      </w:r>
    </w:p>
    <w:p>
      <w:pPr>
        <w:spacing w:after="0" w:line="32" w:lineRule="exact"/>
        <w:rPr>
          <w:sz w:val="20"/>
          <w:szCs w:val="20"/>
          <w:color w:val="auto"/>
        </w:rPr>
      </w:pPr>
    </w:p>
    <w:tbl>
      <w:tblPr>
        <w:tblLayout w:type="fixed"/>
        <w:tblInd w:w="142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Weighted average</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4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Shares underlying</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Weighted average</w:t>
            </w:r>
          </w:p>
        </w:tc>
        <w:tc>
          <w:tcPr>
            <w:tcW w:w="14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remaining</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4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contractual life</w:t>
            </w:r>
          </w:p>
        </w:tc>
        <w:tc>
          <w:tcPr>
            <w:tcW w:w="0" w:type="dxa"/>
            <w:vAlign w:val="bottom"/>
          </w:tcPr>
          <w:p>
            <w:pPr>
              <w:spacing w:after="0"/>
              <w:rPr>
                <w:sz w:val="1"/>
                <w:szCs w:val="1"/>
                <w:color w:val="auto"/>
              </w:rPr>
            </w:pPr>
          </w:p>
        </w:tc>
      </w:tr>
      <w:tr>
        <w:trPr>
          <w:trHeight w:val="213"/>
        </w:trPr>
        <w:tc>
          <w:tcPr>
            <w:tcW w:w="376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options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exercise price</w:t>
            </w:r>
          </w:p>
        </w:tc>
        <w:tc>
          <w:tcPr>
            <w:tcW w:w="14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(years)</w:t>
            </w:r>
          </w:p>
        </w:tc>
        <w:tc>
          <w:tcPr>
            <w:tcW w:w="0" w:type="dxa"/>
            <w:vAlign w:val="bottom"/>
          </w:tcPr>
          <w:p>
            <w:pPr>
              <w:spacing w:after="0"/>
              <w:rPr>
                <w:sz w:val="1"/>
                <w:szCs w:val="1"/>
                <w:color w:val="auto"/>
              </w:rPr>
            </w:pPr>
          </w:p>
        </w:tc>
      </w:tr>
      <w:tr>
        <w:trPr>
          <w:trHeight w:val="25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August 31, 2024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2,410,567</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20.75</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0" w:type="dxa"/>
            <w:vAlign w:val="bottom"/>
          </w:tcPr>
          <w:p>
            <w:pPr>
              <w:spacing w:after="0"/>
              <w:rPr>
                <w:sz w:val="1"/>
                <w:szCs w:val="1"/>
                <w:color w:val="auto"/>
              </w:rPr>
            </w:pPr>
          </w:p>
        </w:tc>
      </w:tr>
      <w:tr>
        <w:trPr>
          <w:trHeight w:val="250"/>
        </w:trPr>
        <w:tc>
          <w:tcPr>
            <w:tcW w:w="3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34,035</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36.49</w:t>
            </w: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(868,665)</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13.76</w:t>
            </w: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(19,694)</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38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rPr>
              <w:t>40.07</w:t>
            </w:r>
          </w:p>
        </w:tc>
        <w:tc>
          <w:tcPr>
            <w:tcW w:w="140" w:type="dxa"/>
            <w:vAlign w:val="bottom"/>
            <w:tcBorders>
              <w:bottom w:val="single" w:sz="8" w:color="CCEEFF"/>
            </w:tcBorders>
          </w:tcPr>
          <w:p>
            <w:pPr>
              <w:spacing w:after="0"/>
              <w:rPr>
                <w:sz w:val="23"/>
                <w:szCs w:val="23"/>
                <w:color w:val="auto"/>
              </w:rPr>
            </w:pPr>
          </w:p>
        </w:tc>
        <w:tc>
          <w:tcPr>
            <w:tcW w:w="14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May 31, 2025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1,556,243</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24.75</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Vested and expected to vest as of May 31, 2025</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1,556,243</w:t>
            </w:r>
          </w:p>
        </w:tc>
        <w:tc>
          <w:tcPr>
            <w:tcW w:w="26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rPr>
              <w:t>24.75</w:t>
            </w:r>
          </w:p>
        </w:tc>
        <w:tc>
          <w:tcPr>
            <w:tcW w:w="140" w:type="dxa"/>
            <w:vAlign w:val="bottom"/>
            <w:tcBorders>
              <w:bottom w:val="single" w:sz="8" w:color="CCEEFF"/>
            </w:tcBorders>
          </w:tcPr>
          <w:p>
            <w:pPr>
              <w:spacing w:after="0"/>
              <w:rPr>
                <w:sz w:val="21"/>
                <w:szCs w:val="21"/>
                <w:color w:val="auto"/>
              </w:rPr>
            </w:pP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0" w:type="dxa"/>
            <w:vAlign w:val="bottom"/>
          </w:tcPr>
          <w:p>
            <w:pPr>
              <w:spacing w:after="0"/>
              <w:rPr>
                <w:sz w:val="1"/>
                <w:szCs w:val="1"/>
                <w:color w:val="auto"/>
              </w:rPr>
            </w:pPr>
          </w:p>
        </w:tc>
      </w:tr>
      <w:tr>
        <w:trPr>
          <w:trHeight w:val="25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as of May 31, 2025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1,325,609</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22.63</w:t>
            </w: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May 31, 2025, the Company had $1.6 million of total unrecognized compensation cost related to stock options that will be recognized over a weighted average period of 1.1 years. During the thirty-nine weeks ended May 31, 2025, and May 25, 2024, the Company received $12.0 million and $4.3 million in cash from stock option exercises,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activity for the thirty-nine weeks ended May 31, 2025:</w:t>
      </w:r>
    </w:p>
    <w:p>
      <w:pPr>
        <w:spacing w:after="0" w:line="73" w:lineRule="exact"/>
        <w:rPr>
          <w:sz w:val="20"/>
          <w:szCs w:val="20"/>
          <w:color w:val="auto"/>
        </w:rPr>
      </w:pPr>
    </w:p>
    <w:tbl>
      <w:tblPr>
        <w:tblLayout w:type="fixed"/>
        <w:tblInd w:w="218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146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color w:val="auto"/>
              </w:rPr>
              <w:t>Units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Weighted average</w:t>
            </w:r>
          </w:p>
        </w:tc>
        <w:tc>
          <w:tcPr>
            <w:tcW w:w="0" w:type="dxa"/>
            <w:vAlign w:val="bottom"/>
          </w:tcPr>
          <w:p>
            <w:pPr>
              <w:spacing w:after="0"/>
              <w:rPr>
                <w:sz w:val="1"/>
                <w:szCs w:val="1"/>
                <w:color w:val="auto"/>
              </w:rPr>
            </w:pPr>
          </w:p>
        </w:tc>
      </w:tr>
      <w:tr>
        <w:trPr>
          <w:trHeight w:val="213"/>
        </w:trPr>
        <w:tc>
          <w:tcPr>
            <w:tcW w:w="38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grant-date fair value</w:t>
            </w: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as of August 31, 2024</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546,271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37.38</w:t>
            </w:r>
          </w:p>
        </w:tc>
        <w:tc>
          <w:tcPr>
            <w:tcW w:w="0" w:type="dxa"/>
            <w:vAlign w:val="bottom"/>
          </w:tcPr>
          <w:p>
            <w:pPr>
              <w:spacing w:after="0"/>
              <w:rPr>
                <w:sz w:val="1"/>
                <w:szCs w:val="1"/>
                <w:color w:val="auto"/>
              </w:rPr>
            </w:pPr>
          </w:p>
        </w:tc>
      </w:tr>
      <w:tr>
        <w:trPr>
          <w:trHeight w:val="250"/>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401,242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35.66</w:t>
            </w:r>
          </w:p>
        </w:tc>
        <w:tc>
          <w:tcPr>
            <w:tcW w:w="0" w:type="dxa"/>
            <w:vAlign w:val="bottom"/>
          </w:tcPr>
          <w:p>
            <w:pPr>
              <w:spacing w:after="0"/>
              <w:rPr>
                <w:sz w:val="1"/>
                <w:szCs w:val="1"/>
                <w:color w:val="auto"/>
              </w:rPr>
            </w:pPr>
          </w:p>
        </w:tc>
      </w:tr>
      <w:tr>
        <w:trPr>
          <w:trHeight w:val="273"/>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(265,401)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37.53</w:t>
            </w:r>
          </w:p>
        </w:tc>
        <w:tc>
          <w:tcPr>
            <w:tcW w:w="0" w:type="dxa"/>
            <w:vAlign w:val="bottom"/>
          </w:tcPr>
          <w:p>
            <w:pPr>
              <w:spacing w:after="0"/>
              <w:rPr>
                <w:sz w:val="1"/>
                <w:szCs w:val="1"/>
                <w:color w:val="auto"/>
              </w:rPr>
            </w:pPr>
          </w:p>
        </w:tc>
      </w:tr>
      <w:tr>
        <w:trPr>
          <w:trHeight w:val="267"/>
        </w:trPr>
        <w:tc>
          <w:tcPr>
            <w:tcW w:w="3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(20,365)</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37.64</w:t>
            </w: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as of May 31, 2025</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661,747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36.27</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May 31, 2025, the Company had $16.6 million of total unrecognized compensation cost related to restricted stock units that will be recognized over a weighted average period of 1.8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thirty-nine weeks ended May 31, 2025, the Board of Directors granted performance stock units under the Company’s 2017 Omnibus Incentive Plan. The number of shares issuable as a result of grants of performance stock units is determined based on market-based criteria, performance-based criteria, or a combination of market-based criteria and performance-based criteria. The number of shares may be increased or decreased based on the results of these metrics in accordance with the terms established at the date of grant.</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market-based criteria awards, the Company’s relative total shareholder return, or relative TSR, is measured for the Company and each company in the Russell 3000 Food &amp; Beverage index using the immediately preceding 30-day average share price at the beginning and end of the applicable three-year performance period. The percentile rank of the Company’s TSR relative to that of the peer group determines the percent of the target award earned, ranging between 0% and 200%. The related compensation expense is recognized ratably over the term regardless of whether or not the market condition is satisfied, provided the requisite service is rendered. These units are valued using a Monte Carlo simulation.</w:t>
      </w:r>
    </w:p>
    <w:p>
      <w:pPr>
        <w:sectPr>
          <w:pgSz w:w="11900" w:h="16838" w:orient="portrait"/>
          <w:cols w:equalWidth="0" w:num="1">
            <w:col w:w="11240"/>
          </w:cols>
          <w:pgMar w:left="320" w:top="121" w:right="339" w:bottom="1440" w:gutter="0" w:footer="0" w:header="0"/>
        </w:sect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Company financial performance-based criteria awards, we estimate the probability that the Company’s internally established performance criteria will be achieved at each reporting period and adjust compensation expense accordingly. The performance metrics achieved determines the percent of the target award earned, ranging between 0% and 200%. These units are valued using the closing market price of the Company’s common stock on the date of grant.</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market-based criteria and Company financial performance-based criteria awards, the Company’s TSR within the peer group and the performance metrics achieved determines the percent of the target award earned, ranging between 0% and 275%. We estimate the probability that the performance criteria will be achieved at each reporting period and adjust compensation expense accordingly. Should the performance-based criteria not be probable of being achieved, the compensation expense for the value of the award incorporating the market-based criteria is recognized ratably over the term, provided the requisite service is rendered. These units are valued using a Monte Carlo simulation.</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performance stock unit activity for the thirty-nine weeks ended May 31, 2025:</w:t>
      </w:r>
    </w:p>
    <w:p>
      <w:pPr>
        <w:spacing w:after="0" w:line="73" w:lineRule="exact"/>
        <w:rPr>
          <w:sz w:val="20"/>
          <w:szCs w:val="20"/>
          <w:color w:val="auto"/>
        </w:rPr>
      </w:pPr>
    </w:p>
    <w:tbl>
      <w:tblPr>
        <w:tblLayout w:type="fixed"/>
        <w:tblInd w:w="218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1440" w:type="dxa"/>
            <w:vAlign w:val="bottom"/>
            <w:vMerge w:val="restart"/>
          </w:tcPr>
          <w:p>
            <w:pPr>
              <w:ind w:left="540"/>
              <w:spacing w:after="0"/>
              <w:rPr>
                <w:sz w:val="20"/>
                <w:szCs w:val="20"/>
                <w:color w:val="auto"/>
              </w:rPr>
            </w:pPr>
            <w:r>
              <w:rPr>
                <w:rFonts w:ascii="Times New Roman" w:cs="Times New Roman" w:eastAsia="Times New Roman" w:hAnsi="Times New Roman"/>
                <w:sz w:val="16"/>
                <w:szCs w:val="16"/>
                <w:color w:val="auto"/>
              </w:rPr>
              <w:t>Units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Weighted average</w:t>
            </w:r>
          </w:p>
        </w:tc>
        <w:tc>
          <w:tcPr>
            <w:tcW w:w="0" w:type="dxa"/>
            <w:vAlign w:val="bottom"/>
          </w:tcPr>
          <w:p>
            <w:pPr>
              <w:spacing w:after="0"/>
              <w:rPr>
                <w:sz w:val="1"/>
                <w:szCs w:val="1"/>
                <w:color w:val="auto"/>
              </w:rPr>
            </w:pPr>
          </w:p>
        </w:tc>
      </w:tr>
      <w:tr>
        <w:trPr>
          <w:trHeight w:val="213"/>
        </w:trPr>
        <w:tc>
          <w:tcPr>
            <w:tcW w:w="38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8"/>
              </w:rPr>
              <w:t>grant-date fair value</w:t>
            </w: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as of August 31, 2024</w:t>
            </w:r>
          </w:p>
        </w:tc>
        <w:tc>
          <w:tcPr>
            <w:tcW w:w="144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179,791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59.08</w:t>
            </w:r>
          </w:p>
        </w:tc>
        <w:tc>
          <w:tcPr>
            <w:tcW w:w="0" w:type="dxa"/>
            <w:vAlign w:val="bottom"/>
          </w:tcPr>
          <w:p>
            <w:pPr>
              <w:spacing w:after="0"/>
              <w:rPr>
                <w:sz w:val="1"/>
                <w:szCs w:val="1"/>
                <w:color w:val="auto"/>
              </w:rPr>
            </w:pPr>
          </w:p>
        </w:tc>
      </w:tr>
      <w:tr>
        <w:trPr>
          <w:trHeight w:val="250"/>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154,089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48.03</w:t>
            </w:r>
          </w:p>
        </w:tc>
        <w:tc>
          <w:tcPr>
            <w:tcW w:w="0" w:type="dxa"/>
            <w:vAlign w:val="bottom"/>
          </w:tcPr>
          <w:p>
            <w:pPr>
              <w:spacing w:after="0"/>
              <w:rPr>
                <w:sz w:val="1"/>
                <w:szCs w:val="1"/>
                <w:color w:val="auto"/>
              </w:rPr>
            </w:pPr>
          </w:p>
        </w:tc>
      </w:tr>
      <w:tr>
        <w:trPr>
          <w:trHeight w:val="273"/>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4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(12,175)</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63.42</w:t>
            </w:r>
          </w:p>
        </w:tc>
        <w:tc>
          <w:tcPr>
            <w:tcW w:w="0" w:type="dxa"/>
            <w:vAlign w:val="bottom"/>
          </w:tcPr>
          <w:p>
            <w:pPr>
              <w:spacing w:after="0"/>
              <w:rPr>
                <w:sz w:val="1"/>
                <w:szCs w:val="1"/>
                <w:color w:val="auto"/>
              </w:rPr>
            </w:pPr>
          </w:p>
        </w:tc>
      </w:tr>
      <w:tr>
        <w:trPr>
          <w:trHeight w:val="267"/>
        </w:trPr>
        <w:tc>
          <w:tcPr>
            <w:tcW w:w="3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6"/>
                <w:szCs w:val="16"/>
                <w:color w:val="auto"/>
              </w:rPr>
              <w:t>(42,373)</w:t>
            </w: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60.39</w:t>
            </w: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as of May 31, 2025</w:t>
            </w:r>
          </w:p>
        </w:tc>
        <w:tc>
          <w:tcPr>
            <w:tcW w:w="144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279,332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52.60</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Performance stock units are generally granted to employees as a part of the annual grant in November of the associated fiscal year, although the Board of Directors reserves the right to administer mid-year grants from time to time as they see fit. The fair value of each performance stock unit grant with a market-based TSR component is estimated on the date of grant using a Monte-Carlo simulation based on the following assumptions presented below which are associated with each year’s annual grant:</w:t>
      </w:r>
    </w:p>
    <w:p>
      <w:pPr>
        <w:spacing w:after="0" w:line="306" w:lineRule="exact"/>
        <w:rPr>
          <w:sz w:val="20"/>
          <w:szCs w:val="20"/>
          <w:color w:val="auto"/>
        </w:rPr>
      </w:pPr>
    </w:p>
    <w:tbl>
      <w:tblPr>
        <w:tblLayout w:type="fixed"/>
        <w:tblInd w:w="194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Thirty-Nine Weeks Ended</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Thirty-Nine Weeks Ended</w:t>
            </w:r>
          </w:p>
        </w:tc>
      </w:tr>
      <w:tr>
        <w:trPr>
          <w:trHeight w:val="273"/>
        </w:trPr>
        <w:tc>
          <w:tcPr>
            <w:tcW w:w="3620" w:type="dxa"/>
            <w:vAlign w:val="bottom"/>
          </w:tcPr>
          <w:p>
            <w:pPr>
              <w:spacing w:after="0"/>
              <w:rPr>
                <w:sz w:val="23"/>
                <w:szCs w:val="23"/>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May 31, 2025</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25, 2024</w:t>
            </w:r>
          </w:p>
        </w:tc>
      </w:tr>
      <w:tr>
        <w:trPr>
          <w:trHeight w:val="253"/>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31.38%</w:t>
            </w:r>
          </w:p>
        </w:tc>
        <w:tc>
          <w:tcPr>
            <w:tcW w:w="120" w:type="dxa"/>
            <w:vAlign w:val="bottom"/>
            <w:tcBorders>
              <w:top w:val="single" w:sz="8" w:color="CCEEFF"/>
            </w:tcBorders>
            <w:shd w:val="clear" w:color="auto" w:fill="CCEEFF"/>
          </w:tcPr>
          <w:p>
            <w:pPr>
              <w:spacing w:after="0"/>
              <w:rPr>
                <w:sz w:val="22"/>
                <w:szCs w:val="22"/>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33.96%</w:t>
            </w:r>
          </w:p>
        </w:tc>
      </w:tr>
      <w:tr>
        <w:trPr>
          <w:trHeight w:val="267"/>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5"/>
              </w:rPr>
              <w:t>—%</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7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performance term</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2.93</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2.93</w:t>
            </w:r>
          </w:p>
        </w:tc>
      </w:tr>
      <w:tr>
        <w:trPr>
          <w:trHeight w:val="267"/>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Risk-free rate of return</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4.14%</w:t>
            </w:r>
          </w:p>
        </w:tc>
        <w:tc>
          <w:tcPr>
            <w:tcW w:w="12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4.62%</w:t>
            </w:r>
          </w:p>
        </w:tc>
      </w:tr>
      <w:tr>
        <w:trPr>
          <w:trHeight w:val="27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$54.41</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$57.43</w:t>
            </w:r>
          </w:p>
        </w:tc>
      </w:tr>
    </w:tbl>
    <w:p>
      <w:pPr>
        <w:spacing w:after="0" w:line="30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May 31, 2025, the Company had $6.4 million of total unrecognized compensation cost related to performance stock units that will be recognized over an expected weighted average period of 1.5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Stock appreciation rights (“SARs”) permit the holder to participate in the appreciation of the Company’s common stock price and are awarded to non-employee consultants of the Company. The SARs settle in shares of its common stock once the applicable vesting criteria have been met. The SARs outstanding as of May 31, 2025, cliff vested two years from the date of grant and must be exercised within five years from the date of grant.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SARs activity for the thirty-nine weeks ended May 31, 2025:</w:t>
      </w:r>
    </w:p>
    <w:p>
      <w:pPr>
        <w:spacing w:after="0" w:line="275" w:lineRule="exact"/>
        <w:rPr>
          <w:sz w:val="20"/>
          <w:szCs w:val="20"/>
          <w:color w:val="auto"/>
        </w:rPr>
      </w:pPr>
    </w:p>
    <w:tbl>
      <w:tblPr>
        <w:tblLayout w:type="fixed"/>
        <w:tblInd w:w="218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14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Shares underlying</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Weighted average</w:t>
            </w:r>
          </w:p>
        </w:tc>
      </w:tr>
      <w:tr>
        <w:trPr>
          <w:trHeight w:val="213"/>
        </w:trPr>
        <w:tc>
          <w:tcPr>
            <w:tcW w:w="38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SARs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exercise price</w:t>
            </w: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August 31, 2024</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150,000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37.67</w:t>
            </w:r>
          </w:p>
        </w:tc>
      </w:tr>
      <w:tr>
        <w:trPr>
          <w:trHeight w:val="250"/>
        </w:trPr>
        <w:tc>
          <w:tcPr>
            <w:tcW w:w="3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3"/>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Exercised</w:t>
            </w:r>
          </w:p>
        </w:tc>
        <w:tc>
          <w:tcPr>
            <w:tcW w:w="14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7"/>
        </w:trPr>
        <w:tc>
          <w:tcPr>
            <w:tcW w:w="3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Forfeited</w:t>
            </w:r>
          </w:p>
        </w:tc>
        <w:tc>
          <w:tcPr>
            <w:tcW w:w="14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May 31, 2025</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150,000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37.67</w:t>
            </w:r>
          </w:p>
        </w:tc>
      </w:tr>
      <w:tr>
        <w:trPr>
          <w:trHeight w:val="250"/>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Vested as of May 31, 2025</w:t>
            </w:r>
          </w:p>
        </w:tc>
        <w:tc>
          <w:tcPr>
            <w:tcW w:w="14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150,000</w:t>
            </w:r>
          </w:p>
        </w:tc>
        <w:tc>
          <w:tcPr>
            <w:tcW w:w="26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37.67</w:t>
            </w: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as of May 31, 2025</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150,000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37.67</w:t>
            </w:r>
          </w:p>
        </w:tc>
      </w:tr>
    </w:tbl>
    <w:p>
      <w:pPr>
        <w:spacing w:after="0" w:line="31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SARs outstanding as of the thirty-nine weeks ended May 31, 2025, are liability-classified; therefore, the related stock-based compensation expense is based on the vesting provisions and the fair value of the awards.</w:t>
      </w:r>
    </w:p>
    <w:p>
      <w:pPr>
        <w:spacing w:after="0" w:line="200" w:lineRule="exact"/>
        <w:rPr>
          <w:sz w:val="20"/>
          <w:szCs w:val="20"/>
          <w:color w:val="auto"/>
        </w:rPr>
      </w:pPr>
    </w:p>
    <w:p>
      <w:pPr>
        <w:spacing w:after="0" w:line="34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21" w:right="6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This Quarterly Report on Form 10-Q (this “Report”) contains forward-looking statements. When used anywhere in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achievements to differ materially from those expressed or implied by these forward-looking statements. These statements include, but are not limited to, our expectations regarding our supply chain, including but not limited to, raw materials and logistics costs, the effect of price increases, inflationary pressure on us and our contract manufacturers, changes in taxes, tariffs, duties, governmental laws and regulations, our growth, our competitive position, and the unforeseen business disruptions or other effects due to current global geopolitical tension. We disclaim any undertaking to publicly update or revise any forward-looking statements contained herein to reflect any change in our expectations with regard thereto or any change in events, conditions or circumstances on which any such statement is based, except as required by applicable law. These statements reflect our current views with respect to future events and are based on assumptions subject to risks and uncertainties. Such risks and uncertainties include those related to our ability to sell our products.</w:t>
      </w:r>
    </w:p>
    <w:p>
      <w:pPr>
        <w:spacing w:after="0" w:line="2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included in our Annual Report on Form 10-K for the fiscal year ended August 31, 2024, (“Annual Report”) and our unaudited consolidated financial statements and the related notes appearing elsewhere in this Report. In addition to historical information, the following discussion contains forward-looking statements, including, but not limited to, statements regarding the Company’s expectation for future performance, liquidity and capital resources that involve risks, uncertainties and assumptions that could cause actual results to differ materially from the Company’s expectations. The Company’s actual results may differ materially from those contained in or implied by any forward-looking statements. Factors that could cause such differences include those identified in Item 1A. “Risk Factors” of our Annual Report and this Report. The Company assumes no obligation to update any of these forward-looking statements.</w:t>
      </w:r>
    </w:p>
    <w:p>
      <w:pPr>
        <w:spacing w:after="0" w:line="2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Unless the context requires otherwise in this Report, the terms “we,” “us,” “our,” the “Company” and “Simply Good Foods” refer to The Simply Good Foods Company and its subsidiaries. In context, “Quest” may also refer to the Quest brand, “Atkins” may also refer to the Atkins brand, and “OWYN” may also refer to the OWYN brand. Atkins, Quest, OWYN, and the Simply Good logo are either registered trademarks or trademarks of the Company’s wholly owned subsidiary Simply Good Foods USA, Inc. or one of its affiliates in the United States and elsewhere. All rights are reserved.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Simply Good Foods Company is a consumer packaged food and beverage company that aims to lead the nutritious snacking movement with trusted brands that offer a variety of convenient, innovative, great-tasting, better-for-you snacks and meal replacements, and other product offerings. The product portfolio we develop, market and sell consists primarily of protein bars, ready-to-drink (“RTD”) beverages, sweet and salty snacks and confectionery products marketed under the Quest, Atkins, and OWYN brand names. We believe Simply Good Foods is poised to expand its wellness platform through innovation and organic growth along with acquisition opportunities in the nutritional snacking space.</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that end, in June 2024, we completed the acquisition of OWYN, a plant-based protein food company, for a cash purchase price of approximately $280.0 million (subject to customary adjustments). For more information, please see “</w:t>
      </w:r>
      <w:r>
        <w:rPr>
          <w:rFonts w:ascii="Times New Roman" w:cs="Times New Roman" w:eastAsia="Times New Roman" w:hAnsi="Times New Roman"/>
          <w:sz w:val="18"/>
          <w:szCs w:val="18"/>
          <w:i w:val="1"/>
          <w:iCs w:val="1"/>
          <w:color w:val="auto"/>
        </w:rPr>
        <w:t>Liquidity and Capital Resources-OWYN Acquisition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nutritious snacking platform consists of brands that specialize in providing products for consumers that follow certain nutritional philosophies and health-and-wellness trends: Quest for consumers seeking a variety of protein-rich foods and beverages that also limit sugars and simple carbohydrates, Atkins for those following a low-carbohydrate lifestyle or seeking to manage weight or blood sugar levels, and OWYN for consumers seeking protein-rich beverages that are plant-based and tested for the top nine allergens that also limit sugars and simple carbohydrates. We distribute our products in major retail channels, primarily in North America, including grocery, club, and mass merchandise, as well as through e-commerce, convenience, specialty, and other channels. Our portfolio of nutritious snacking brands gives us a strong platform with which to introduce new products, expand distribution, and attract new consumers to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Trends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thirteen and thirty-nine weeks ended May 31, 2025, our business performance improved principally due to the OWYN Acquisition and Quest volume growth, which more than offset continued softness in Atkins. We expect fiscal year 2025 organic sales growth to be driven primarily by volume and have strong advertising and marketing plans in place, as well as innovation, merchandising and promotions that we believe should enable us to achieve our objectives.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continue to monitor macroeconomic trends and uncertainties such as consumer and economic uncertainty, key ingredient inflation, supply chain challenges, and the effects of tariffs, which may have adverse effects on net sales and profitability. Based on analysis of the potential effects of these factors, our net sales and profitability are in line with expectations for fiscal year 2025. We are continuing to evaluate these factors and our ability to potentially offset all or a portion of cost increases through pricing actions and cost savings efforts for fiscal year 2026. Economic pressures on customers and consumers, including the challenges of high inflation and the effects of tariffs, may negatively affect our net sales and profitability in the future.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Definitions</w:t>
      </w:r>
    </w:p>
    <w:p>
      <w:pPr>
        <w:spacing w:after="0" w:line="25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18"/>
          <w:szCs w:val="18"/>
          <w:color w:val="auto"/>
        </w:rPr>
        <w:t>Net sales consist primarily of product sales less the cost of promotional activities, slotting fees and other sales credits and adjustments,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product returns.</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Cost of goods sold. </w:t>
      </w:r>
      <w:r>
        <w:rPr>
          <w:rFonts w:ascii="Times New Roman" w:cs="Times New Roman" w:eastAsia="Times New Roman" w:hAnsi="Times New Roman"/>
          <w:sz w:val="18"/>
          <w:szCs w:val="18"/>
          <w:color w:val="auto"/>
        </w:rPr>
        <w:t>Cost of goods sold consists primarily of the costs we pay to our contract manufacturing partners to produce the products sold.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costs include the purchase of raw ingredients, packaging, shipping and handling, warehousing, depreciation of warehouse equipment, and a tolling charge for the contract manufacturer. Cost of goods sold includes products provided at no charge as part of promotions and the non-food materials provided with customer orders.</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Operating expenses consist primarily of selling and marketing, general and administrative, depreciation and amortization,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business transaction costs. The following is a brief description of the components of operating expenses:</w:t>
      </w:r>
    </w:p>
    <w:p>
      <w:pPr>
        <w:spacing w:after="0" w:line="184" w:lineRule="exact"/>
        <w:rPr>
          <w:sz w:val="20"/>
          <w:szCs w:val="20"/>
          <w:color w:val="auto"/>
        </w:rPr>
      </w:pPr>
    </w:p>
    <w:p>
      <w:pPr>
        <w:ind w:left="660" w:hanging="328"/>
        <w:spacing w:after="0" w:line="284"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Selling and marketing. </w:t>
      </w:r>
      <w:r>
        <w:rPr>
          <w:rFonts w:ascii="Times New Roman" w:cs="Times New Roman" w:eastAsia="Times New Roman" w:hAnsi="Times New Roman"/>
          <w:sz w:val="18"/>
          <w:szCs w:val="18"/>
          <w:color w:val="auto"/>
        </w:rPr>
        <w:t>Selling and marketing expenses are comprised of broker commissions, customer marketing, media and other marketing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w:t>
      </w:r>
    </w:p>
    <w:p>
      <w:pPr>
        <w:spacing w:after="0" w:line="50"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are comprised of expenses associated with corporate and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functions that support our business, including employee compensation, employee stock-based compensation, professional services, executive transition costs, integration costs, restructuring costs, insurance and other general corporate expenses.</w:t>
      </w:r>
    </w:p>
    <w:p>
      <w:pPr>
        <w:spacing w:after="0" w:line="65"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expenses consist of expenses associated with the depreciation of fixed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capitalized leasehold improvements and amortization of intangible assets.</w:t>
      </w:r>
    </w:p>
    <w:p>
      <w:pPr>
        <w:spacing w:after="0" w:line="50" w:lineRule="exact"/>
        <w:rPr>
          <w:rFonts w:ascii="Times New Roman" w:cs="Times New Roman" w:eastAsia="Times New Roman" w:hAnsi="Times New Roman"/>
          <w:sz w:val="18"/>
          <w:szCs w:val="18"/>
          <w:i w:val="1"/>
          <w:iCs w:val="1"/>
          <w:color w:val="auto"/>
        </w:rPr>
      </w:pPr>
    </w:p>
    <w:p>
      <w:pPr>
        <w:ind w:left="660" w:right="20" w:hanging="328"/>
        <w:spacing w:after="0" w:line="284" w:lineRule="auto"/>
        <w:tabs>
          <w:tab w:leader="none" w:pos="65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Business Transaction Costs. </w:t>
      </w:r>
      <w:r>
        <w:rPr>
          <w:rFonts w:ascii="Times New Roman" w:cs="Times New Roman" w:eastAsia="Times New Roman" w:hAnsi="Times New Roman"/>
          <w:sz w:val="18"/>
          <w:szCs w:val="18"/>
          <w:color w:val="auto"/>
        </w:rPr>
        <w:t>Business transaction costs are comprised of transaction advisory fees, non-deferrable debt issuance costs, legal,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diligence, consulting, and accounting expenses associated with the OWYN Acquisition.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thirteen weeks ended May 31, 2025, our net sales increased 13.8% to $381.0 million compared to $334.8 million for the thirteen weeks ended May 25, 2024, driven primarily by the OWYN Acquisition and Quest volume growth, which more than offset continued softness in Atkins. Gross profit increased during the quarter, driven by higher sales volumes, while gross margin decreased 350 basis points primarily as a result of unfavorable commodity expenses compared to the prior year period and the inclusion of OWYN. We expect to see continued growth during fiscal year 2025 by building on our existing capabilities and strengthening the position of our brands in the marketplace. We will continue to invest in our business and improve our operating efficiencies as well as continuing the integration of OWYN.</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assessing the performance of our business, we consider a number of key performance indicators used by management and typically used by our competitors, including the non-GAAP measures EBITDA and Adjusted EBITDA. Because not all companies use identical calculations, this presentation of EBITDA and Adjusted EBITDA may not be comparable to other similarly titled measures of other companies. See “Reconciliation of EBITDA and Adjusted EBITDA” below for a reconciliation of EBITDA and Adjusted EBITDA to net income for each applicable period.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Unaudited Results for the Thirteen Weeks Ended May 31, 2025, and the Thirteen Weeks Ended May 25, 2024</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unaudited table presents, for the periods indicated, selected information from our Consolidated Statements of Operations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 including information presented as a percentage of net sales:</w:t>
      </w:r>
    </w:p>
    <w:p>
      <w:pPr>
        <w:spacing w:after="0" w:line="279" w:lineRule="exact"/>
        <w:rPr>
          <w:sz w:val="20"/>
          <w:szCs w:val="20"/>
          <w:color w:val="auto"/>
        </w:rPr>
      </w:pPr>
    </w:p>
    <w:tbl>
      <w:tblPr>
        <w:tblLayout w:type="fixed"/>
        <w:tblInd w:w="620" w:type="dxa"/>
        <w:tblCellMar>
          <w:top w:w="0" w:type="dxa"/>
          <w:left w:w="0" w:type="dxa"/>
          <w:bottom w:w="0" w:type="dxa"/>
          <w:right w:w="0" w:type="dxa"/>
        </w:tblCellMar>
      </w:tblPr>
      <w:tr>
        <w:trPr>
          <w:trHeight w:val="210"/>
        </w:trPr>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w w:val="99"/>
              </w:rPr>
              <w:t>Thirteen Weeks Ended</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w w:val="99"/>
              </w:rPr>
              <w:t>Thirteen Weeks Ended</w:t>
            </w:r>
          </w:p>
        </w:tc>
        <w:tc>
          <w:tcPr>
            <w:tcW w:w="1340" w:type="dxa"/>
            <w:vAlign w:val="bottom"/>
          </w:tcPr>
          <w:p>
            <w:pPr>
              <w:spacing w:after="0"/>
              <w:rPr>
                <w:sz w:val="18"/>
                <w:szCs w:val="18"/>
                <w:color w:val="auto"/>
              </w:rPr>
            </w:pPr>
          </w:p>
        </w:tc>
      </w:tr>
      <w:tr>
        <w:trPr>
          <w:trHeight w:val="246"/>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21"/>
                <w:szCs w:val="21"/>
                <w:color w:val="auto"/>
              </w:rPr>
            </w:pPr>
          </w:p>
        </w:tc>
        <w:tc>
          <w:tcPr>
            <w:tcW w:w="15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auto"/>
              </w:rPr>
              <w:t>May 31, 2025</w:t>
            </w: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 of Net Sales</w:t>
            </w:r>
          </w:p>
        </w:tc>
        <w:tc>
          <w:tcPr>
            <w:tcW w:w="220" w:type="dxa"/>
            <w:vAlign w:val="bottom"/>
          </w:tcPr>
          <w:p>
            <w:pPr>
              <w:spacing w:after="0"/>
              <w:rPr>
                <w:sz w:val="21"/>
                <w:szCs w:val="21"/>
                <w:color w:val="auto"/>
              </w:rPr>
            </w:pPr>
          </w:p>
        </w:tc>
        <w:tc>
          <w:tcPr>
            <w:tcW w:w="15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auto"/>
              </w:rPr>
              <w:t>May 25, 2024</w:t>
            </w: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 of Net Sales</w:t>
            </w:r>
          </w:p>
        </w:tc>
      </w:tr>
      <w:tr>
        <w:trPr>
          <w:trHeight w:val="212"/>
        </w:trPr>
        <w:tc>
          <w:tcPr>
            <w:tcW w:w="3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380,956</w:t>
            </w:r>
          </w:p>
        </w:tc>
        <w:tc>
          <w:tcPr>
            <w:tcW w:w="1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334,757</w:t>
            </w:r>
          </w:p>
        </w:tc>
        <w:tc>
          <w:tcPr>
            <w:tcW w:w="1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13"/>
        </w:trPr>
        <w:tc>
          <w:tcPr>
            <w:tcW w:w="3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242,437</w:t>
            </w:r>
          </w:p>
        </w:tc>
        <w:tc>
          <w:tcPr>
            <w:tcW w:w="14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63.6 %</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201,131</w:t>
            </w:r>
          </w:p>
        </w:tc>
        <w:tc>
          <w:tcPr>
            <w:tcW w:w="14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60.1 %</w:t>
            </w:r>
          </w:p>
        </w:tc>
      </w:tr>
      <w:tr>
        <w:trPr>
          <w:trHeight w:val="212"/>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138,519</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36.4 %</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133,626</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39.9 %</w:t>
            </w:r>
          </w:p>
        </w:tc>
      </w:tr>
      <w:tr>
        <w:trPr>
          <w:trHeight w:val="270"/>
        </w:trPr>
        <w:tc>
          <w:tcPr>
            <w:tcW w:w="3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16"/>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Selling and marketing</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33,799</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36,464</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10.9 %</w:t>
            </w:r>
          </w:p>
        </w:tc>
      </w:tr>
      <w:tr>
        <w:trPr>
          <w:trHeight w:val="219"/>
        </w:trPr>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41,229</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10.8 %</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31,543</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9.4 %</w:t>
            </w:r>
          </w:p>
        </w:tc>
      </w:tr>
      <w:tr>
        <w:trPr>
          <w:trHeight w:val="213"/>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4,171</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4,142</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219"/>
        </w:trPr>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Business transaction costs</w:t>
            </w:r>
          </w:p>
        </w:tc>
        <w:tc>
          <w:tcPr>
            <w:tcW w:w="2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2,703</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r>
      <w:tr>
        <w:trPr>
          <w:trHeight w:val="207"/>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79,199</w:t>
            </w:r>
          </w:p>
        </w:tc>
        <w:tc>
          <w:tcPr>
            <w:tcW w:w="140" w:type="dxa"/>
            <w:vAlign w:val="bottom"/>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20.8 %</w:t>
            </w:r>
          </w:p>
        </w:tc>
        <w:tc>
          <w:tcPr>
            <w:tcW w:w="1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74,852</w:t>
            </w:r>
          </w:p>
        </w:tc>
        <w:tc>
          <w:tcPr>
            <w:tcW w:w="140" w:type="dxa"/>
            <w:vAlign w:val="bottom"/>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22.4 %</w:t>
            </w:r>
          </w:p>
        </w:tc>
      </w:tr>
      <w:tr>
        <w:trPr>
          <w:trHeight w:val="273"/>
        </w:trPr>
        <w:tc>
          <w:tcPr>
            <w:tcW w:w="36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13"/>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59,320</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15.6 %</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58,774</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17.6 %</w:t>
            </w:r>
          </w:p>
        </w:tc>
      </w:tr>
      <w:tr>
        <w:trPr>
          <w:trHeight w:val="273"/>
        </w:trPr>
        <w:tc>
          <w:tcPr>
            <w:tcW w:w="36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13"/>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r>
      <w:tr>
        <w:trPr>
          <w:trHeight w:val="213"/>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(4,900)</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(5,028)</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9"/>
        </w:trPr>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on foreign currency transactions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3"/>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Other income</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2"/>
        </w:trPr>
        <w:tc>
          <w:tcPr>
            <w:tcW w:w="3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(4,578)</w:t>
            </w:r>
          </w:p>
        </w:tc>
        <w:tc>
          <w:tcPr>
            <w:tcW w:w="1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(4,057)</w:t>
            </w:r>
          </w:p>
        </w:tc>
        <w:tc>
          <w:tcPr>
            <w:tcW w:w="1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70"/>
        </w:trPr>
        <w:tc>
          <w:tcPr>
            <w:tcW w:w="3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16"/>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54,742</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14.4 %</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54,717</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16.3 %</w:t>
            </w:r>
          </w:p>
        </w:tc>
      </w:tr>
      <w:tr>
        <w:trPr>
          <w:trHeight w:val="213"/>
        </w:trPr>
        <w:tc>
          <w:tcPr>
            <w:tcW w:w="3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13,640</w:t>
            </w:r>
          </w:p>
        </w:tc>
        <w:tc>
          <w:tcPr>
            <w:tcW w:w="14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13,383</w:t>
            </w:r>
          </w:p>
        </w:tc>
        <w:tc>
          <w:tcPr>
            <w:tcW w:w="14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4.0 %</w:t>
            </w:r>
          </w:p>
        </w:tc>
      </w:tr>
      <w:tr>
        <w:trPr>
          <w:trHeight w:val="237"/>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41,102</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10.8 %</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41,334</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12.3 %</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financial data:</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374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1"/>
                <w:szCs w:val="21"/>
                <w:color w:val="auto"/>
                <w:vertAlign w:val="superscript"/>
              </w:rPr>
              <w:t>(1)</w:t>
            </w: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73,854</w:t>
            </w:r>
          </w:p>
        </w:tc>
        <w:tc>
          <w:tcPr>
            <w:tcW w:w="14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19.4 %</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71,874</w:t>
            </w:r>
          </w:p>
        </w:tc>
        <w:tc>
          <w:tcPr>
            <w:tcW w:w="14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21.5 %</w:t>
            </w:r>
          </w:p>
        </w:tc>
      </w:tr>
    </w:tbl>
    <w:p>
      <w:pPr>
        <w:spacing w:after="0" w:line="13" w:lineRule="exact"/>
        <w:rPr>
          <w:sz w:val="20"/>
          <w:szCs w:val="20"/>
          <w:color w:val="auto"/>
        </w:rPr>
      </w:pPr>
    </w:p>
    <w:p>
      <w:pPr>
        <w:ind w:left="720" w:right="700" w:hanging="80"/>
        <w:spacing w:after="0" w:line="228" w:lineRule="auto"/>
        <w:tabs>
          <w:tab w:leader="none" w:pos="788"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Adjusted EBITDA is a non-GAAP financial metric. See “Reconciliation of EBITDA and Adjusted EBITDA” below for a reconciliation of net income to EBITDA and Adjusted EBITDA for each applicable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-226695</wp:posOffset>
            </wp:positionV>
            <wp:extent cx="39858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985895" cy="8890"/>
                    </a:xfrm>
                    <a:prstGeom prst="rect">
                      <a:avLst/>
                    </a:prstGeom>
                    <a:noFill/>
                  </pic:spPr>
                </pic:pic>
              </a:graphicData>
            </a:graphic>
          </wp:anchor>
        </w:drawing>
      </w:r>
    </w:p>
    <w:p>
      <w:pPr>
        <w:spacing w:after="0" w:line="30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Net sales</w:t>
      </w:r>
      <w:r>
        <w:rPr>
          <w:rFonts w:ascii="Times New Roman" w:cs="Times New Roman" w:eastAsia="Times New Roman" w:hAnsi="Times New Roman"/>
          <w:sz w:val="18"/>
          <w:szCs w:val="18"/>
          <w:color w:val="auto"/>
        </w:rPr>
        <w:t>. Net sales were $381.0 million for the thirteen weeks ended May 31, 2025, compared to $334.8 million for the thirteen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25, 2024, representing an increase of $46.2 million, or 13.8%, driven primarily by the OWYN Acquisition and Quest volume growth, which more than offset continued softness in Atkins. North America net sales increased 14.3% in the thirteen weeks ended May 31, 2025, compared to the thirteen weeks ended May 25, 2024, and International net sales decreased $0.7 million during the same period.</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Cost of goods sold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 of goods sold increased $41.3 million, or 20.5%, for the thirteen weeks ended May 31, 2025, compared to the thirteen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weeks ended May 25, 2024. The cost of goods sold increase was driven by higher sales volumes, primarily as a result of the OWYN Acquisition and growth for Quest, and higher ingredient and packaging costs compared to the prior year period.</w:t>
      </w:r>
    </w:p>
    <w:p>
      <w:pPr>
        <w:spacing w:after="0" w:line="19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increased $4.9 million, or 3.7%, to $138.5 million for the thirteen weeks ended May 31, 2025, compared to the thirteen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weeks ended May 25, 2024. Gross profit margin was 36.4% of net sales for the thirteen weeks ended May 31, 2025, a decrease of 350 basis points from 39.9% of net sales for the thirteen weeks ended May 25, 2024. The decrease in gross profit margin was primarily driven by unfavorable commodity expenses compared to the prior year period and lower gross profit margins of the OWYN business.</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Operating expenses</w:t>
      </w:r>
      <w:r>
        <w:rPr>
          <w:rFonts w:ascii="Times New Roman" w:cs="Times New Roman" w:eastAsia="Times New Roman" w:hAnsi="Times New Roman"/>
          <w:sz w:val="18"/>
          <w:szCs w:val="18"/>
          <w:color w:val="auto"/>
        </w:rPr>
        <w:t>. Operating expenses increased $4.3 million, or 5.8%, for the thirteen weeks ended May 31, 2025, compared to the thirteen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weeks ended May 25, 2024, due to the following:</w:t>
      </w:r>
    </w:p>
    <w:p>
      <w:pPr>
        <w:spacing w:after="0" w:line="184" w:lineRule="exact"/>
        <w:rPr>
          <w:sz w:val="20"/>
          <w:szCs w:val="20"/>
          <w:color w:val="auto"/>
        </w:rPr>
      </w:pPr>
    </w:p>
    <w:p>
      <w:pPr>
        <w:jc w:val="both"/>
        <w:ind w:left="660" w:hanging="247"/>
        <w:spacing w:after="0" w:line="267"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Selling and marketing. </w:t>
      </w:r>
      <w:r>
        <w:rPr>
          <w:rFonts w:ascii="Times New Roman" w:cs="Times New Roman" w:eastAsia="Times New Roman" w:hAnsi="Times New Roman"/>
          <w:sz w:val="18"/>
          <w:szCs w:val="18"/>
          <w:color w:val="auto"/>
        </w:rPr>
        <w:t>Selling and marketing expenses decreased $2.7 million, or 7.3%, for the thirteen weeks ended May 31, 2025,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thirteen weeks ended May 25, 2024, driven primarily by a decrease in marketing spend on the legacy business and partially offset by the OWYN Acquisition.</w:t>
      </w:r>
    </w:p>
    <w:p>
      <w:pPr>
        <w:spacing w:after="0" w:line="65" w:lineRule="exact"/>
        <w:rPr>
          <w:rFonts w:ascii="Times New Roman" w:cs="Times New Roman" w:eastAsia="Times New Roman" w:hAnsi="Times New Roman"/>
          <w:sz w:val="18"/>
          <w:szCs w:val="18"/>
          <w:color w:val="auto"/>
        </w:rPr>
      </w:pPr>
    </w:p>
    <w:p>
      <w:pPr>
        <w:jc w:val="both"/>
        <w:ind w:left="660" w:hanging="247"/>
        <w:spacing w:after="0" w:line="267"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increased $9.7 million, or 30.7%, for the thirteen weeks ended May 31,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thirteen weeks ended May 25, 2024. The increase in general and administrative expenses was driven by an increase of $5.2 million in integration costs and $3.2 million in employee-related costs primarily attributable to OWYN, and higher corporate expenses.</w:t>
      </w:r>
    </w:p>
    <w:p>
      <w:pPr>
        <w:spacing w:after="0" w:line="65" w:lineRule="exact"/>
        <w:rPr>
          <w:rFonts w:ascii="Times New Roman" w:cs="Times New Roman" w:eastAsia="Times New Roman" w:hAnsi="Times New Roman"/>
          <w:sz w:val="18"/>
          <w:szCs w:val="18"/>
          <w:color w:val="auto"/>
        </w:rPr>
      </w:pPr>
    </w:p>
    <w:p>
      <w:pPr>
        <w:ind w:left="660" w:hanging="247"/>
        <w:spacing w:after="0" w:line="284"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was $4.2 million for the thirteen weeks ended May 31, 2025, and $4.1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thirteen weeks ended May 25, 2024, respectively.</w:t>
      </w:r>
    </w:p>
    <w:p>
      <w:pPr>
        <w:spacing w:after="0" w:line="50" w:lineRule="exact"/>
        <w:rPr>
          <w:rFonts w:ascii="Times New Roman" w:cs="Times New Roman" w:eastAsia="Times New Roman" w:hAnsi="Times New Roman"/>
          <w:sz w:val="18"/>
          <w:szCs w:val="18"/>
          <w:color w:val="auto"/>
        </w:rPr>
      </w:pPr>
    </w:p>
    <w:p>
      <w:pPr>
        <w:ind w:left="660" w:hanging="247"/>
        <w:spacing w:after="0" w:line="284"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Business transaction costs. </w:t>
      </w:r>
      <w:r>
        <w:rPr>
          <w:rFonts w:ascii="Times New Roman" w:cs="Times New Roman" w:eastAsia="Times New Roman" w:hAnsi="Times New Roman"/>
          <w:sz w:val="18"/>
          <w:szCs w:val="18"/>
          <w:color w:val="auto"/>
        </w:rPr>
        <w:t>Business transaction costs were zero for the thirteen weeks ended May 31, 2025, compared to $2.7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thirteen weeks ended May 25, 2024, and were comprised of expenses related to the OWYN Acquisition.</w:t>
      </w:r>
    </w:p>
    <w:p>
      <w:pPr>
        <w:spacing w:after="0" w:line="4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income. </w:t>
      </w:r>
      <w:r>
        <w:rPr>
          <w:rFonts w:ascii="Times New Roman" w:cs="Times New Roman" w:eastAsia="Times New Roman" w:hAnsi="Times New Roman"/>
          <w:sz w:val="18"/>
          <w:szCs w:val="18"/>
          <w:color w:val="auto"/>
        </w:rPr>
        <w:t>Interest income decreased $0.2 million for the thirteen weeks ended May 31, 2025, compared to the thirteen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25, 2024.</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Interest expense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expense decreased $0.1 million for the thirteen weeks ended May 31, 2025, compared to the thirteen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25, 2024, primarily due to principal payments reducing the outstanding balance of the Term Facility (as defined below) to $250.0 million subsequent to the incremental borrowing associated with the OWYN Acquisition on June 13, 2024.</w:t>
      </w:r>
    </w:p>
    <w:p>
      <w:pPr>
        <w:spacing w:after="0" w:line="19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Loss on foreign currency transactions. </w:t>
      </w:r>
      <w:r>
        <w:rPr>
          <w:rFonts w:ascii="Times New Roman" w:cs="Times New Roman" w:eastAsia="Times New Roman" w:hAnsi="Times New Roman"/>
          <w:sz w:val="18"/>
          <w:szCs w:val="18"/>
          <w:color w:val="auto"/>
        </w:rPr>
        <w:t>Foreign currency transactions resulted in a $0.3 million loss and an immaterial loss for the thirteen weeks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May 31, 2025, and May 25, 2024, respectively. The variance is attributable to changes in foreign currency rates related to our international operations.</w:t>
      </w:r>
    </w:p>
    <w:p>
      <w:pPr>
        <w:spacing w:after="0" w:line="19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Income tax expense was $13.6 million for the thirteen weeks ended May 31, 2025, compared to $13.4 million during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thirteen weeks ended May 25, 2024. The increase in our income tax expense was primarily driven by changes in permanent differences.</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Net income</w:t>
      </w:r>
      <w:r>
        <w:rPr>
          <w:rFonts w:ascii="Times New Roman" w:cs="Times New Roman" w:eastAsia="Times New Roman" w:hAnsi="Times New Roman"/>
          <w:sz w:val="18"/>
          <w:szCs w:val="18"/>
          <w:color w:val="auto"/>
        </w:rPr>
        <w:t>. Net income was $41.1 million for the thirteen weeks ended May 31, 2025, a decrease of $0.2 million, compared to net income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$41.3 million for the thirteen weeks ended May 25, 2024. Net income was benefited by higher income from operations and was offset by higher other expense and income tax expense.</w:t>
      </w:r>
    </w:p>
    <w:p>
      <w:pPr>
        <w:spacing w:after="0" w:line="19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w:t>
      </w:r>
      <w:r>
        <w:rPr>
          <w:rFonts w:ascii="Times New Roman" w:cs="Times New Roman" w:eastAsia="Times New Roman" w:hAnsi="Times New Roman"/>
          <w:sz w:val="18"/>
          <w:szCs w:val="18"/>
          <w:color w:val="auto"/>
        </w:rPr>
        <w:t>Adjusted EBITDA increased $2.0 million, or 2.8%, for the thirteen weeks ended May 31, 2025, compared to the thirteen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weeks ended May 25, 2024, driven primarily by higher gross profit. For a reconciliation of Adjusted EBITDA to its most directly comparable GAAP measure, see “Reconciliation of EBITDA and Adjusted EBITDA” below.</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Unaudited Results for the Thirty-Nine Weeks Ended May 31, 2025, and the Thirty-Nine Weeks Ended May 25, 2024</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unaudited table presents, for the periods indicated, selected information from our Consolidated Statements of Operations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 including information presented as a percentage of net sales:</w:t>
      </w:r>
    </w:p>
    <w:p>
      <w:pPr>
        <w:spacing w:after="0" w:line="130" w:lineRule="exact"/>
        <w:rPr>
          <w:sz w:val="20"/>
          <w:szCs w:val="20"/>
          <w:color w:val="auto"/>
        </w:rPr>
      </w:pPr>
    </w:p>
    <w:tbl>
      <w:tblPr>
        <w:tblLayout w:type="fixed"/>
        <w:tblInd w:w="620" w:type="dxa"/>
        <w:tblCellMar>
          <w:top w:w="0" w:type="dxa"/>
          <w:left w:w="0" w:type="dxa"/>
          <w:bottom w:w="0" w:type="dxa"/>
          <w:right w:w="0" w:type="dxa"/>
        </w:tblCellMar>
      </w:tblPr>
      <w:tr>
        <w:trPr>
          <w:trHeight w:val="210"/>
        </w:trPr>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rPr>
              <w:t>Thirty-Nine Weeks Ended</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Thirty-Nine Weeks Ended</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21"/>
                <w:szCs w:val="21"/>
                <w:color w:val="auto"/>
              </w:rPr>
            </w:pPr>
          </w:p>
        </w:tc>
        <w:tc>
          <w:tcPr>
            <w:tcW w:w="16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color w:val="auto"/>
              </w:rPr>
              <w:t>May 31, 2025</w:t>
            </w:r>
          </w:p>
        </w:tc>
        <w:tc>
          <w:tcPr>
            <w:tcW w:w="16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 of Net Sales</w:t>
            </w:r>
          </w:p>
        </w:tc>
        <w:tc>
          <w:tcPr>
            <w:tcW w:w="260" w:type="dxa"/>
            <w:vAlign w:val="bottom"/>
          </w:tcPr>
          <w:p>
            <w:pPr>
              <w:spacing w:after="0"/>
              <w:rPr>
                <w:sz w:val="21"/>
                <w:szCs w:val="21"/>
                <w:color w:val="auto"/>
              </w:rPr>
            </w:pPr>
          </w:p>
        </w:tc>
        <w:tc>
          <w:tcPr>
            <w:tcW w:w="16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May 25, 2024</w:t>
            </w:r>
          </w:p>
        </w:tc>
        <w:tc>
          <w:tcPr>
            <w:tcW w:w="15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 of Net Sales</w:t>
            </w:r>
          </w:p>
        </w:tc>
        <w:tc>
          <w:tcPr>
            <w:tcW w:w="0" w:type="dxa"/>
            <w:vAlign w:val="bottom"/>
          </w:tcPr>
          <w:p>
            <w:pPr>
              <w:spacing w:after="0"/>
              <w:rPr>
                <w:sz w:val="1"/>
                <w:szCs w:val="1"/>
                <w:color w:val="auto"/>
              </w:rPr>
            </w:pPr>
          </w:p>
        </w:tc>
      </w:tr>
      <w:tr>
        <w:trPr>
          <w:trHeight w:val="213"/>
        </w:trPr>
        <w:tc>
          <w:tcPr>
            <w:tcW w:w="2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1,081,879</w:t>
            </w:r>
          </w:p>
        </w:tc>
        <w:tc>
          <w:tcPr>
            <w:tcW w:w="1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955,634</w:t>
            </w:r>
          </w:p>
        </w:tc>
        <w:tc>
          <w:tcPr>
            <w:tcW w:w="1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13"/>
        </w:trPr>
        <w:tc>
          <w:tcPr>
            <w:tcW w:w="3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682,737</w:t>
            </w:r>
          </w:p>
        </w:tc>
        <w:tc>
          <w:tcPr>
            <w:tcW w:w="14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63.1 %</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590,020</w:t>
            </w:r>
          </w:p>
        </w:tc>
        <w:tc>
          <w:tcPr>
            <w:tcW w:w="1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61.7 %</w:t>
            </w:r>
          </w:p>
        </w:tc>
        <w:tc>
          <w:tcPr>
            <w:tcW w:w="0" w:type="dxa"/>
            <w:vAlign w:val="bottom"/>
          </w:tcPr>
          <w:p>
            <w:pPr>
              <w:spacing w:after="0"/>
              <w:rPr>
                <w:sz w:val="1"/>
                <w:szCs w:val="1"/>
                <w:color w:val="auto"/>
              </w:rPr>
            </w:pPr>
          </w:p>
        </w:tc>
      </w:tr>
      <w:tr>
        <w:trPr>
          <w:trHeight w:val="212"/>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399,142</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36.9 %</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365,614</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38.3 %</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Selling and marketing</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101,871</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103,097</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10.8 %</w:t>
            </w:r>
          </w:p>
        </w:tc>
        <w:tc>
          <w:tcPr>
            <w:tcW w:w="0" w:type="dxa"/>
            <w:vAlign w:val="bottom"/>
          </w:tcPr>
          <w:p>
            <w:pPr>
              <w:spacing w:after="0"/>
              <w:rPr>
                <w:sz w:val="1"/>
                <w:szCs w:val="1"/>
                <w:color w:val="auto"/>
              </w:rPr>
            </w:pPr>
          </w:p>
        </w:tc>
      </w:tr>
      <w:tr>
        <w:trPr>
          <w:trHeight w:val="219"/>
        </w:trPr>
        <w:tc>
          <w:tcPr>
            <w:tcW w:w="3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115,306</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88,426</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0" w:type="dxa"/>
            <w:vAlign w:val="bottom"/>
          </w:tcPr>
          <w:p>
            <w:pPr>
              <w:spacing w:after="0"/>
              <w:rPr>
                <w:sz w:val="1"/>
                <w:szCs w:val="1"/>
                <w:color w:val="auto"/>
              </w:rPr>
            </w:pPr>
          </w:p>
        </w:tc>
      </w:tr>
      <w:tr>
        <w:trPr>
          <w:trHeight w:val="213"/>
        </w:trPr>
        <w:tc>
          <w:tcPr>
            <w:tcW w:w="3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12,479</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12,711</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219"/>
        </w:trPr>
        <w:tc>
          <w:tcPr>
            <w:tcW w:w="3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Business transaction costs</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14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2,703</w:t>
            </w: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0" w:type="dxa"/>
            <w:vAlign w:val="bottom"/>
          </w:tcPr>
          <w:p>
            <w:pPr>
              <w:spacing w:after="0"/>
              <w:rPr>
                <w:sz w:val="1"/>
                <w:szCs w:val="1"/>
                <w:color w:val="auto"/>
              </w:rPr>
            </w:pPr>
          </w:p>
        </w:tc>
      </w:tr>
      <w:tr>
        <w:trPr>
          <w:trHeight w:val="207"/>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230,476</w:t>
            </w: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21.3 %</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206,937</w:t>
            </w: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21.7 %</w:t>
            </w:r>
          </w:p>
        </w:tc>
        <w:tc>
          <w:tcPr>
            <w:tcW w:w="0" w:type="dxa"/>
            <w:vAlign w:val="bottom"/>
          </w:tcPr>
          <w:p>
            <w:pPr>
              <w:spacing w:after="0"/>
              <w:rPr>
                <w:sz w:val="1"/>
                <w:szCs w:val="1"/>
                <w:color w:val="auto"/>
              </w:rPr>
            </w:pPr>
          </w:p>
        </w:tc>
      </w:tr>
      <w:tr>
        <w:trPr>
          <w:trHeight w:val="273"/>
        </w:trPr>
        <w:tc>
          <w:tcPr>
            <w:tcW w:w="2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168,666</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158,677</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16.6 %</w:t>
            </w:r>
          </w:p>
        </w:tc>
        <w:tc>
          <w:tcPr>
            <w:tcW w:w="0" w:type="dxa"/>
            <w:vAlign w:val="bottom"/>
          </w:tcPr>
          <w:p>
            <w:pPr>
              <w:spacing w:after="0"/>
              <w:rPr>
                <w:sz w:val="1"/>
                <w:szCs w:val="1"/>
                <w:color w:val="auto"/>
              </w:rPr>
            </w:pPr>
          </w:p>
        </w:tc>
      </w:tr>
      <w:tr>
        <w:trPr>
          <w:trHeight w:val="273"/>
        </w:trPr>
        <w:tc>
          <w:tcPr>
            <w:tcW w:w="2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2,895</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0" w:type="dxa"/>
            <w:vAlign w:val="bottom"/>
          </w:tcPr>
          <w:p>
            <w:pPr>
              <w:spacing w:after="0"/>
              <w:rPr>
                <w:sz w:val="1"/>
                <w:szCs w:val="1"/>
                <w:color w:val="auto"/>
              </w:rPr>
            </w:pPr>
          </w:p>
        </w:tc>
      </w:tr>
      <w:tr>
        <w:trPr>
          <w:trHeight w:val="213"/>
        </w:trPr>
        <w:tc>
          <w:tcPr>
            <w:tcW w:w="3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(19,099)</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(16,658)</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165"/>
        </w:trPr>
        <w:tc>
          <w:tcPr>
            <w:tcW w:w="3080" w:type="dxa"/>
            <w:vAlign w:val="bottom"/>
            <w:gridSpan w:val="2"/>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(Loss) gain on foreign currency</w:t>
            </w:r>
          </w:p>
        </w:tc>
        <w:tc>
          <w:tcPr>
            <w:tcW w:w="26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40" w:type="dxa"/>
            <w:vAlign w:val="bottom"/>
            <w:shd w:val="clear" w:color="auto" w:fill="CCEEFF"/>
          </w:tcPr>
          <w:p>
            <w:pPr>
              <w:spacing w:after="0"/>
              <w:rPr>
                <w:sz w:val="14"/>
                <w:szCs w:val="14"/>
                <w:color w:val="auto"/>
              </w:rPr>
            </w:pPr>
          </w:p>
        </w:tc>
        <w:tc>
          <w:tcPr>
            <w:tcW w:w="1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2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transactions</w:t>
            </w:r>
          </w:p>
        </w:tc>
        <w:tc>
          <w:tcPr>
            <w:tcW w:w="260" w:type="dxa"/>
            <w:vAlign w:val="bottom"/>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Other income</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2"/>
        </w:trPr>
        <w:tc>
          <w:tcPr>
            <w:tcW w:w="30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2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(17,271)</w:t>
            </w:r>
          </w:p>
        </w:tc>
        <w:tc>
          <w:tcPr>
            <w:tcW w:w="1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(13,464)</w:t>
            </w:r>
          </w:p>
        </w:tc>
        <w:tc>
          <w:tcPr>
            <w:tcW w:w="1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70"/>
        </w:trPr>
        <w:tc>
          <w:tcPr>
            <w:tcW w:w="2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151,395</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14.0 %</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145,213</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15.2 %</w:t>
            </w:r>
          </w:p>
        </w:tc>
        <w:tc>
          <w:tcPr>
            <w:tcW w:w="0" w:type="dxa"/>
            <w:vAlign w:val="bottom"/>
          </w:tcPr>
          <w:p>
            <w:pPr>
              <w:spacing w:after="0"/>
              <w:rPr>
                <w:sz w:val="1"/>
                <w:szCs w:val="1"/>
                <w:color w:val="auto"/>
              </w:rPr>
            </w:pPr>
          </w:p>
        </w:tc>
      </w:tr>
      <w:tr>
        <w:trPr>
          <w:trHeight w:val="213"/>
        </w:trPr>
        <w:tc>
          <w:tcPr>
            <w:tcW w:w="3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35,424</w:t>
            </w:r>
          </w:p>
        </w:tc>
        <w:tc>
          <w:tcPr>
            <w:tcW w:w="14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35,195</w:t>
            </w:r>
          </w:p>
        </w:tc>
        <w:tc>
          <w:tcPr>
            <w:tcW w:w="1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0" w:type="dxa"/>
            <w:vAlign w:val="bottom"/>
          </w:tcPr>
          <w:p>
            <w:pPr>
              <w:spacing w:after="0"/>
              <w:rPr>
                <w:sz w:val="1"/>
                <w:szCs w:val="1"/>
                <w:color w:val="auto"/>
              </w:rPr>
            </w:pPr>
          </w:p>
        </w:tc>
      </w:tr>
      <w:tr>
        <w:trPr>
          <w:trHeight w:val="237"/>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115,971</w:t>
            </w: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110,018</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11.5 %</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financial data:</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1"/>
                <w:szCs w:val="21"/>
                <w:color w:val="auto"/>
                <w:vertAlign w:val="superscript"/>
              </w:rPr>
              <w:t>(1)</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211,923</w:t>
            </w:r>
          </w:p>
        </w:tc>
        <w:tc>
          <w:tcPr>
            <w:tcW w:w="14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19.6 %</w:t>
            </w:r>
          </w:p>
        </w:tc>
        <w:tc>
          <w:tcPr>
            <w:tcW w:w="140" w:type="dxa"/>
            <w:vAlign w:val="bottom"/>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191,679</w:t>
            </w:r>
          </w:p>
        </w:tc>
        <w:tc>
          <w:tcPr>
            <w:tcW w:w="12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20.1 %</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720" w:right="700" w:hanging="87"/>
        <w:spacing w:after="0" w:line="228" w:lineRule="auto"/>
        <w:tabs>
          <w:tab w:leader="none" w:pos="788"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Adjusted EBITDA is a non-GAAP financial metric. See “Reconciliation of EBITDA and Adjusted EBITDA” below for a reconciliation of net income to EBITDA and Adjusted EBITDA for each applicable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-226695</wp:posOffset>
            </wp:positionV>
            <wp:extent cx="44062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406265" cy="8890"/>
                    </a:xfrm>
                    <a:prstGeom prst="rect">
                      <a:avLst/>
                    </a:prstGeom>
                    <a:noFill/>
                  </pic:spPr>
                </pic:pic>
              </a:graphicData>
            </a:graphic>
          </wp:anchor>
        </w:drawing>
      </w:r>
    </w:p>
    <w:p>
      <w:pPr>
        <w:spacing w:after="0" w:line="28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Net sales were $1,081.9 million for the thirty-nine weeks ended May 31, 2025, compared to $955.6 million for the thirty-nine weeks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May 25, 2024, representing an increase of $126.2 million, or 13.2%, driven primarily by the OWYN Acquisition and Quest volume growth, which more than offset continued softness in Atkins. North America net sales increased 13.7% in the thirty-nine weeks ended May 31, 2025, compared to the thirty-nine weeks ended May 25, 2024, and International net sales decreased $1.6 million during the same period.</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Cost of goods sold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 of goods sold increased $92.7 million, or 15.7%, for the thirty-nine weeks ended May 31, 2025, compared to the thirty-nine weeks ended May 25, 2024. The cost of goods sold increase was driven by higher sales volumes, primarily as a result of the OWYN Acquisition and growth for Quest, and the effect of the non-cash $1.4 million inventory step-up charge related to the OWYN Acquisition, which were partially offset by lower ingredient and packaging costs compared to the prior year to date period.</w:t>
      </w:r>
    </w:p>
    <w:p>
      <w:pPr>
        <w:spacing w:after="0" w:line="20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increased $33.5 million, or 9.2%, to $399.1 million for the thirty-nine weeks ended May 31, 2025, compared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thirty-nine weeks ended May 25, 2024. Gross profit margin was 36.9% of net sales for the thirty-nine weeks ended May 31, 2025, a decrease of 140 basis points from 38.3% of net sales for the thirty-nine weeks ended May 25, 2024. The decrease in gross profit margin was primarily driven by lower gross profit margins of the OWYN business, partially offset by favorable commodity expenses compared to the prior year to date period, and is inclusive of the non-cash $1.4 million inventory step-up charge related to the OWYN Acquisition.</w:t>
      </w:r>
    </w:p>
    <w:p>
      <w:pPr>
        <w:spacing w:after="0" w:line="20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Operating expenses</w:t>
      </w:r>
      <w:r>
        <w:rPr>
          <w:rFonts w:ascii="Times New Roman" w:cs="Times New Roman" w:eastAsia="Times New Roman" w:hAnsi="Times New Roman"/>
          <w:sz w:val="18"/>
          <w:szCs w:val="18"/>
          <w:color w:val="auto"/>
        </w:rPr>
        <w:t>. Operating expenses increased $23.5 million, or 11.4%, for the thirty-nine weeks ended May 31, 2025, compared to the thirty-nine weeks ended May 25, 2024, due to the following:</w:t>
      </w:r>
    </w:p>
    <w:p>
      <w:pPr>
        <w:spacing w:after="0" w:line="184" w:lineRule="exact"/>
        <w:rPr>
          <w:sz w:val="20"/>
          <w:szCs w:val="20"/>
          <w:color w:val="auto"/>
        </w:rPr>
      </w:pPr>
    </w:p>
    <w:p>
      <w:pPr>
        <w:jc w:val="both"/>
        <w:ind w:left="660" w:hanging="247"/>
        <w:spacing w:after="0" w:line="267" w:lineRule="auto"/>
        <w:tabs>
          <w:tab w:leader="none" w:pos="65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Selling and marketing. </w:t>
      </w:r>
      <w:r>
        <w:rPr>
          <w:rFonts w:ascii="Times New Roman" w:cs="Times New Roman" w:eastAsia="Times New Roman" w:hAnsi="Times New Roman"/>
          <w:sz w:val="18"/>
          <w:szCs w:val="18"/>
          <w:color w:val="auto"/>
        </w:rPr>
        <w:t>Selling and marketing expenses decreased $1.2 million, or 1.2%, for the thirty-nine weeks ended May 31, 2025,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thirty-nine weeks ended May 25, 2024, driven primarily by a decrease in marketing spend on the legacy business and partially offset by the OWYN Acquisition.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8" w:lineRule="exact"/>
        <w:rPr>
          <w:sz w:val="20"/>
          <w:szCs w:val="20"/>
          <w:color w:val="auto"/>
        </w:rPr>
      </w:pPr>
    </w:p>
    <w:p>
      <w:pPr>
        <w:jc w:val="both"/>
        <w:ind w:left="660" w:hanging="247"/>
        <w:spacing w:after="0" w:line="267" w:lineRule="auto"/>
        <w:tabs>
          <w:tab w:leader="none" w:pos="65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increased $26.9 million, or 30.4%, for the thirty-nine weeks ended May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compared to the thirty-nine weeks ended May 25, 2024. The increase in general and administrative expense was driven by an increase of $12.1 million in integration costs and $9.2 million in employee-related costs primarily attributable to OWYN, and higher corporate expenses.</w:t>
      </w:r>
    </w:p>
    <w:p>
      <w:pPr>
        <w:spacing w:after="0" w:line="65" w:lineRule="exact"/>
        <w:rPr>
          <w:rFonts w:ascii="Times New Roman" w:cs="Times New Roman" w:eastAsia="Times New Roman" w:hAnsi="Times New Roman"/>
          <w:sz w:val="18"/>
          <w:szCs w:val="18"/>
          <w:i w:val="1"/>
          <w:iCs w:val="1"/>
          <w:color w:val="auto"/>
        </w:rPr>
      </w:pPr>
    </w:p>
    <w:p>
      <w:pPr>
        <w:ind w:left="660" w:right="20" w:hanging="247"/>
        <w:spacing w:after="0" w:line="284"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was $12.5 million and $12.7 million for the thirty-nine weeks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31, 2025, compared to the thirty-nine weeks ended May 25, 2024, respectively.</w:t>
      </w:r>
    </w:p>
    <w:p>
      <w:pPr>
        <w:spacing w:after="0" w:line="50" w:lineRule="exact"/>
        <w:rPr>
          <w:rFonts w:ascii="Times New Roman" w:cs="Times New Roman" w:eastAsia="Times New Roman" w:hAnsi="Times New Roman"/>
          <w:sz w:val="18"/>
          <w:szCs w:val="18"/>
          <w:color w:val="auto"/>
        </w:rPr>
      </w:pPr>
    </w:p>
    <w:p>
      <w:pPr>
        <w:ind w:left="660" w:hanging="247"/>
        <w:spacing w:after="0" w:line="284"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Business transaction costs. </w:t>
      </w:r>
      <w:r>
        <w:rPr>
          <w:rFonts w:ascii="Times New Roman" w:cs="Times New Roman" w:eastAsia="Times New Roman" w:hAnsi="Times New Roman"/>
          <w:sz w:val="18"/>
          <w:szCs w:val="18"/>
          <w:color w:val="auto"/>
        </w:rPr>
        <w:t>Business transaction costs were $0.8 million for the thirty-nine weeks ended May 31, 2025, compared to $2.7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thirty-nine weeks ended May 25, 2024, and were comprised of expenses related to the OWYN Acquisition.</w:t>
      </w:r>
    </w:p>
    <w:p>
      <w:pPr>
        <w:spacing w:after="0" w:line="18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income. </w:t>
      </w:r>
      <w:r>
        <w:rPr>
          <w:rFonts w:ascii="Times New Roman" w:cs="Times New Roman" w:eastAsia="Times New Roman" w:hAnsi="Times New Roman"/>
          <w:sz w:val="18"/>
          <w:szCs w:val="18"/>
          <w:color w:val="auto"/>
        </w:rPr>
        <w:t>Interest income decreased by $0.7 million for the thirty-nine weeks ended May 31, 2025, compared to the thirty-nine weeks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May 25, 2024, due to lower cash balances and the decrease of interest rates.</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Interest expense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expense increased $2.4 million for the thirty-nine weeks ended May 31, 2025, compared to the thirty-nine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25, 2024, primarily due to the effect of the incremental borrowing associated with the OWYN Acquisition on June 13, 2024, and principal payments reducing the outstanding balance of the Term Facility (as defined below) to $250.0 million subsequent to the borrowing as of May 31, 2025.</w:t>
      </w:r>
    </w:p>
    <w:p>
      <w:pPr>
        <w:spacing w:after="0" w:line="19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(Loss) gain on foreign currency transactions. </w:t>
      </w:r>
      <w:r>
        <w:rPr>
          <w:rFonts w:ascii="Times New Roman" w:cs="Times New Roman" w:eastAsia="Times New Roman" w:hAnsi="Times New Roman"/>
          <w:sz w:val="18"/>
          <w:szCs w:val="18"/>
          <w:color w:val="auto"/>
        </w:rPr>
        <w:t>Foreign currency transactions resulted in a $0.3 million loss and a $0.2 million gain for the thirty-nine weeks ended May 31, 2025, and May 25, 2024, respectively. The variance is attributable to changes in foreign currency rates related to our international operations.</w:t>
      </w:r>
    </w:p>
    <w:p>
      <w:pPr>
        <w:spacing w:after="0" w:line="19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Income tax expense was $35.4 million for the thirty-nine weeks ended May 31, 2025, compared to $35.2 million during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thirty-nine weeks ended May 25, 2024. The increase in our income tax expense was primarily driven by higher income from operations and changes in permanent differences.</w:t>
      </w:r>
    </w:p>
    <w:p>
      <w:pPr>
        <w:spacing w:after="0" w:line="19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Net income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income was $116.0 million for the thirty-nine weeks ended May 31, 2025, an increase of $6.0 million compared to net income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$110.0 million for the thirty-nine weeks ended May 25, 2024. Net income was benefited by higher gross profit and income from operations and was partially offset by higher interest expense.</w:t>
      </w:r>
    </w:p>
    <w:p>
      <w:pPr>
        <w:spacing w:after="0" w:line="19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w:t>
      </w:r>
      <w:r>
        <w:rPr>
          <w:rFonts w:ascii="Times New Roman" w:cs="Times New Roman" w:eastAsia="Times New Roman" w:hAnsi="Times New Roman"/>
          <w:sz w:val="18"/>
          <w:szCs w:val="18"/>
          <w:color w:val="auto"/>
        </w:rPr>
        <w:t>Adjusted EBITDA increased $20.2 million, or 10.6% for the thirty-nine weeks ended May 31, 2025, compared to the thirty-nine weeks ended May 25, 2024, driven primarily by higher gross profit. For a reconciliation of Adjusted EBITDA to its most directly comparable GAAP measure, see “Reconciliation of EBITDA and Adjusted EBITDA”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EBITDA and Adjusted EBITDA</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EBITDA and Adjusted EBITDA are non-GAAP financial measures commonly used in our industry and should not be construed as alternatives to net income as an indicator of operating performance or as alternatives to cash flow provided by operating activities as a measure of liquidity (each as determined in accordance with GAAP). The Company defines EBITDA as net income or loss before interest income, interest expense, income tax expense, depreciation and amortization, and Adjusted EBITDA as further adjusted to exclude the following items: stock-based compensation expense, executive transition costs, business transaction costs, purchase price accounting inventory step-up, integration costs, term loan transaction fees, and other non-core expenses. The Company believes that EBITDA and Adjusted EBITDA, when used in conjunction with net income, are useful to provide additional information to investors. Management of the Company uses EBITDA and Adjusted EBITDA to supplement net income because these measures reflect operating results of the on-going operations, eliminate items that are not directly attributable to the Company’s underlying operating performance, enhance the overall understanding of past financial performance and future prospects, and allow for greater transparency with respect to the key metrics the Company’s management uses in its financial and operational decision making. The Company also believes that EBITDA and Adjusted EBITDA are frequently used by securities analysts, investors and other interested parties in the evaluation of companies in its industry. EBITDA and Adjusted EBITDA may not be comparable to other similarly titled captions of other companies due to differences in the non-GAAP calculation.</w:t>
      </w:r>
    </w:p>
    <w:p>
      <w:pPr>
        <w:spacing w:after="0" w:line="21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unaudited table provides a reconciliation of EBITDA and Adjusted EBITDA to its most directly comparable GAAP measure, which is net income, for the thirteen and thirty-nine weeks ended May 31, 2025, and May 25, 2024:</w:t>
      </w:r>
    </w:p>
    <w:p>
      <w:pPr>
        <w:spacing w:after="0" w:line="234" w:lineRule="exact"/>
        <w:rPr>
          <w:sz w:val="20"/>
          <w:szCs w:val="20"/>
          <w:color w:val="auto"/>
        </w:rPr>
      </w:pPr>
    </w:p>
    <w:tbl>
      <w:tblPr>
        <w:tblLayout w:type="fixed"/>
        <w:tblInd w:w="800" w:type="dxa"/>
        <w:tblCellMar>
          <w:top w:w="0" w:type="dxa"/>
          <w:left w:w="0" w:type="dxa"/>
          <w:bottom w:w="0" w:type="dxa"/>
          <w:right w:w="0" w:type="dxa"/>
        </w:tblCellMar>
      </w:tblPr>
      <w:tr>
        <w:trPr>
          <w:trHeight w:val="210"/>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5"/>
          </w:tcPr>
          <w:p>
            <w:pPr>
              <w:ind w:left="580"/>
              <w:spacing w:after="0"/>
              <w:rPr>
                <w:sz w:val="20"/>
                <w:szCs w:val="20"/>
                <w:color w:val="auto"/>
              </w:rPr>
            </w:pPr>
            <w:r>
              <w:rPr>
                <w:rFonts w:ascii="Times New Roman" w:cs="Times New Roman" w:eastAsia="Times New Roman" w:hAnsi="Times New Roman"/>
                <w:sz w:val="16"/>
                <w:szCs w:val="16"/>
                <w:color w:val="auto"/>
              </w:rPr>
              <w:t>Thirteen Weeks Ended</w:t>
            </w:r>
          </w:p>
        </w:tc>
        <w:tc>
          <w:tcPr>
            <w:tcW w:w="200" w:type="dxa"/>
            <w:vAlign w:val="bottom"/>
          </w:tcPr>
          <w:p>
            <w:pPr>
              <w:spacing w:after="0"/>
              <w:rPr>
                <w:sz w:val="18"/>
                <w:szCs w:val="18"/>
                <w:color w:val="auto"/>
              </w:rPr>
            </w:pPr>
          </w:p>
        </w:tc>
        <w:tc>
          <w:tcPr>
            <w:tcW w:w="2880" w:type="dxa"/>
            <w:vAlign w:val="bottom"/>
            <w:gridSpan w:val="4"/>
          </w:tcPr>
          <w:p>
            <w:pPr>
              <w:jc w:val="right"/>
              <w:ind w:right="599"/>
              <w:spacing w:after="0"/>
              <w:rPr>
                <w:sz w:val="20"/>
                <w:szCs w:val="20"/>
                <w:color w:val="auto"/>
              </w:rPr>
            </w:pPr>
            <w:r>
              <w:rPr>
                <w:rFonts w:ascii="Times New Roman" w:cs="Times New Roman" w:eastAsia="Times New Roman" w:hAnsi="Times New Roman"/>
                <w:sz w:val="16"/>
                <w:szCs w:val="16"/>
                <w:color w:val="auto"/>
              </w:rPr>
              <w:t>Thirty-Nine Weeks Ended</w:t>
            </w:r>
          </w:p>
        </w:tc>
      </w:tr>
      <w:tr>
        <w:trPr>
          <w:trHeight w:val="213"/>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May 31, 2025</w:t>
            </w:r>
          </w:p>
        </w:tc>
        <w:tc>
          <w:tcPr>
            <w:tcW w:w="1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May 25, 2024</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May 31, 2025</w:t>
            </w:r>
          </w:p>
        </w:tc>
        <w:tc>
          <w:tcPr>
            <w:tcW w:w="14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May 25, 2024</w:t>
            </w:r>
          </w:p>
        </w:tc>
      </w:tr>
      <w:tr>
        <w:trPr>
          <w:trHeight w:val="253"/>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41,102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41,334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115,971</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110,018</w:t>
            </w:r>
          </w:p>
        </w:tc>
      </w:tr>
      <w:tr>
        <w:trPr>
          <w:trHeight w:val="267"/>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(2,150)</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(2,895)</w:t>
            </w:r>
          </w:p>
        </w:tc>
      </w:tr>
      <w:tr>
        <w:trPr>
          <w:trHeight w:val="273"/>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5,028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19,099</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16,658</w:t>
            </w:r>
          </w:p>
        </w:tc>
      </w:tr>
      <w:tr>
        <w:trPr>
          <w:trHeight w:val="267"/>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13,383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35,424</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35,195</w:t>
            </w:r>
          </w:p>
        </w:tc>
      </w:tr>
      <w:tr>
        <w:trPr>
          <w:trHeight w:val="270"/>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5,079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15,480</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15,871</w:t>
            </w:r>
          </w:p>
        </w:tc>
      </w:tr>
      <w:tr>
        <w:trPr>
          <w:trHeight w:val="250"/>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63,943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183,824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174,847</w:t>
            </w:r>
          </w:p>
        </w:tc>
      </w:tr>
      <w:tr>
        <w:trPr>
          <w:trHeight w:val="273"/>
        </w:trPr>
        <w:tc>
          <w:tcPr>
            <w:tcW w:w="3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4,473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12,819</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13,209</w:t>
            </w:r>
          </w:p>
        </w:tc>
      </w:tr>
      <w:tr>
        <w:trPr>
          <w:trHeight w:val="267"/>
        </w:trPr>
        <w:tc>
          <w:tcPr>
            <w:tcW w:w="3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Executive transition costs</w:t>
            </w:r>
          </w:p>
        </w:tc>
        <w:tc>
          <w:tcPr>
            <w:tcW w:w="18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w:t>
            </w:r>
          </w:p>
        </w:tc>
      </w:tr>
      <w:tr>
        <w:trPr>
          <w:trHeight w:val="273"/>
        </w:trPr>
        <w:tc>
          <w:tcPr>
            <w:tcW w:w="3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transaction costs</w:t>
            </w:r>
          </w:p>
        </w:tc>
        <w:tc>
          <w:tcPr>
            <w:tcW w:w="1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2,703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2,703</w:t>
            </w:r>
          </w:p>
        </w:tc>
      </w:tr>
      <w:tr>
        <w:trPr>
          <w:trHeight w:val="267"/>
        </w:trPr>
        <w:tc>
          <w:tcPr>
            <w:tcW w:w="3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Inventory step-up</w:t>
            </w:r>
          </w:p>
        </w:tc>
        <w:tc>
          <w:tcPr>
            <w:tcW w:w="18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1,412</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3"/>
        </w:trPr>
        <w:tc>
          <w:tcPr>
            <w:tcW w:w="3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Integration of OWYN</w:t>
            </w: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12,112</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7"/>
        </w:trPr>
        <w:tc>
          <w:tcPr>
            <w:tcW w:w="3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Term loan transaction fees</w:t>
            </w:r>
          </w:p>
        </w:tc>
        <w:tc>
          <w:tcPr>
            <w:tcW w:w="18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3"/>
        </w:trPr>
        <w:tc>
          <w:tcPr>
            <w:tcW w:w="3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(1)</w:t>
            </w:r>
          </w:p>
        </w:tc>
        <w:tc>
          <w:tcPr>
            <w:tcW w:w="1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r>
      <w:tr>
        <w:trPr>
          <w:trHeight w:val="223"/>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73,854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71,874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211,923</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191,679</w:t>
            </w:r>
          </w:p>
        </w:tc>
      </w:tr>
      <w:tr>
        <w:trPr>
          <w:trHeight w:val="20"/>
        </w:trPr>
        <w:tc>
          <w:tcPr>
            <w:tcW w:w="3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 w:lineRule="exact"/>
        <w:rPr>
          <w:sz w:val="20"/>
          <w:szCs w:val="20"/>
          <w:color w:val="auto"/>
        </w:rPr>
      </w:pPr>
    </w:p>
    <w:p>
      <w:pPr>
        <w:ind w:left="980" w:hanging="151"/>
        <w:spacing w:after="0"/>
        <w:tabs>
          <w:tab w:leader="none" w:pos="98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Other items consist principally of exchange impact of foreign currency transactions and other expenses.</w:t>
      </w: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316" w:lineRule="exact"/>
        <w:rPr>
          <w:rFonts w:ascii="Times New Roman" w:cs="Times New Roman" w:eastAsia="Times New Roman" w:hAnsi="Times New Roman"/>
          <w:sz w:val="19"/>
          <w:szCs w:val="19"/>
          <w:color w:val="auto"/>
          <w:vertAlign w:val="superscript"/>
        </w:rPr>
      </w:pPr>
    </w:p>
    <w:p>
      <w:pPr>
        <w:ind w:left="5540"/>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historically funded our operations with cash flow from operations and, when needed, with borrowings under our Credit Agreement (as defined below). Our principal uses of cash have been working capital, debt service, repurchases of our common stock, and acquisition opportunities.</w:t>
      </w:r>
    </w:p>
    <w:p>
      <w:pPr>
        <w:spacing w:after="0" w:line="17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We had $98.0 million in cash as of May 31, 2025. We believe our sources of liquidity and capital will be sufficient to finance our continued operations, growth strategy and additional expenses we expect to incur for at least the next twelve months. As circumstances warrant, we may issue debt and/or equity securities from time to time on an opportunistic basis, dependent upon market conditions and available pricing. We make no assurance that we can issue and sell such securities on acceptable terms or at all.</w:t>
      </w:r>
    </w:p>
    <w:p>
      <w:pPr>
        <w:spacing w:after="0" w:line="2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material future cash requirements from contractual and other obligations relate primarily to our principal and interest payments for our Term Facility, as defined and discussed below, and our operating and finance leases. Refer to Note 6, Long-Term Debt and Line of Credit, and Note 9, Leases, of the Notes to Unaudited Consolidated Financial Statements in this Report for additional information related to the expected timing and amount of payments related to our contractual and other obligations.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and Credit Facilities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July 7, 2017, the Company (through certain of its subsidiaries) entered into a credit agreement with Barclays Bank PLC and other parties (as amended to date, the “Credit Agreement”). The Credit Agreement at that time provided for (i) a term facility of $200.0 million (“Term Facility”) with a seven-year maturity and (ii) a revolving credit facility of up to $75.0 million (the “Revolving Credit Facility”) with a five-year maturity. Substantially concurrent with the consummation of the business combination which formed the Company between Conyers Park Acquisition Corp. and NCP-ATK Holdings, Inc. on July 7, 2017, the full $200.0 million of the Term Facility (the “Term Loan”) was drawn.</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7, 2019, we entered into a second amendment (the “Incremental Facility Amendment”) to the Credit Agreement to increase the principal borrowed on the Term Facility by $460.0 million. The Term Facility together with the incremental borrowing make up the Initial Term Loans (as defined in the Incremental Facility Amendment). The Incremental Facility Amendment was executed to partially finance the acquisition of Quest Nutrition, LLC on November 7, 2019. No amounts under the Term Facility were repaid as a result of the execution of the Incremental Facility Amendment.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Effective as of December 16, 2021, we entered into a third amendment (the “Extension Amendment”) to the Credit Agreement. The Extension Amendment provided for an extension of the stated maturity date of the Revolving Commitments and Revolving Loans (each as defined in the Credit Agreement) from July 7, 2022, to the earlier of (i) 91 days prior to the then-effective maturity date of the Initial Term Loans and (ii) December 16, 2026.</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January 21, 2022, we entered into the “2022 Repricing Amendment” to the Credit Agreement. The 2022 Repricing Amendment, among other things, (i) reduced the interest rate per annum applicable to the Initial Term Loans outstanding under the Credit Agreement immediately prior to the effective date of the 2022 Repricing Amendment, (ii) reset the prepayment premium for the existing Initial Term Loans to apply to Repricing Transactions (as defined in the Credit Agreement) that occur within six months after the effective date of the 2022 Repricing Amendment, and (iii) implemented SOFR and related replacement provisions for LIBOR.</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25, 2023, the Company entered into the “2023 Repricing Amendment” to the Credit Agreement. The 2023 Repricing Amendment, (i) reduced the interest rate per annum applicable to the Initial Term Loans outstanding under the Credit Agreement immediately prior to April 25, 2023, and (ii) provided for an extension of the maturity date of the Initial Term Loans from July 7, 2024, to March 17, 2027.</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13, 2024, the Company entered into a sixth amendment (the “2024 Incremental Facility Amendment”) to the Credit Agreement to increase the principal borrowed on the Term Facility by $250.0 million. The terms of the incremental borrowing are the same as the terms of the outstanding borrowings under the Term Facility. The 2024 Incremental Facility Amendment was executed to partially finance the OWYN Acquisition. No amounts under the Term Facility were repaid as a result of the execution of the 2024 Incremental Facility Amendment.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31, 2025, the Company entered into a seventh amendment (the “2025 Repricing Amendment”) to the Credit Agreement to reduce the interest rate per annum applicable to the Initial Term Loans outstanding under the Credit Agreement immediately prior to the effective date of the 2025 Repricing Amendment.</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Effective as of the 2025 Repricing Amendment, the interest rate per annum for the Initial Term Loans is based on either:</w:t>
      </w:r>
    </w:p>
    <w:p>
      <w:pPr>
        <w:spacing w:after="0" w:line="104" w:lineRule="exact"/>
        <w:rPr>
          <w:sz w:val="20"/>
          <w:szCs w:val="20"/>
          <w:color w:val="auto"/>
        </w:rPr>
      </w:pPr>
    </w:p>
    <w:p>
      <w:pPr>
        <w:jc w:val="both"/>
        <w:ind w:left="660" w:hanging="328"/>
        <w:spacing w:after="0" w:line="266" w:lineRule="auto"/>
        <w:tabs>
          <w:tab w:leader="none" w:pos="67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rate equaling the higher of (a) the “prime rate,” (b) the federal funds effective rate plus 0.50%, or (c) the Adjusted Term SOFR Rate (as defined in the Credit Agreement) applicable for an interest period of one month plus 1.00% plus (x) 1.00% margin for the Term Loan or (y) 2.00% margin for the Revolving Credit Facility; or</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SOFR, subject to a floor of 0.50%, plus (x) 2.00% margin for the Term Loan or (y) 3.00% margin for the Revolving Credit Facility.</w:t>
      </w:r>
    </w:p>
    <w:p>
      <w:pPr>
        <w:spacing w:after="0" w:line="25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In connection with the closing of the 2025 Repricing Amendment, the Company expensed $0.7 million of non-deferrable third-party costs through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Simply Good Foods Company is not a borrower under the Credit Agreement and has not provided a guarantee of the Credit Agreement. Simply Good Foods USA, Inc., is the administrative borrower and certain other subsidiary holding companies are co-borrowers under the Credit Agreement. Each of our domestic subsidiaries that is not a named borrower under the Credit Agreement has provided a guarantee on a secured basis. As security for the payment or performance of the debt under the Credit Agreement, the borrowers and the guarantors have pledged certain equity interests in their respective subsidiaries and granted the lenders a security interest in substantially all of their domestic assets. All guarantors other than Quest Nutrition, LLC and Only What You Need, Inc. are holding companies with no assets other than their investments in their respective subsidiaries.</w:t>
      </w:r>
    </w:p>
    <w:p>
      <w:pPr>
        <w:spacing w:after="0" w:line="21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Credit Agreement contains certain financial and other covenants that limit our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The Revolving Credit Facility has a maximum total net leverage ratio equal to or less than 6.00:1.00 contingent on credit extensions in excess of 30% of the total amount of commitments available under the Revolving Credit Facility. Any failure to comply with the restrictions of the credit facilities may result in an event of default. We were in compliance with all covenants as of May 31, 2025, and August 31, 2024, respectively.</w:t>
      </w:r>
    </w:p>
    <w:p>
      <w:pPr>
        <w:spacing w:after="0" w:line="21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At May 31, 2025, the outstanding balance of the Term Facility was $250.0 million. We are not required to make principal payments on the Term Facility over the twelve months following the period ended May 31, 2025. The outstanding balance of the Term Facility is due upon its maturity in March 2027. As of May 31, 2025, there were no amounts drawn against the Revolving Credit Facility.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OWYN Acquisition</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April 29, 2024, the Company’s wholly owned subsidiary, Simply Good Foods, USA, Inc. entered into a Purchase Agreement to acquire OWYN, a plant-based protein food company, for approximately $280.0 million. On June 13, 2024, pursuant to the Purchase Agreement, the Company completed the OWYN Acquisition by acquiring 100% of the equity interests for a cash purchase price at closing of $281.9 million, subject to certain customary post-closing adjustments. We acquired OWYN as a part of our vision to lead the nutritious snacking movement with trusted brands that offer a variety of convenient, innovative, great-tasting, better-for-you snacks and meal replacements that will now offer plant-based products to a wider market of consumers.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OWYN Acquisition was funded through a combination of incremental borrowings under our outstanding Term Facility, totaling $250.0 million, and cash on hand. In the second fiscal quarter of 2025, the Company received a post-closing release from escrow of approximately $1.7 million related to net working capital adjustments, resulting in a total net consideration paid of $280.2 million as of May 31, 2025. Business transaction costs associated with the OWYN Acquisition within the Consolidated Statements of Operations and Comprehensive Income </w:t>
      </w:r>
      <w:r>
        <w:rPr>
          <w:rFonts w:ascii="Times New Roman" w:cs="Times New Roman" w:eastAsia="Times New Roman" w:hAnsi="Times New Roman"/>
          <w:sz w:val="16"/>
          <w:szCs w:val="16"/>
          <w:color w:val="auto"/>
        </w:rPr>
        <w:t>for the</w:t>
      </w:r>
      <w:r>
        <w:rPr>
          <w:rFonts w:ascii="Times New Roman" w:cs="Times New Roman" w:eastAsia="Times New Roman" w:hAnsi="Times New Roman"/>
          <w:sz w:val="18"/>
          <w:szCs w:val="18"/>
          <w:color w:val="auto"/>
        </w:rPr>
        <w:t xml:space="preserve"> thirty-nine weeks ended May 31, 2025, were $0.8 million, which consisted of legal, accounting, and other costs.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adopted a $50.0 million stock repurchase program on November 13, 2018. On April 13, 2022, and October 21, 2022, the Company announced that its Board of Directors had approved the addition of $50.0 million and $50.0 million, respectively, to its stock repurchase program, resulting in authorized stock repurchases of up to an aggregate of $150.0 million.</w:t>
      </w:r>
    </w:p>
    <w:p>
      <w:pPr>
        <w:spacing w:after="0" w:line="20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thirteen and thirty-nine weeks ended May 31, 2025, the Company repurchased 693,375 shares of common stock at an average share price of $35.10 per share. The Company did not repurchase any shares of common stock during the thirteen and thirty-nine weeks ended May 25, 2024.</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May 31, 2025, approximately $47.2 million remained available for repurchases under our $150.0 million stock repurchase program. Refer to Note 11, Stockholders’ Equity, of the Notes to Unaudited Consolidated Financial Statements in this Report for additional information related to our stock repurchase program.</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major sources and uses of cash for each of the periods set forth below (in thousands):</w:t>
      </w:r>
    </w:p>
    <w:p>
      <w:pPr>
        <w:spacing w:after="0" w:line="149" w:lineRule="exact"/>
        <w:rPr>
          <w:sz w:val="20"/>
          <w:szCs w:val="20"/>
          <w:color w:val="auto"/>
        </w:rPr>
      </w:pPr>
    </w:p>
    <w:tbl>
      <w:tblPr>
        <w:tblLayout w:type="fixed"/>
        <w:tblInd w:w="2180" w:type="dxa"/>
        <w:tblCellMar>
          <w:top w:w="0" w:type="dxa"/>
          <w:left w:w="0" w:type="dxa"/>
          <w:bottom w:w="0" w:type="dxa"/>
          <w:right w:w="0" w:type="dxa"/>
        </w:tblCellMar>
      </w:tblPr>
      <w:tr>
        <w:trPr>
          <w:trHeight w:val="213"/>
        </w:trPr>
        <w:tc>
          <w:tcPr>
            <w:tcW w:w="37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color w:val="auto"/>
              </w:rPr>
              <w:t>Thirty-Nine Weeks Ended</w:t>
            </w:r>
          </w:p>
        </w:tc>
      </w:tr>
      <w:tr>
        <w:trPr>
          <w:trHeight w:val="237"/>
        </w:trPr>
        <w:tc>
          <w:tcPr>
            <w:tcW w:w="3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May 31, 2025</w:t>
            </w:r>
          </w:p>
        </w:tc>
        <w:tc>
          <w:tcPr>
            <w:tcW w:w="200" w:type="dxa"/>
            <w:vAlign w:val="bottom"/>
          </w:tcPr>
          <w:p>
            <w:pPr>
              <w:spacing w:after="0"/>
              <w:rPr>
                <w:sz w:val="20"/>
                <w:szCs w:val="20"/>
                <w:color w:val="auto"/>
              </w:rPr>
            </w:pPr>
          </w:p>
        </w:tc>
        <w:tc>
          <w:tcPr>
            <w:tcW w:w="13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May 25, 2024</w:t>
            </w:r>
          </w:p>
        </w:tc>
      </w:tr>
      <w:tr>
        <w:trPr>
          <w:trHeight w:val="253"/>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133,087</w:t>
            </w:r>
          </w:p>
        </w:tc>
        <w:tc>
          <w:tcPr>
            <w:tcW w:w="14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166,755</w:t>
            </w:r>
          </w:p>
        </w:tc>
      </w:tr>
      <w:tr>
        <w:trPr>
          <w:trHeight w:val="267"/>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(2,192)</w:t>
            </w:r>
          </w:p>
        </w:tc>
        <w:tc>
          <w:tcPr>
            <w:tcW w:w="14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(2,345)</w:t>
            </w:r>
          </w:p>
        </w:tc>
      </w:tr>
      <w:tr>
        <w:trPr>
          <w:trHeight w:val="27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(165,206)</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(43,569)</w:t>
            </w:r>
          </w:p>
        </w:tc>
      </w:tr>
    </w:tbl>
    <w:p>
      <w:pPr>
        <w:spacing w:after="0" w:line="30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Our net cash provided by operating activities decreased $33.7 million to $133.1 million for the thirty-nine weeks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31, 2025, compared to $166.8 million for the thirty-nine weeks ended May 25, 2024. The decrease in cash provided by operating activities was primarily attributable to changes in working capital for the thirty-nine weeks ended May 31, 2025, as compared to the thirty-nine weeks ended May 25, 2024. Changes in working capital, comprised of changes in accounts receivable, net, inventories, prepaid expenses, other current assets, accounts payable, accrued interest, accrued expenses and other current liabilities, and other assets and liabilities, were driven by the timing of payments and receipts, the OWYN Acquisition and the building of inventory, which consumed cash of $29.9 million in the thirty-nine weeks ended May 31, 2025, compared to $6.8 million of cash provided in the thirty-nine weeks ended May 25, 2024, a difference of $36.7 million. Income from operations increased by $10.0 million to $168.7 million for the thirty-nine weeks ended May 31, 2025, as compared to $158.7 million for the thirty-nine weeks ended May 25, 2024. Additionally, cash paid for interest was $18.0 million in the thirty-nine weeks ended May 31, 2025, which was an increase of $2.0 million as compared to the $16.0 million paid for interest in the thirty-nine weeks ended May 25, 2024.</w:t>
      </w:r>
    </w:p>
    <w:p>
      <w:pPr>
        <w:spacing w:after="0" w:line="21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Investing activities</w:t>
      </w:r>
      <w:r>
        <w:rPr>
          <w:rFonts w:ascii="Times New Roman" w:cs="Times New Roman" w:eastAsia="Times New Roman" w:hAnsi="Times New Roman"/>
          <w:sz w:val="18"/>
          <w:szCs w:val="18"/>
          <w:color w:val="auto"/>
        </w:rPr>
        <w:t>. Our net cash used in investing activities was $2.2 million for the thirty-nine weeks ended May 31, 2025, compared to $2.3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thirty-nine weeks ended May 25, 2024. Our net cash used in investing activities for the thirty-nine weeks ended May 31, 2025, was primarily comprised of $2.5 million of purchases of property and equipment and $1.4 million of investments in intangible and other assets, and was offset by $1.7 million of cash proceeds received from escrow related to net working capital adjustments related to the OWYN Acquisition. The $2.3 million of net cash used in investing activities for the thirty-nine weeks ended May 25, 2024, was primarily comprised of $1.8 million of purchases of property and equipment.</w:t>
      </w:r>
    </w:p>
    <w:p>
      <w:pPr>
        <w:spacing w:after="0" w:line="20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Financing activities</w:t>
      </w:r>
      <w:r>
        <w:rPr>
          <w:rFonts w:ascii="Times New Roman" w:cs="Times New Roman" w:eastAsia="Times New Roman" w:hAnsi="Times New Roman"/>
          <w:sz w:val="18"/>
          <w:szCs w:val="18"/>
          <w:color w:val="auto"/>
        </w:rPr>
        <w:t>. Our net cash used in financing activities was $165.2 million for the thirty-nine weeks ended May 31, 2025,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$43.6 million for the thirty-nine weeks ended May 25, 2024. Net cash used in financing activities for the thirty-nine weeks ended May 31, 2025, primarily consisted of $150.0 million in principal payments on the Term Facility, $24.3 million in repurchases of common stock, and $2.8 million in tax payments related to the issuance of restricted stock units and performance stock units, partially offset by $12.0 million of cash proceeds received from option exercises. Net cash used in financing activities for the thirty-nine weeks ended May 25, 2024, primarily consisted of $45.0 million in principal payments on the Term Facility, and $4.8 million in tax payments related to issuance of restricted stock units and performance stock units, partially offset by $2.1 million of cash received on repayment of a note receivable and $4.3 million of cash proceeds received from option exercises.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a description of critical accounting policies that affect our significant judgments and estimates used in the preparation of our consolidated financial statements, refer to our Annual Report. Refer to Note 2, Summary of Significant Accounting Policies</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of our unaudited interim consolidated financial statements in this Report for further information regarding recently issued accounting standards.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our market risk exposure during the thirteen-week period ended May 31, 2025. For a discussion of our market risks, see “Quantitative and Qualitative Disclosures About Market Risk” in Part II, Item 7A of our Annual Report.</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15d-15(e) under the Securities Exchange Act of 1934, as amended (the “Exchange Act”), that are designed to ensure that information required to be disclosed by us in the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financial disclosures.</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Management, including the participation of our Chief Executive Officer and our Chief Financial Officer, conducted an evaluation (pursuant to Rule 13a-15(b) under the Exchange Act) of the effectiveness of our disclosure controls and procedures as of the end of the period covered by this Report. Based on this evaluation, our Chief Executive Officer and Chief Financial Officer concluded that, as of May 31, 2025, the Company’s disclosure controls and procedures were effective.</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discussed above, on June 13, 2024, we completed the OWYN Acquisition. As such, the scope of our assessment of the effectiveness of our disclosure controls and procedures did not include the internal control over financial reporting of OWYN and its affiliated entities. These exclusions are consistent with the SEC Staff’s guidance that an assessment of a recently acquired business may be omitted from the scope of our assessment of the effectiveness of disclosure controls and procedures that are also part of internal control over financial reporting in the 12 months following the acquisition. OWYN and its affiliated entities accounted for 15% of our total assets and 9% of our total net sales as of and for the thirty-nine weeks ended May 31,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result of the OWYN Acquisition, we have commenced a project to evaluate the processes and procedures of OWYN’s internal control over financial reporting and incorporate OWYN’s internal control over financial reporting into our internal control over financial reporting framework. In addition, as a result of the OWYN Acquisition, we have implemented new processes and controls over accounting for an acquisition, including determining the fair value of the assets acquired and liabilities assumed.</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disclosed above, there were no changes in our internal controls over financial reporting during the quarter ended May 31, 2025, that have materially affected, or are reasonably likely to materially affect, our internal controls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All internal control systems, no matter how well designed, have inherent limitations. Therefore, even those systems determined to be effective can provide only reasonable assurance with respect to financial statement preparation and presentation. Additionally,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have been and may again become involved in legal proceedings arising in the ordinary course of our business. We are not presently a party to any litigation that we believe to be material and we are not aware of any pending or threatened litigation against us that we believe could have a material adverse effect on our business, operating results, financial condition or 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Readers should carefully consider the factors discussed in Part I, Item 1A. “Risk Factors” in our Annual Report, which could materially affect our business, financial condition, cash flows or future results. Other than the risk included below that has been amended and restated, there have been no material changes in our risk factors included in our Annual Report. The risks described in our Annual Report are not the only risks facing our Company. Additional risks and uncertainties not currently known to us or that we currently deem to be immaterial may also materially adversely affect our business, financial condition or future results.</w:t>
      </w:r>
    </w:p>
    <w:p>
      <w:pPr>
        <w:spacing w:after="0" w:line="20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Ingredient and packaging costs are volatile and may rise significantly for a variety of reasons, many of which are outside of our control, which may negatively affect the profitability of our business.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source ingredients and packaging from a variety of vendors and suppliers, including domestic and international sources. We negotiate the prices for large quantities of core ingredients, such as nuts, protein, fiber and packaging materials. Several ingredients are farmed or manufactured outside of the United States. Costs of ingredients and packaging are volatile and can fluctuate due to conditions difficult to predict, including global competition for resources, fluctuations in currency and exchange rates, weather conditions, the effects of climate change, natural or man-made disasters, consumer demand, geopolitical events, and changes in governmental trade, including the imposition of tariffs in the United States, and agricultural programs and environmental regulations affecting the production or manufacturing of ingredients and packaging. Volatility in the prices of the core ingredients and other supplies we purchase increased in recent fiscal years and, while these price increases have begun to moderate for some core ingredients and other supplies, we anticipate increases in the cost of certain core ingredients and supplies during fiscal year 2025.</w:t>
      </w:r>
    </w:p>
    <w:p>
      <w:pPr>
        <w:spacing w:after="0" w:line="2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Trade policies of the U.S. presidential administration, including tariffs, and potential related actions by other countries are all outside of our control and may affect our financial condition or results of operations. Recently, the U.S. presidential administration announced significant tariffs on imports from a broad range of countries, including the European Union, Canada, Mexico, and China, which may cause inflationary pressures and higher costs on certain of our ingredients and packaging and imports from the affected countries. If maintained, the announced tariffs, as well as related measures that could be taken by other countries and the potential escalation of trade disputes, could pose a risk to our business and results of operations. The extent and duration of the tariffs and the resulting effect on general economic conditions and on our business as a result of increases in prices for ingredients and packaging we import or our suppliers and vendors purchase to produce these items that we acquire through our supply chain are uncertain and depend on various factors, such as negotiations between the United States and affected countries, the responses of other countries or regions, exemptions or exclusions that may be granted, availability and cost of alternative sources of supply, and demand for our products.</w:t>
      </w:r>
    </w:p>
    <w:p>
      <w:pPr>
        <w:spacing w:after="0" w:line="2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attempts to potentially offset these pressures through increases in the selling prices of some of our products or cost savings initiatives may not be successful and may result in reductions in sales volume or profitability. To the extent that price increases or cost savings initiatives are not sufficient to offset increased costs, and/or if they result in the significant decreases in sales volume or profitability, our business, financial condition, or operating results may be adversely affected.</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do not use hedges for availability of any core ingredients or packaging. Any material upward movement in core ingredient or packaging pricing could negatively affect our margins if we cannot find efficiencies or pass these costs on to our consumers. If we are unsuccessful in managing our ingredient and packaging costs, if we cannot increase our prices to cover increased costs, or if such price increases reduce our sales volumes, then such increases in costs will materially and adversely affect our business, financial condition and results of operations.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of our core ingredient contracts have minimum volume commitments that could require purchases without matching revenue during weaker sales periods. Future core ingredient and packaging prices may be affected by new laws or regulations, tariffs, suppliers’ allocations to other purchases, interruptions in production by suppliers, natural disasters, volatility in the price of crude oil and related petrochemical products and changes in exchange rates.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Issuer Purchases of Equity Securities</w:t>
      </w:r>
    </w:p>
    <w:p>
      <w:pPr>
        <w:spacing w:after="0" w:line="32"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w w:val="99"/>
              </w:rPr>
              <w:t>Total number of shares</w:t>
            </w:r>
          </w:p>
        </w:tc>
        <w:tc>
          <w:tcPr>
            <w:tcW w:w="15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color w:val="auto"/>
              </w:rPr>
              <w:t>Average price paid</w:t>
            </w:r>
          </w:p>
        </w:tc>
        <w:tc>
          <w:tcPr>
            <w:tcW w:w="2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Total number of shares purchased</w:t>
            </w:r>
          </w:p>
        </w:tc>
        <w:tc>
          <w:tcPr>
            <w:tcW w:w="120" w:type="dxa"/>
            <w:vAlign w:val="bottom"/>
          </w:tcPr>
          <w:p>
            <w:pPr>
              <w:spacing w:after="0"/>
              <w:rPr>
                <w:sz w:val="16"/>
                <w:szCs w:val="16"/>
                <w:color w:val="auto"/>
              </w:rPr>
            </w:pPr>
          </w:p>
        </w:tc>
        <w:tc>
          <w:tcPr>
            <w:tcW w:w="26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Maximum dollar value of shares that</w:t>
            </w:r>
          </w:p>
        </w:tc>
        <w:tc>
          <w:tcPr>
            <w:tcW w:w="0" w:type="dxa"/>
            <w:vAlign w:val="bottom"/>
          </w:tcPr>
          <w:p>
            <w:pPr>
              <w:spacing w:after="0"/>
              <w:rPr>
                <w:sz w:val="1"/>
                <w:szCs w:val="1"/>
                <w:color w:val="auto"/>
              </w:rPr>
            </w:pPr>
          </w:p>
        </w:tc>
      </w:tr>
      <w:tr>
        <w:trPr>
          <w:trHeight w:val="81"/>
        </w:trPr>
        <w:tc>
          <w:tcPr>
            <w:tcW w:w="1400" w:type="dxa"/>
            <w:vAlign w:val="bottom"/>
            <w:gridSpan w:val="2"/>
            <w:vMerge w:val="restart"/>
          </w:tcPr>
          <w:p>
            <w:pPr>
              <w:ind w:left="440"/>
              <w:spacing w:after="0" w:line="162" w:lineRule="exact"/>
              <w:rPr>
                <w:sz w:val="20"/>
                <w:szCs w:val="20"/>
                <w:color w:val="auto"/>
              </w:rPr>
            </w:pPr>
            <w:r>
              <w:rPr>
                <w:rFonts w:ascii="Times New Roman" w:cs="Times New Roman" w:eastAsia="Times New Roman" w:hAnsi="Times New Roman"/>
                <w:sz w:val="16"/>
                <w:szCs w:val="16"/>
                <w:color w:val="auto"/>
              </w:rPr>
              <w:t>Period</w:t>
            </w:r>
          </w:p>
        </w:tc>
        <w:tc>
          <w:tcPr>
            <w:tcW w:w="1820" w:type="dxa"/>
            <w:vAlign w:val="bottom"/>
            <w:gridSpan w:val="2"/>
            <w:vMerge w:val="continue"/>
          </w:tcPr>
          <w:p>
            <w:pPr>
              <w:spacing w:after="0"/>
              <w:rPr>
                <w:sz w:val="7"/>
                <w:szCs w:val="7"/>
                <w:color w:val="auto"/>
              </w:rPr>
            </w:pPr>
          </w:p>
        </w:tc>
        <w:tc>
          <w:tcPr>
            <w:tcW w:w="1500" w:type="dxa"/>
            <w:vAlign w:val="bottom"/>
            <w:gridSpan w:val="3"/>
            <w:vMerge w:val="continue"/>
          </w:tcPr>
          <w:p>
            <w:pPr>
              <w:spacing w:after="0"/>
              <w:rPr>
                <w:sz w:val="7"/>
                <w:szCs w:val="7"/>
                <w:color w:val="auto"/>
              </w:rPr>
            </w:pPr>
          </w:p>
        </w:tc>
        <w:tc>
          <w:tcPr>
            <w:tcW w:w="2440" w:type="dxa"/>
            <w:vAlign w:val="bottom"/>
            <w:gridSpan w:val="2"/>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color w:val="auto"/>
              </w:rPr>
              <w:t>as part of publicly announced plans</w:t>
            </w:r>
          </w:p>
        </w:tc>
        <w:tc>
          <w:tcPr>
            <w:tcW w:w="2720" w:type="dxa"/>
            <w:vAlign w:val="bottom"/>
            <w:gridSpan w:val="2"/>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may yet be purchased under the plans or</w:t>
            </w:r>
          </w:p>
        </w:tc>
        <w:tc>
          <w:tcPr>
            <w:tcW w:w="0" w:type="dxa"/>
            <w:vAlign w:val="bottom"/>
          </w:tcPr>
          <w:p>
            <w:pPr>
              <w:spacing w:after="0"/>
              <w:rPr>
                <w:sz w:val="1"/>
                <w:szCs w:val="1"/>
                <w:color w:val="auto"/>
              </w:rPr>
            </w:pPr>
          </w:p>
        </w:tc>
      </w:tr>
      <w:tr>
        <w:trPr>
          <w:trHeight w:val="81"/>
        </w:trPr>
        <w:tc>
          <w:tcPr>
            <w:tcW w:w="1400" w:type="dxa"/>
            <w:vAlign w:val="bottom"/>
            <w:gridSpan w:val="2"/>
            <w:vMerge w:val="continue"/>
          </w:tcPr>
          <w:p>
            <w:pPr>
              <w:spacing w:after="0"/>
              <w:rPr>
                <w:sz w:val="7"/>
                <w:szCs w:val="7"/>
                <w:color w:val="auto"/>
              </w:rPr>
            </w:pPr>
          </w:p>
        </w:tc>
        <w:tc>
          <w:tcPr>
            <w:tcW w:w="1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color w:val="auto"/>
              </w:rPr>
              <w:t>purchased</w:t>
            </w:r>
          </w:p>
        </w:tc>
        <w:tc>
          <w:tcPr>
            <w:tcW w:w="260" w:type="dxa"/>
            <w:vAlign w:val="bottom"/>
          </w:tcPr>
          <w:p>
            <w:pPr>
              <w:spacing w:after="0"/>
              <w:rPr>
                <w:sz w:val="7"/>
                <w:szCs w:val="7"/>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color w:val="auto"/>
              </w:rPr>
              <w:t>per share</w:t>
            </w:r>
          </w:p>
        </w:tc>
        <w:tc>
          <w:tcPr>
            <w:tcW w:w="2440" w:type="dxa"/>
            <w:vAlign w:val="bottom"/>
            <w:gridSpan w:val="2"/>
            <w:vMerge w:val="continue"/>
          </w:tcPr>
          <w:p>
            <w:pPr>
              <w:spacing w:after="0"/>
              <w:rPr>
                <w:sz w:val="7"/>
                <w:szCs w:val="7"/>
                <w:color w:val="auto"/>
              </w:rPr>
            </w:pPr>
          </w:p>
        </w:tc>
        <w:tc>
          <w:tcPr>
            <w:tcW w:w="2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440" w:type="dxa"/>
            <w:vAlign w:val="bottom"/>
            <w:gridSpan w:val="2"/>
          </w:tcPr>
          <w:p>
            <w:pPr>
              <w:jc w:val="center"/>
              <w:ind w:right="100"/>
              <w:spacing w:after="0" w:line="216" w:lineRule="exact"/>
              <w:rPr>
                <w:sz w:val="20"/>
                <w:szCs w:val="20"/>
                <w:color w:val="auto"/>
              </w:rPr>
            </w:pPr>
            <w:r>
              <w:rPr>
                <w:rFonts w:ascii="Times New Roman" w:cs="Times New Roman" w:eastAsia="Times New Roman" w:hAnsi="Times New Roman"/>
                <w:sz w:val="16"/>
                <w:szCs w:val="16"/>
                <w:color w:val="auto"/>
                <w:w w:val="95"/>
              </w:rPr>
              <w:t>or programs</w:t>
            </w:r>
            <w:r>
              <w:rPr>
                <w:rFonts w:ascii="Times New Roman" w:cs="Times New Roman" w:eastAsia="Times New Roman" w:hAnsi="Times New Roman"/>
                <w:sz w:val="21"/>
                <w:szCs w:val="21"/>
                <w:color w:val="auto"/>
                <w:w w:val="95"/>
                <w:vertAlign w:val="superscript"/>
              </w:rPr>
              <w:t>(1)</w:t>
            </w:r>
          </w:p>
        </w:tc>
        <w:tc>
          <w:tcPr>
            <w:tcW w:w="120" w:type="dxa"/>
            <w:vAlign w:val="bottom"/>
          </w:tcPr>
          <w:p>
            <w:pPr>
              <w:spacing w:after="0"/>
              <w:rPr>
                <w:sz w:val="18"/>
                <w:szCs w:val="18"/>
                <w:color w:val="auto"/>
              </w:rPr>
            </w:pPr>
          </w:p>
        </w:tc>
        <w:tc>
          <w:tcPr>
            <w:tcW w:w="2600" w:type="dxa"/>
            <w:vAlign w:val="bottom"/>
          </w:tcPr>
          <w:p>
            <w:pPr>
              <w:jc w:val="center"/>
              <w:ind w:right="59"/>
              <w:spacing w:after="0" w:line="216" w:lineRule="exact"/>
              <w:rPr>
                <w:sz w:val="20"/>
                <w:szCs w:val="20"/>
                <w:color w:val="auto"/>
              </w:rPr>
            </w:pPr>
            <w:r>
              <w:rPr>
                <w:rFonts w:ascii="Times New Roman" w:cs="Times New Roman" w:eastAsia="Times New Roman" w:hAnsi="Times New Roman"/>
                <w:sz w:val="16"/>
                <w:szCs w:val="16"/>
                <w:color w:val="auto"/>
                <w:w w:val="96"/>
              </w:rPr>
              <w:t>programs</w:t>
            </w:r>
            <w:r>
              <w:rPr>
                <w:rFonts w:ascii="Times New Roman" w:cs="Times New Roman" w:eastAsia="Times New Roman" w:hAnsi="Times New Roman"/>
                <w:sz w:val="21"/>
                <w:szCs w:val="21"/>
                <w:color w:val="auto"/>
                <w:w w:val="96"/>
                <w:vertAlign w:val="superscript"/>
              </w:rPr>
              <w:t>(1)</w:t>
            </w:r>
          </w:p>
        </w:tc>
        <w:tc>
          <w:tcPr>
            <w:tcW w:w="0" w:type="dxa"/>
            <w:vAlign w:val="bottom"/>
          </w:tcPr>
          <w:p>
            <w:pPr>
              <w:spacing w:after="0"/>
              <w:rPr>
                <w:sz w:val="1"/>
                <w:szCs w:val="1"/>
                <w:color w:val="auto"/>
              </w:rPr>
            </w:pPr>
          </w:p>
        </w:tc>
      </w:tr>
      <w:tr>
        <w:trPr>
          <w:trHeight w:val="156"/>
        </w:trPr>
        <w:tc>
          <w:tcPr>
            <w:tcW w:w="1300" w:type="dxa"/>
            <w:vAlign w:val="bottom"/>
            <w:tcBorders>
              <w:top w:val="single" w:sz="8" w:color="auto"/>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March 2, 2025 -</w:t>
            </w:r>
          </w:p>
        </w:tc>
        <w:tc>
          <w:tcPr>
            <w:tcW w:w="100" w:type="dxa"/>
            <w:vAlign w:val="bottom"/>
            <w:tcBorders>
              <w:top w:val="single" w:sz="8" w:color="CCEEFF"/>
            </w:tcBorders>
            <w:shd w:val="clear" w:color="auto" w:fill="CCEEFF"/>
          </w:tcPr>
          <w:p>
            <w:pPr>
              <w:spacing w:after="0"/>
              <w:rPr>
                <w:sz w:val="13"/>
                <w:szCs w:val="13"/>
                <w:color w:val="auto"/>
              </w:rPr>
            </w:pPr>
          </w:p>
        </w:tc>
        <w:tc>
          <w:tcPr>
            <w:tcW w:w="1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38,586</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33.01</w:t>
            </w:r>
          </w:p>
        </w:tc>
        <w:tc>
          <w:tcPr>
            <w:tcW w:w="100" w:type="dxa"/>
            <w:vAlign w:val="bottom"/>
            <w:tcBorders>
              <w:top w:val="single" w:sz="8" w:color="CCEEFF"/>
            </w:tcBorders>
            <w:shd w:val="clear" w:color="auto" w:fill="CCEEFF"/>
          </w:tcPr>
          <w:p>
            <w:pPr>
              <w:spacing w:after="0"/>
              <w:rPr>
                <w:sz w:val="13"/>
                <w:szCs w:val="13"/>
                <w:color w:val="auto"/>
              </w:rPr>
            </w:pPr>
          </w:p>
        </w:tc>
        <w:tc>
          <w:tcPr>
            <w:tcW w:w="23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38,586</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70,272,902</w:t>
            </w:r>
          </w:p>
        </w:tc>
        <w:tc>
          <w:tcPr>
            <w:tcW w:w="0" w:type="dxa"/>
            <w:vAlign w:val="bottom"/>
          </w:tcPr>
          <w:p>
            <w:pPr>
              <w:spacing w:after="0"/>
              <w:rPr>
                <w:sz w:val="1"/>
                <w:szCs w:val="1"/>
                <w:color w:val="auto"/>
              </w:rPr>
            </w:pPr>
          </w:p>
        </w:tc>
      </w:tr>
      <w:tr>
        <w:trPr>
          <w:trHeight w:val="216"/>
        </w:trPr>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29, 2025</w:t>
            </w:r>
          </w:p>
        </w:tc>
        <w:tc>
          <w:tcPr>
            <w:tcW w:w="1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2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4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March 30, 2025 -</w:t>
            </w: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92,902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32.96</w:t>
            </w:r>
          </w:p>
        </w:tc>
        <w:tc>
          <w:tcPr>
            <w:tcW w:w="100" w:type="dxa"/>
            <w:vAlign w:val="bottom"/>
          </w:tcPr>
          <w:p>
            <w:pPr>
              <w:spacing w:after="0"/>
              <w:rPr>
                <w:sz w:val="14"/>
                <w:szCs w:val="14"/>
                <w:color w:val="auto"/>
              </w:rPr>
            </w:pPr>
          </w:p>
        </w:tc>
        <w:tc>
          <w:tcPr>
            <w:tcW w:w="2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92,902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67,211,040</w:t>
            </w:r>
          </w:p>
        </w:tc>
        <w:tc>
          <w:tcPr>
            <w:tcW w:w="0" w:type="dxa"/>
            <w:vAlign w:val="bottom"/>
          </w:tcPr>
          <w:p>
            <w:pPr>
              <w:spacing w:after="0"/>
              <w:rPr>
                <w:sz w:val="1"/>
                <w:szCs w:val="1"/>
                <w:color w:val="auto"/>
              </w:rPr>
            </w:pPr>
          </w:p>
        </w:tc>
      </w:tr>
      <w:tr>
        <w:trPr>
          <w:trHeight w:val="213"/>
        </w:trPr>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April 26, 2025</w:t>
            </w:r>
          </w:p>
        </w:tc>
        <w:tc>
          <w:tcPr>
            <w:tcW w:w="1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40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April 27, 2025 -</w:t>
            </w:r>
          </w:p>
        </w:tc>
        <w:tc>
          <w:tcPr>
            <w:tcW w:w="1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561,887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35.60</w:t>
            </w:r>
          </w:p>
        </w:tc>
        <w:tc>
          <w:tcPr>
            <w:tcW w:w="100" w:type="dxa"/>
            <w:vAlign w:val="bottom"/>
            <w:shd w:val="clear" w:color="auto" w:fill="CCEEFF"/>
          </w:tcPr>
          <w:p>
            <w:pPr>
              <w:spacing w:after="0"/>
              <w:rPr>
                <w:sz w:val="14"/>
                <w:szCs w:val="14"/>
                <w:color w:val="auto"/>
              </w:rPr>
            </w:pPr>
          </w:p>
        </w:tc>
        <w:tc>
          <w:tcPr>
            <w:tcW w:w="2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561,887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47,209,385</w:t>
            </w:r>
          </w:p>
        </w:tc>
        <w:tc>
          <w:tcPr>
            <w:tcW w:w="0" w:type="dxa"/>
            <w:vAlign w:val="bottom"/>
          </w:tcPr>
          <w:p>
            <w:pPr>
              <w:spacing w:after="0"/>
              <w:rPr>
                <w:sz w:val="1"/>
                <w:szCs w:val="1"/>
                <w:color w:val="auto"/>
              </w:rPr>
            </w:pPr>
          </w:p>
        </w:tc>
      </w:tr>
      <w:tr>
        <w:trPr>
          <w:trHeight w:val="216"/>
        </w:trPr>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May 31, 2025</w:t>
            </w:r>
          </w:p>
        </w:tc>
        <w:tc>
          <w:tcPr>
            <w:tcW w:w="17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6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693,375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35.10</w:t>
            </w:r>
          </w:p>
        </w:tc>
        <w:tc>
          <w:tcPr>
            <w:tcW w:w="100" w:type="dxa"/>
            <w:vAlign w:val="bottom"/>
          </w:tcPr>
          <w:p>
            <w:pPr>
              <w:spacing w:after="0"/>
              <w:rPr>
                <w:sz w:val="17"/>
                <w:szCs w:val="17"/>
                <w:color w:val="auto"/>
              </w:rPr>
            </w:pP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693,375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47,209,385</w:t>
            </w: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8"/>
        <w:spacing w:after="0" w:line="268" w:lineRule="auto"/>
        <w:tabs>
          <w:tab w:leader="none" w:pos="166" w:val="left"/>
        </w:tabs>
        <w:numPr>
          <w:ilvl w:val="0"/>
          <w:numId w:val="1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 xml:space="preserve">We adopted a </w:t>
      </w:r>
      <w:r>
        <w:rPr>
          <w:rFonts w:ascii="Times New Roman" w:cs="Times New Roman" w:eastAsia="Times New Roman" w:hAnsi="Times New Roman"/>
          <w:sz w:val="16"/>
          <w:szCs w:val="16"/>
          <w:color w:val="auto"/>
        </w:rPr>
        <w:t>$50.0 million</w:t>
      </w:r>
      <w:r>
        <w:rPr>
          <w:rFonts w:ascii="Times New Roman" w:cs="Times New Roman" w:eastAsia="Times New Roman" w:hAnsi="Times New Roman"/>
          <w:sz w:val="15"/>
          <w:szCs w:val="15"/>
          <w:color w:val="auto"/>
        </w:rPr>
        <w:t xml:space="preserve"> stock repurchase program on November 13, 2018. On April 13, 2022, and October 21, 2022, we announced that our Board of Directors had approved the addition of </w:t>
      </w:r>
      <w:r>
        <w:rPr>
          <w:rFonts w:ascii="Times New Roman" w:cs="Times New Roman" w:eastAsia="Times New Roman" w:hAnsi="Times New Roman"/>
          <w:sz w:val="16"/>
          <w:szCs w:val="16"/>
          <w:color w:val="auto"/>
        </w:rPr>
        <w:t>$50.0 million</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6"/>
          <w:szCs w:val="16"/>
          <w:color w:val="auto"/>
        </w:rPr>
        <w:t>$50.0 million</w:t>
      </w:r>
      <w:r>
        <w:rPr>
          <w:rFonts w:ascii="Times New Roman" w:cs="Times New Roman" w:eastAsia="Times New Roman" w:hAnsi="Times New Roman"/>
          <w:sz w:val="15"/>
          <w:szCs w:val="15"/>
          <w:color w:val="auto"/>
        </w:rPr>
        <w:t xml:space="preserve">, respectively, to our stock repurchase program, resulting in authorized stock repurchases of up to an aggregate of </w:t>
      </w:r>
      <w:r>
        <w:rPr>
          <w:rFonts w:ascii="Times New Roman" w:cs="Times New Roman" w:eastAsia="Times New Roman" w:hAnsi="Times New Roman"/>
          <w:sz w:val="16"/>
          <w:szCs w:val="16"/>
          <w:color w:val="auto"/>
        </w:rPr>
        <w:t>$150.0 million</w:t>
      </w:r>
      <w:r>
        <w:rPr>
          <w:rFonts w:ascii="Times New Roman" w:cs="Times New Roman" w:eastAsia="Times New Roman" w:hAnsi="Times New Roman"/>
          <w:sz w:val="15"/>
          <w:szCs w:val="15"/>
          <w:color w:val="auto"/>
        </w:rPr>
        <w:t>. As of May 31, 2025, approximately $47.2 million remained available under the stock repurchase program. Under the stock repurchase program, we may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5"/>
          <w:szCs w:val="15"/>
          <w:color w:val="auto"/>
        </w:rPr>
        <w:t>repurchase shares from time to time in the open market or in privately negotiated transactions. The stock repurchase program does not obligate us to acquire any specific number of shares over any specific period of time. We may suspend or discontinue the stock repurchase program at any time, and the stock repurchase program does not have an expiration date.</w:t>
      </w:r>
    </w:p>
    <w:p>
      <w:pPr>
        <w:spacing w:after="0" w:line="200" w:lineRule="exact"/>
        <w:rPr>
          <w:sz w:val="20"/>
          <w:szCs w:val="20"/>
          <w:color w:val="auto"/>
        </w:rPr>
      </w:pPr>
    </w:p>
    <w:p>
      <w:pPr>
        <w:spacing w:after="0" w:line="21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the three months ended May 31, 2025, no directors or officers adopted or terminated a “Rule 10b5-1 trading arrangement” or a “non-Rule 10b5-1 trading arrangement,” as each term is defined in Item 408(a) of Regulation S-K.</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51" w:lineRule="exact"/>
        <w:rPr>
          <w:sz w:val="20"/>
          <w:szCs w:val="20"/>
          <w:color w:val="auto"/>
        </w:rPr>
      </w:pPr>
    </w:p>
    <w:tbl>
      <w:tblPr>
        <w:tblLayout w:type="fixed"/>
        <w:tblInd w:w="62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20" w:type="dxa"/>
            <w:vAlign w:val="bottom"/>
          </w:tcPr>
          <w:p>
            <w:pPr>
              <w:spacing w:after="0"/>
              <w:rPr>
                <w:sz w:val="18"/>
                <w:szCs w:val="18"/>
                <w:color w:val="auto"/>
              </w:rPr>
            </w:pPr>
          </w:p>
        </w:tc>
        <w:tc>
          <w:tcPr>
            <w:tcW w:w="886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Document</w:t>
            </w:r>
          </w:p>
        </w:tc>
      </w:tr>
      <w:tr>
        <w:trPr>
          <w:trHeight w:val="172"/>
        </w:trPr>
        <w:tc>
          <w:tcPr>
            <w:tcW w:w="320" w:type="dxa"/>
            <w:vAlign w:val="bottom"/>
            <w:tcBorders>
              <w:top w:val="single" w:sz="8" w:color="auto"/>
            </w:tcBorders>
            <w:gridSpan w:val="2"/>
            <w:shd w:val="clear" w:color="auto" w:fill="CCEEFF"/>
          </w:tcPr>
          <w:p>
            <w:pPr>
              <w:ind w:left="20"/>
              <w:spacing w:after="0" w:line="172" w:lineRule="exact"/>
              <w:rPr>
                <w:rFonts w:ascii="Times New Roman" w:cs="Times New Roman" w:eastAsia="Times New Roman" w:hAnsi="Times New Roman"/>
                <w:sz w:val="16"/>
                <w:szCs w:val="16"/>
                <w:color w:val="0000FF"/>
                <w:w w:val="99"/>
              </w:rPr>
            </w:pPr>
            <w:hyperlink r:id="rId45">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w:t>
              </w:r>
            </w:hyperlink>
          </w:p>
        </w:tc>
        <w:tc>
          <w:tcPr>
            <w:tcW w:w="6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860" w:type="dxa"/>
            <w:vAlign w:val="bottom"/>
            <w:tcBorders>
              <w:top w:val="single" w:sz="8" w:color="auto"/>
            </w:tcBorders>
            <w:gridSpan w:val="6"/>
            <w:shd w:val="clear" w:color="auto" w:fill="CCEEFF"/>
          </w:tcPr>
          <w:p>
            <w:pPr>
              <w:spacing w:after="0" w:line="172" w:lineRule="exact"/>
              <w:rPr>
                <w:rFonts w:ascii="Times New Roman" w:cs="Times New Roman" w:eastAsia="Times New Roman" w:hAnsi="Times New Roman"/>
                <w:sz w:val="16"/>
                <w:szCs w:val="16"/>
                <w:color w:val="0000FF"/>
              </w:rPr>
            </w:pPr>
            <w:hyperlink r:id="rId45">
              <w:r>
                <w:rPr>
                  <w:rFonts w:ascii="Times New Roman" w:cs="Times New Roman" w:eastAsia="Times New Roman" w:hAnsi="Times New Roman"/>
                  <w:sz w:val="16"/>
                  <w:szCs w:val="16"/>
                  <w:color w:val="0000FF"/>
                </w:rPr>
                <w:t>The Simply Good Foods Company Third Amended and Restated Executive Severance Plan, Effective May 23, 2025 (incorporated by</w:t>
              </w:r>
            </w:hyperlink>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0000FF"/>
              <w:bottom w:val="single" w:sz="8" w:color="CCEEFF"/>
            </w:tcBorders>
            <w:shd w:val="clear" w:color="auto" w:fill="CCEEFF"/>
          </w:tcPr>
          <w:p>
            <w:pPr>
              <w:spacing w:after="0"/>
              <w:rPr>
                <w:sz w:val="14"/>
                <w:szCs w:val="14"/>
                <w:color w:val="auto"/>
              </w:rPr>
            </w:pPr>
          </w:p>
        </w:tc>
        <w:tc>
          <w:tcPr>
            <w:tcW w:w="6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300" w:type="dxa"/>
            <w:vAlign w:val="bottom"/>
            <w:tcBorders>
              <w:top w:val="single" w:sz="8" w:color="0000FF"/>
              <w:bottom w:val="single" w:sz="8" w:color="0000FF"/>
            </w:tcBorders>
            <w:shd w:val="clear" w:color="auto" w:fill="CCEEFF"/>
          </w:tcPr>
          <w:p>
            <w:pPr>
              <w:spacing w:after="0" w:line="142" w:lineRule="exact"/>
              <w:rPr>
                <w:rFonts w:ascii="Times New Roman" w:cs="Times New Roman" w:eastAsia="Times New Roman" w:hAnsi="Times New Roman"/>
                <w:sz w:val="16"/>
                <w:szCs w:val="16"/>
                <w:color w:val="0000FF"/>
              </w:rPr>
            </w:pPr>
            <w:hyperlink r:id="rId45">
              <w:r>
                <w:rPr>
                  <w:rFonts w:ascii="Times New Roman" w:cs="Times New Roman" w:eastAsia="Times New Roman" w:hAnsi="Times New Roman"/>
                  <w:sz w:val="16"/>
                  <w:szCs w:val="16"/>
                  <w:color w:val="0000FF"/>
                </w:rPr>
                <w:t>reference to Exhibit 10.1 to our Form 8-K filed on May 28, 2025).</w:t>
              </w:r>
            </w:hyperlink>
          </w:p>
        </w:tc>
        <w:tc>
          <w:tcPr>
            <w:tcW w:w="4540" w:type="dxa"/>
            <w:vAlign w:val="bottom"/>
            <w:tcBorders>
              <w:top w:val="single" w:sz="8" w:color="0000FF"/>
              <w:bottom w:val="single" w:sz="8" w:color="CCEEFF"/>
            </w:tcBorders>
            <w:gridSpan w:val="4"/>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6"/>
        </w:trPr>
        <w:tc>
          <w:tcPr>
            <w:tcW w:w="98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6"/>
                <w:szCs w:val="16"/>
                <w:color w:val="0000FF"/>
              </w:rPr>
              <w:t>31.</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6"/>
                <w:szCs w:val="16"/>
                <w:color w:val="000000"/>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60" w:type="dxa"/>
            <w:vAlign w:val="bottom"/>
            <w:gridSpan w:val="6"/>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Executive Officer pursuant to Section 302 of the Sarbanes Oxley Act of 2002.</w:t>
            </w:r>
          </w:p>
        </w:tc>
      </w:tr>
      <w:tr>
        <w:trPr>
          <w:trHeight w:val="21"/>
        </w:trPr>
        <w:tc>
          <w:tcPr>
            <w:tcW w:w="2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tcBorders>
              <w:top w:val="single" w:sz="8" w:color="0000FF"/>
            </w:tcBorders>
          </w:tcPr>
          <w:p>
            <w:pPr>
              <w:spacing w:after="0" w:line="20" w:lineRule="exact"/>
              <w:rPr>
                <w:sz w:val="1"/>
                <w:szCs w:val="1"/>
                <w:color w:val="auto"/>
              </w:rPr>
            </w:pPr>
          </w:p>
        </w:tc>
        <w:tc>
          <w:tcPr>
            <w:tcW w:w="2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31.</w:t>
            </w:r>
            <w:r>
              <w:rPr>
                <w:rFonts w:ascii="Times New Roman" w:cs="Times New Roman" w:eastAsia="Times New Roman" w:hAnsi="Times New Roman"/>
                <w:sz w:val="16"/>
                <w:szCs w:val="16"/>
                <w:u w:val="single" w:color="auto"/>
                <w:color w:val="0000FF"/>
              </w:rPr>
              <w:t>2</w:t>
            </w:r>
            <w:r>
              <w:rPr>
                <w:rFonts w:ascii="Times New Roman" w:cs="Times New Roman" w:eastAsia="Times New Roman" w:hAnsi="Times New Roman"/>
                <w:sz w:val="16"/>
                <w:szCs w:val="16"/>
                <w:color w:val="000000"/>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60" w:type="dxa"/>
            <w:vAlign w:val="bottom"/>
            <w:gridSpan w:val="6"/>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Financial Officer pursuant to Section 302 of the Sarbanes Oxley Act of 2002.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300" w:type="dxa"/>
            <w:vAlign w:val="bottom"/>
            <w:tcBorders>
              <w:top w:val="single" w:sz="8" w:color="0000FF"/>
            </w:tcBorders>
            <w:shd w:val="clear" w:color="auto" w:fill="CCEEFF"/>
          </w:tcPr>
          <w:p>
            <w:pPr>
              <w:spacing w:after="0" w:line="20" w:lineRule="exact"/>
              <w:rPr>
                <w:sz w:val="1"/>
                <w:szCs w:val="1"/>
                <w:color w:val="auto"/>
              </w:rPr>
            </w:pPr>
          </w:p>
        </w:tc>
        <w:tc>
          <w:tcPr>
            <w:tcW w:w="23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0000FF"/>
              </w:rPr>
              <w:t>32.</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6"/>
                <w:szCs w:val="16"/>
                <w:color w:val="000000"/>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60" w:type="dxa"/>
            <w:vAlign w:val="bottom"/>
            <w:gridSpan w:val="6"/>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Executive Officer and Principal Financial Officer pursuant to Section 906 of the Sarbanes Oxley Act.</w:t>
            </w:r>
          </w:p>
        </w:tc>
      </w:tr>
      <w:tr>
        <w:trPr>
          <w:trHeight w:val="21"/>
        </w:trPr>
        <w:tc>
          <w:tcPr>
            <w:tcW w:w="2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tcBorders>
              <w:top w:val="single" w:sz="8" w:color="0000FF"/>
            </w:tcBorders>
          </w:tcPr>
          <w:p>
            <w:pPr>
              <w:spacing w:after="0" w:line="20" w:lineRule="exact"/>
              <w:rPr>
                <w:sz w:val="1"/>
                <w:szCs w:val="1"/>
                <w:color w:val="auto"/>
              </w:rPr>
            </w:pPr>
          </w:p>
        </w:tc>
        <w:tc>
          <w:tcPr>
            <w:tcW w:w="2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101.INS*</w:t>
            </w:r>
          </w:p>
        </w:tc>
        <w:tc>
          <w:tcPr>
            <w:tcW w:w="20" w:type="dxa"/>
            <w:vAlign w:val="bottom"/>
            <w:shd w:val="clear" w:color="auto" w:fill="CCEEFF"/>
          </w:tcPr>
          <w:p>
            <w:pPr>
              <w:spacing w:after="0"/>
              <w:rPr>
                <w:sz w:val="14"/>
                <w:szCs w:val="14"/>
                <w:color w:val="auto"/>
              </w:rPr>
            </w:pPr>
          </w:p>
        </w:tc>
        <w:tc>
          <w:tcPr>
            <w:tcW w:w="8860" w:type="dxa"/>
            <w:vAlign w:val="bottom"/>
            <w:gridSpan w:val="6"/>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XBRL Instance Document (the instance document does not appear on the Interactive Data File because the XBRL tags are embedded</w:t>
            </w:r>
          </w:p>
        </w:tc>
      </w:tr>
      <w:tr>
        <w:trPr>
          <w:trHeight w:val="216"/>
        </w:trPr>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within the Inline XBRL document)</w:t>
            </w:r>
          </w:p>
        </w:tc>
      </w:tr>
      <w:tr>
        <w:trPr>
          <w:trHeight w:val="213"/>
        </w:trPr>
        <w:tc>
          <w:tcPr>
            <w:tcW w:w="20" w:type="dxa"/>
            <w:vAlign w:val="bottom"/>
          </w:tcPr>
          <w:p>
            <w:pPr>
              <w:spacing w:after="0"/>
              <w:rPr>
                <w:sz w:val="18"/>
                <w:szCs w:val="18"/>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101.SCH*</w:t>
            </w:r>
          </w:p>
        </w:tc>
        <w:tc>
          <w:tcPr>
            <w:tcW w:w="20" w:type="dxa"/>
            <w:vAlign w:val="bottom"/>
          </w:tcPr>
          <w:p>
            <w:pPr>
              <w:spacing w:after="0"/>
              <w:rPr>
                <w:sz w:val="18"/>
                <w:szCs w:val="18"/>
                <w:color w:val="auto"/>
              </w:rPr>
            </w:pPr>
          </w:p>
        </w:tc>
        <w:tc>
          <w:tcPr>
            <w:tcW w:w="88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219"/>
        </w:trPr>
        <w:tc>
          <w:tcPr>
            <w:tcW w:w="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101.CAL*</w:t>
            </w:r>
          </w:p>
        </w:tc>
        <w:tc>
          <w:tcPr>
            <w:tcW w:w="20" w:type="dxa"/>
            <w:vAlign w:val="bottom"/>
            <w:shd w:val="clear" w:color="auto" w:fill="CCEEFF"/>
          </w:tcPr>
          <w:p>
            <w:pPr>
              <w:spacing w:after="0"/>
              <w:rPr>
                <w:sz w:val="19"/>
                <w:szCs w:val="19"/>
                <w:color w:val="auto"/>
              </w:rPr>
            </w:pPr>
          </w:p>
        </w:tc>
        <w:tc>
          <w:tcPr>
            <w:tcW w:w="88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213"/>
        </w:trPr>
        <w:tc>
          <w:tcPr>
            <w:tcW w:w="20" w:type="dxa"/>
            <w:vAlign w:val="bottom"/>
          </w:tcPr>
          <w:p>
            <w:pPr>
              <w:spacing w:after="0"/>
              <w:rPr>
                <w:sz w:val="18"/>
                <w:szCs w:val="18"/>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101.DEF*</w:t>
            </w:r>
          </w:p>
        </w:tc>
        <w:tc>
          <w:tcPr>
            <w:tcW w:w="20" w:type="dxa"/>
            <w:vAlign w:val="bottom"/>
          </w:tcPr>
          <w:p>
            <w:pPr>
              <w:spacing w:after="0"/>
              <w:rPr>
                <w:sz w:val="18"/>
                <w:szCs w:val="18"/>
                <w:color w:val="auto"/>
              </w:rPr>
            </w:pPr>
          </w:p>
        </w:tc>
        <w:tc>
          <w:tcPr>
            <w:tcW w:w="88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219"/>
        </w:trPr>
        <w:tc>
          <w:tcPr>
            <w:tcW w:w="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101.LAB*</w:t>
            </w:r>
          </w:p>
        </w:tc>
        <w:tc>
          <w:tcPr>
            <w:tcW w:w="20" w:type="dxa"/>
            <w:vAlign w:val="bottom"/>
            <w:shd w:val="clear" w:color="auto" w:fill="CCEEFF"/>
          </w:tcPr>
          <w:p>
            <w:pPr>
              <w:spacing w:after="0"/>
              <w:rPr>
                <w:sz w:val="19"/>
                <w:szCs w:val="19"/>
                <w:color w:val="auto"/>
              </w:rPr>
            </w:pPr>
          </w:p>
        </w:tc>
        <w:tc>
          <w:tcPr>
            <w:tcW w:w="88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r>
      <w:tr>
        <w:trPr>
          <w:trHeight w:val="210"/>
        </w:trPr>
        <w:tc>
          <w:tcPr>
            <w:tcW w:w="20" w:type="dxa"/>
            <w:vAlign w:val="bottom"/>
          </w:tcPr>
          <w:p>
            <w:pPr>
              <w:spacing w:after="0"/>
              <w:rPr>
                <w:sz w:val="18"/>
                <w:szCs w:val="18"/>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101.PRE*</w:t>
            </w:r>
          </w:p>
        </w:tc>
        <w:tc>
          <w:tcPr>
            <w:tcW w:w="20" w:type="dxa"/>
            <w:vAlign w:val="bottom"/>
          </w:tcPr>
          <w:p>
            <w:pPr>
              <w:spacing w:after="0"/>
              <w:rPr>
                <w:sz w:val="18"/>
                <w:szCs w:val="18"/>
                <w:color w:val="auto"/>
              </w:rPr>
            </w:pPr>
          </w:p>
        </w:tc>
        <w:tc>
          <w:tcPr>
            <w:tcW w:w="88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bl>
    <w:p>
      <w:pPr>
        <w:spacing w:after="0" w:line="5" w:lineRule="exact"/>
        <w:rPr>
          <w:sz w:val="20"/>
          <w:szCs w:val="20"/>
          <w:color w:val="auto"/>
        </w:rPr>
      </w:pPr>
    </w:p>
    <w:p>
      <w:pPr>
        <w:ind w:left="1760" w:hanging="1113"/>
        <w:spacing w:after="0"/>
        <w:tabs>
          <w:tab w:leader="none" w:pos="17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 and contained in Exhibit 101).</w:t>
      </w:r>
    </w:p>
    <w:p>
      <w:pPr>
        <w:spacing w:after="0" w:line="32" w:lineRule="exact"/>
        <w:rPr>
          <w:rFonts w:ascii="Times New Roman" w:cs="Times New Roman" w:eastAsia="Times New Roman" w:hAnsi="Times New Roman"/>
          <w:sz w:val="16"/>
          <w:szCs w:val="16"/>
          <w:color w:val="auto"/>
        </w:rPr>
      </w:pPr>
    </w:p>
    <w:p>
      <w:pPr>
        <w:ind w:left="6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Filed herewith.</w:t>
      </w:r>
    </w:p>
    <w:p>
      <w:pPr>
        <w:spacing w:after="0" w:line="32" w:lineRule="exact"/>
        <w:rPr>
          <w:rFonts w:ascii="Times New Roman" w:cs="Times New Roman" w:eastAsia="Times New Roman" w:hAnsi="Times New Roman"/>
          <w:sz w:val="16"/>
          <w:szCs w:val="16"/>
          <w:color w:val="auto"/>
        </w:rPr>
      </w:pPr>
    </w:p>
    <w:p>
      <w:pPr>
        <w:ind w:left="6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-390525</wp:posOffset>
            </wp:positionV>
            <wp:extent cx="634365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634365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21" w:right="9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b w:val="1"/>
          <w:bCs w:val="1"/>
          <w:color w:val="auto"/>
        </w:rPr>
        <w:t>THE SIMPLY GOOD FOODS COMPANY</w:t>
      </w:r>
    </w:p>
    <w:p>
      <w:pPr>
        <w:spacing w:after="0" w:line="22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color w:val="auto"/>
        </w:rPr>
        <w:t>By: /s/ Timothy A. Matthews</w:t>
      </w:r>
    </w:p>
    <w:p>
      <w:pPr>
        <w:spacing w:after="0" w:line="26" w:lineRule="exact"/>
        <w:rPr>
          <w:sz w:val="20"/>
          <w:szCs w:val="20"/>
          <w:color w:val="auto"/>
        </w:rPr>
      </w:pPr>
    </w:p>
    <w:p>
      <w:pPr>
        <w:ind w:left="1660"/>
        <w:spacing w:after="0"/>
        <w:tabs>
          <w:tab w:leader="none" w:pos="2240" w:val="left"/>
          <w:tab w:leader="none" w:pos="4720" w:val="left"/>
        </w:tabs>
        <w:rPr>
          <w:sz w:val="20"/>
          <w:szCs w:val="20"/>
          <w:color w:val="auto"/>
        </w:rPr>
      </w:pPr>
      <w:r>
        <w:rPr>
          <w:rFonts w:ascii="Times New Roman" w:cs="Times New Roman" w:eastAsia="Times New Roman" w:hAnsi="Times New Roman"/>
          <w:sz w:val="16"/>
          <w:szCs w:val="16"/>
          <w:color w:val="auto"/>
        </w:rPr>
        <w:t>Date:</w:t>
        <w:tab/>
        <w:t>July 10, 2025</w:t>
      </w:r>
      <w:r>
        <w:rPr>
          <w:sz w:val="20"/>
          <w:szCs w:val="20"/>
          <w:color w:val="auto"/>
        </w:rPr>
        <w:tab/>
      </w:r>
      <w:r>
        <w:rPr>
          <w:rFonts w:ascii="Times New Roman" w:cs="Times New Roman" w:eastAsia="Times New Roman" w:hAnsi="Times New Roman"/>
          <w:sz w:val="17"/>
          <w:szCs w:val="17"/>
          <w:color w:val="auto"/>
          <w:vertAlign w:val="subscript"/>
        </w:rPr>
        <w:t xml:space="preserve">Name: </w:t>
      </w:r>
      <w:r>
        <w:rPr>
          <w:rFonts w:ascii="Times New Roman" w:cs="Times New Roman" w:eastAsia="Times New Roman" w:hAnsi="Times New Roman"/>
          <w:sz w:val="17"/>
          <w:szCs w:val="17"/>
          <w:color w:val="auto"/>
        </w:rPr>
        <w:t>Timothy A. Matthews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-119380</wp:posOffset>
            </wp:positionV>
            <wp:extent cx="28028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11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32"/>
          <w:szCs w:val="32"/>
          <w:color w:val="auto"/>
          <w:vertAlign w:val="subscript"/>
        </w:rPr>
        <w:t>Title:</w:t>
      </w:r>
      <w:r>
        <w:rPr>
          <w:rFonts w:ascii="Times New Roman" w:cs="Times New Roman" w:eastAsia="Times New Roman" w:hAnsi="Times New Roman"/>
          <w:sz w:val="16"/>
          <w:szCs w:val="16"/>
          <w:color w:val="auto"/>
        </w:rPr>
        <w:t xml:space="preserve"> Vice President, Controller, and Chief Accounting Officer</w:t>
      </w:r>
    </w:p>
    <w:p>
      <w:pPr>
        <w:spacing w:after="0" w:line="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i w:val="1"/>
          <w:iCs w:val="1"/>
          <w:color w:val="auto"/>
        </w:rPr>
        <w:t>(Duly Authorized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20"/>
          </w:cols>
          <w:pgMar w:left="320" w:top="121" w:right="65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U.S.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Geoff E. Tanner, certify that:</w:t>
      </w:r>
    </w:p>
    <w:p>
      <w:pPr>
        <w:spacing w:after="0" w:line="225" w:lineRule="exact"/>
        <w:rPr>
          <w:sz w:val="20"/>
          <w:szCs w:val="20"/>
          <w:color w:val="auto"/>
        </w:rPr>
      </w:pPr>
    </w:p>
    <w:p>
      <w:pPr>
        <w:ind w:left="420" w:hanging="232"/>
        <w:spacing w:after="0"/>
        <w:tabs>
          <w:tab w:leader="none" w:pos="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Simply Good Foods Company (the "registrant");</w:t>
      </w:r>
    </w:p>
    <w:p>
      <w:pPr>
        <w:spacing w:after="0" w:line="225" w:lineRule="exact"/>
        <w:rPr>
          <w:rFonts w:ascii="Times New Roman" w:cs="Times New Roman" w:eastAsia="Times New Roman" w:hAnsi="Times New Roman"/>
          <w:sz w:val="18"/>
          <w:szCs w:val="18"/>
          <w:color w:val="auto"/>
        </w:rPr>
      </w:pPr>
    </w:p>
    <w:p>
      <w:pPr>
        <w:ind w:firstLine="232"/>
        <w:spacing w:after="0" w:line="282" w:lineRule="auto"/>
        <w:tabs>
          <w:tab w:leader="none" w:pos="47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236"/>
        <w:spacing w:after="0" w:line="282" w:lineRule="auto"/>
        <w:tabs>
          <w:tab w:leader="none" w:pos="477"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276"/>
        <w:spacing w:after="0" w:line="266" w:lineRule="auto"/>
        <w:tabs>
          <w:tab w:leader="none" w:pos="534" w:val="left"/>
        </w:tabs>
        <w:numPr>
          <w:ilvl w:val="3"/>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873" w:val="left"/>
        </w:tabs>
        <w:numPr>
          <w:ilvl w:val="4"/>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27" w:val="left"/>
        </w:tabs>
        <w:numPr>
          <w:ilvl w:val="4"/>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223"/>
        <w:spacing w:after="0" w:line="282" w:lineRule="auto"/>
        <w:tabs>
          <w:tab w:leader="none" w:pos="454"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766" w:val="left"/>
        </w:tabs>
        <w:numPr>
          <w:ilvl w:val="4"/>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807" w:val="left"/>
        </w:tabs>
        <w:numPr>
          <w:ilvl w:val="4"/>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8" w:lineRule="exact"/>
        <w:rPr>
          <w:sz w:val="20"/>
          <w:szCs w:val="20"/>
          <w:color w:val="auto"/>
        </w:rPr>
      </w:pPr>
    </w:p>
    <w:tbl>
      <w:tblPr>
        <w:tblLayout w:type="fixed"/>
        <w:tblInd w:w="220" w:type="dxa"/>
        <w:tblCellMar>
          <w:top w:w="0" w:type="dxa"/>
          <w:left w:w="0" w:type="dxa"/>
          <w:bottom w:w="0" w:type="dxa"/>
          <w:right w:w="0" w:type="dxa"/>
        </w:tblCellMar>
      </w:tblPr>
      <w:tr>
        <w:trPr>
          <w:trHeight w:val="224"/>
        </w:trPr>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Date: July 10, 2025</w:t>
            </w: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By:</w:t>
            </w: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Geoff E. Tanner</w:t>
            </w:r>
          </w:p>
        </w:tc>
        <w:tc>
          <w:tcPr>
            <w:tcW w:w="0" w:type="dxa"/>
            <w:vAlign w:val="bottom"/>
          </w:tcPr>
          <w:p>
            <w:pPr>
              <w:spacing w:after="0"/>
              <w:rPr>
                <w:sz w:val="1"/>
                <w:szCs w:val="1"/>
                <w:color w:val="auto"/>
              </w:rPr>
            </w:pPr>
          </w:p>
        </w:tc>
      </w:tr>
      <w:tr>
        <w:trPr>
          <w:trHeight w:val="168"/>
        </w:trPr>
        <w:tc>
          <w:tcPr>
            <w:tcW w:w="1420" w:type="dxa"/>
            <w:vAlign w:val="bottom"/>
          </w:tcPr>
          <w:p>
            <w:pPr>
              <w:spacing w:after="0"/>
              <w:rPr>
                <w:sz w:val="14"/>
                <w:szCs w:val="14"/>
                <w:color w:val="auto"/>
              </w:rPr>
            </w:pP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Name:</w:t>
            </w:r>
          </w:p>
        </w:tc>
        <w:tc>
          <w:tcPr>
            <w:tcW w:w="3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4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Geoff E. Tanner</w:t>
            </w:r>
          </w:p>
        </w:tc>
        <w:tc>
          <w:tcPr>
            <w:tcW w:w="0" w:type="dxa"/>
            <w:vAlign w:val="bottom"/>
          </w:tcPr>
          <w:p>
            <w:pPr>
              <w:spacing w:after="0"/>
              <w:rPr>
                <w:sz w:val="1"/>
                <w:szCs w:val="1"/>
                <w:color w:val="auto"/>
              </w:rPr>
            </w:pPr>
          </w:p>
        </w:tc>
      </w:tr>
      <w:tr>
        <w:trPr>
          <w:trHeight w:val="256"/>
        </w:trPr>
        <w:tc>
          <w:tcPr>
            <w:tcW w:w="1420" w:type="dxa"/>
            <w:vAlign w:val="bottom"/>
          </w:tcPr>
          <w:p>
            <w:pPr>
              <w:spacing w:after="0"/>
              <w:rPr>
                <w:sz w:val="22"/>
                <w:szCs w:val="22"/>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Title:</w:t>
            </w: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 President and Director</w:t>
            </w: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U.S.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Bealer, certify that:</w:t>
      </w:r>
    </w:p>
    <w:p>
      <w:pPr>
        <w:spacing w:after="0" w:line="225" w:lineRule="exact"/>
        <w:rPr>
          <w:sz w:val="20"/>
          <w:szCs w:val="20"/>
          <w:color w:val="auto"/>
        </w:rPr>
      </w:pPr>
    </w:p>
    <w:p>
      <w:pPr>
        <w:ind w:left="420" w:hanging="232"/>
        <w:spacing w:after="0"/>
        <w:tabs>
          <w:tab w:leader="none" w:pos="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Simply Good Foods Company (the "registrant");</w:t>
      </w:r>
    </w:p>
    <w:p>
      <w:pPr>
        <w:spacing w:after="0" w:line="225" w:lineRule="exact"/>
        <w:rPr>
          <w:rFonts w:ascii="Times New Roman" w:cs="Times New Roman" w:eastAsia="Times New Roman" w:hAnsi="Times New Roman"/>
          <w:sz w:val="18"/>
          <w:szCs w:val="18"/>
          <w:color w:val="auto"/>
        </w:rPr>
      </w:pPr>
    </w:p>
    <w:p>
      <w:pPr>
        <w:ind w:firstLine="232"/>
        <w:spacing w:after="0" w:line="282" w:lineRule="auto"/>
        <w:tabs>
          <w:tab w:leader="none" w:pos="47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236"/>
        <w:spacing w:after="0" w:line="282" w:lineRule="auto"/>
        <w:tabs>
          <w:tab w:leader="none" w:pos="477"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276"/>
        <w:spacing w:after="0" w:line="266" w:lineRule="auto"/>
        <w:tabs>
          <w:tab w:leader="none" w:pos="534" w:val="left"/>
        </w:tabs>
        <w:numPr>
          <w:ilvl w:val="3"/>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873" w:val="left"/>
        </w:tabs>
        <w:numPr>
          <w:ilvl w:val="4"/>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27" w:val="left"/>
        </w:tabs>
        <w:numPr>
          <w:ilvl w:val="4"/>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223"/>
        <w:spacing w:after="0" w:line="282" w:lineRule="auto"/>
        <w:tabs>
          <w:tab w:leader="none" w:pos="454"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firstLine="4"/>
        <w:spacing w:after="0" w:line="282" w:lineRule="auto"/>
        <w:tabs>
          <w:tab w:leader="none" w:pos="1766" w:val="left"/>
        </w:tabs>
        <w:numPr>
          <w:ilvl w:val="4"/>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807" w:val="left"/>
        </w:tabs>
        <w:numPr>
          <w:ilvl w:val="4"/>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8"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Date: July 10, 2025</w:t>
            </w: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By:</w:t>
            </w:r>
          </w:p>
        </w:tc>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 Christopher J. Bealer</w:t>
            </w:r>
          </w:p>
        </w:tc>
        <w:tc>
          <w:tcPr>
            <w:tcW w:w="0" w:type="dxa"/>
            <w:vAlign w:val="bottom"/>
          </w:tcPr>
          <w:p>
            <w:pPr>
              <w:spacing w:after="0"/>
              <w:rPr>
                <w:sz w:val="1"/>
                <w:szCs w:val="1"/>
                <w:color w:val="auto"/>
              </w:rPr>
            </w:pPr>
          </w:p>
        </w:tc>
      </w:tr>
      <w:tr>
        <w:trPr>
          <w:trHeight w:val="59"/>
        </w:trPr>
        <w:tc>
          <w:tcPr>
            <w:tcW w:w="1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350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Name:</w:t>
            </w:r>
          </w:p>
        </w:tc>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Christopher J. Bealer</w:t>
            </w:r>
          </w:p>
        </w:tc>
        <w:tc>
          <w:tcPr>
            <w:tcW w:w="0" w:type="dxa"/>
            <w:vAlign w:val="bottom"/>
          </w:tcPr>
          <w:p>
            <w:pPr>
              <w:spacing w:after="0"/>
              <w:rPr>
                <w:sz w:val="1"/>
                <w:szCs w:val="1"/>
                <w:color w:val="auto"/>
              </w:rPr>
            </w:pPr>
          </w:p>
        </w:tc>
      </w:tr>
      <w:tr>
        <w:trPr>
          <w:trHeight w:val="54"/>
        </w:trPr>
        <w:tc>
          <w:tcPr>
            <w:tcW w:w="1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3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Title:</w:t>
            </w: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jc w:val="both"/>
        <w:ind w:firstLine="2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The Simply Good Foods Company (the “Company”) on Form 10-Q for the fiscal period ended May 31, 2025, as filed with the Securities and Exchange Commission on the date hereof (the “Report”), each of the undersigned officers of the Company hereby certifies, pursuant to 18 U.S.C. § 1350, as adopted pursuant to § 906 of the Sarbanes-Oxley Act of 2002, that, to such officer's knowledge:</w:t>
      </w:r>
    </w:p>
    <w:p>
      <w:pPr>
        <w:spacing w:after="0" w:line="203" w:lineRule="exact"/>
        <w:rPr>
          <w:sz w:val="20"/>
          <w:szCs w:val="20"/>
          <w:color w:val="auto"/>
        </w:rPr>
      </w:pPr>
    </w:p>
    <w:p>
      <w:pPr>
        <w:ind w:left="360" w:hanging="172"/>
        <w:spacing w:after="0"/>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firstLine="259"/>
        <w:spacing w:after="0" w:line="282" w:lineRule="auto"/>
        <w:tabs>
          <w:tab w:leader="none" w:pos="44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covered by the Report.</w:t>
      </w:r>
    </w:p>
    <w:p>
      <w:pPr>
        <w:spacing w:after="0" w:line="200" w:lineRule="exact"/>
        <w:rPr>
          <w:sz w:val="20"/>
          <w:szCs w:val="20"/>
          <w:color w:val="auto"/>
        </w:rPr>
      </w:pPr>
    </w:p>
    <w:p>
      <w:pPr>
        <w:spacing w:after="0" w:line="232" w:lineRule="exact"/>
        <w:rPr>
          <w:sz w:val="20"/>
          <w:szCs w:val="20"/>
          <w:color w:val="auto"/>
        </w:rPr>
      </w:pPr>
    </w:p>
    <w:p>
      <w:pPr>
        <w:ind w:firstLine="178"/>
        <w:spacing w:after="0" w:line="282" w:lineRule="auto"/>
        <w:rPr>
          <w:sz w:val="20"/>
          <w:szCs w:val="20"/>
          <w:color w:val="auto"/>
        </w:rPr>
      </w:pPr>
      <w:r>
        <w:rPr>
          <w:rFonts w:ascii="Times New Roman" w:cs="Times New Roman" w:eastAsia="Times New Roman" w:hAnsi="Times New Roman"/>
          <w:sz w:val="18"/>
          <w:szCs w:val="18"/>
          <w:color w:val="auto"/>
        </w:rPr>
        <w:t>This certificate is being furnished solely for the purposes of 18 U.S.C. Section 1350 and is not being filed as part of the Report or as a separate disclosure document.</w:t>
      </w:r>
    </w:p>
    <w:p>
      <w:pPr>
        <w:spacing w:after="0" w:line="328" w:lineRule="exact"/>
        <w:rPr>
          <w:sz w:val="20"/>
          <w:szCs w:val="20"/>
          <w:color w:val="auto"/>
        </w:rPr>
      </w:pPr>
    </w:p>
    <w:tbl>
      <w:tblPr>
        <w:tblLayout w:type="fixed"/>
        <w:tblInd w:w="220" w:type="dxa"/>
        <w:tblCellMar>
          <w:top w:w="0" w:type="dxa"/>
          <w:left w:w="0" w:type="dxa"/>
          <w:bottom w:w="0" w:type="dxa"/>
          <w:right w:w="0" w:type="dxa"/>
        </w:tblCellMar>
      </w:tblPr>
      <w:tr>
        <w:trPr>
          <w:trHeight w:val="224"/>
        </w:trPr>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Date: July 10, 2025</w:t>
            </w: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By:</w:t>
            </w: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Geoff E. Tanner</w:t>
            </w:r>
          </w:p>
        </w:tc>
        <w:tc>
          <w:tcPr>
            <w:tcW w:w="0" w:type="dxa"/>
            <w:vAlign w:val="bottom"/>
          </w:tcPr>
          <w:p>
            <w:pPr>
              <w:spacing w:after="0"/>
              <w:rPr>
                <w:sz w:val="1"/>
                <w:szCs w:val="1"/>
                <w:color w:val="auto"/>
              </w:rPr>
            </w:pPr>
          </w:p>
        </w:tc>
      </w:tr>
      <w:tr>
        <w:trPr>
          <w:trHeight w:val="168"/>
        </w:trPr>
        <w:tc>
          <w:tcPr>
            <w:tcW w:w="1420" w:type="dxa"/>
            <w:vAlign w:val="bottom"/>
          </w:tcPr>
          <w:p>
            <w:pPr>
              <w:spacing w:after="0"/>
              <w:rPr>
                <w:sz w:val="14"/>
                <w:szCs w:val="14"/>
                <w:color w:val="auto"/>
              </w:rPr>
            </w:pP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Name:</w:t>
            </w:r>
          </w:p>
        </w:tc>
        <w:tc>
          <w:tcPr>
            <w:tcW w:w="3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4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Geoff E. Tanner</w:t>
            </w:r>
          </w:p>
        </w:tc>
        <w:tc>
          <w:tcPr>
            <w:tcW w:w="0" w:type="dxa"/>
            <w:vAlign w:val="bottom"/>
          </w:tcPr>
          <w:p>
            <w:pPr>
              <w:spacing w:after="0"/>
              <w:rPr>
                <w:sz w:val="1"/>
                <w:szCs w:val="1"/>
                <w:color w:val="auto"/>
              </w:rPr>
            </w:pPr>
          </w:p>
        </w:tc>
      </w:tr>
      <w:tr>
        <w:trPr>
          <w:trHeight w:val="256"/>
        </w:trPr>
        <w:tc>
          <w:tcPr>
            <w:tcW w:w="1420" w:type="dxa"/>
            <w:vAlign w:val="bottom"/>
          </w:tcPr>
          <w:p>
            <w:pPr>
              <w:spacing w:after="0"/>
              <w:rPr>
                <w:sz w:val="22"/>
                <w:szCs w:val="22"/>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Title:</w:t>
            </w: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 President and Director</w:t>
            </w: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tc>
        <w:tc>
          <w:tcPr>
            <w:tcW w:w="0" w:type="dxa"/>
            <w:vAlign w:val="bottom"/>
          </w:tcPr>
          <w:p>
            <w:pPr>
              <w:spacing w:after="0"/>
              <w:rPr>
                <w:sz w:val="1"/>
                <w:szCs w:val="1"/>
                <w:color w:val="auto"/>
              </w:rPr>
            </w:pPr>
          </w:p>
        </w:tc>
      </w:tr>
      <w:tr>
        <w:trPr>
          <w:trHeight w:val="580"/>
        </w:trPr>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Date: July 10, 2025</w:t>
            </w: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By:</w:t>
            </w:r>
          </w:p>
        </w:tc>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Christopher J. Bealer</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Name:</w:t>
            </w:r>
          </w:p>
        </w:tc>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Christopher J. Bealer</w:t>
            </w:r>
          </w:p>
        </w:tc>
        <w:tc>
          <w:tcPr>
            <w:tcW w:w="0" w:type="dxa"/>
            <w:vAlign w:val="bottom"/>
          </w:tcPr>
          <w:p>
            <w:pPr>
              <w:spacing w:after="0"/>
              <w:rPr>
                <w:sz w:val="1"/>
                <w:szCs w:val="1"/>
                <w:color w:val="auto"/>
              </w:rPr>
            </w:pPr>
          </w:p>
        </w:tc>
      </w:tr>
      <w:tr>
        <w:trPr>
          <w:trHeight w:val="54"/>
        </w:trPr>
        <w:tc>
          <w:tcPr>
            <w:tcW w:w="1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3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Title:</w:t>
            </w: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lowerRoman"/>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lowerRoman"/>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04"/>
    </w:lvl>
  </w:abstractNum>
  <w:abstractNum w:abstractNumId="16">
    <w:nsid w:val="7C83E458"/>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abstractNum>
  <w:abstractNum w:abstractNumId="17">
    <w:nsid w:val="257130A3"/>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lvl w:ilvl="3">
      <w:lvlJc w:val="left"/>
      <w:lvlText w:val="%4"/>
      <w:numFmt w:val="decimal"/>
      <w:start w:val="1"/>
    </w:lvl>
    <w:lvl w:ilvl="4">
      <w:lvlJc w:val="left"/>
      <w:lvlText w:val="%5)"/>
      <w:numFmt w:val="lowerLetter"/>
      <w:start w:val="1"/>
    </w:lvl>
  </w:abstractNum>
  <w:abstractNum w:abstractNumId="18">
    <w:nsid w:val="62BBD95A"/>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abstractNum>
  <w:abstractNum w:abstractNumId="19">
    <w:nsid w:val="436C6125"/>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lvl w:ilvl="3">
      <w:lvlJc w:val="left"/>
      <w:lvlText w:val="%4"/>
      <w:numFmt w:val="decimal"/>
      <w:start w:val="1"/>
    </w:lvl>
    <w:lvl w:ilvl="4">
      <w:lvlJc w:val="left"/>
      <w:lvlText w:val="%5)"/>
      <w:numFmt w:val="lowerLetter"/>
      <w:start w:val="1"/>
    </w:lvl>
  </w:abstractNum>
  <w:abstractNum w:abstractNumId="20">
    <w:nsid w:val="628C895D"/>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5" Type="http://schemas.openxmlformats.org/officeDocument/2006/relationships/hyperlink" Target="https://www.sec.gov/Archives/edgar/data/1702744/000110465925053287/tm2516088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2025-07-10T13:22:30Z</dcterms:created>
  <dcterms:modified xsi:type="dcterms:W3CDTF">2025-07-10T13:22:30Z</dcterms:modified>
</cp:coreProperties>
</file>