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47" w:lineRule="exact"/>
        <w:rPr>
          <w:sz w:val="24"/>
          <w:szCs w:val="24"/>
          <w:color w:val="auto"/>
        </w:rPr>
      </w:pPr>
    </w:p>
    <w:p>
      <w:pPr>
        <w:ind w:left="1120"/>
        <w:spacing w:after="0"/>
        <w:rPr>
          <w:sz w:val="20"/>
          <w:szCs w:val="20"/>
          <w:color w:val="auto"/>
        </w:rPr>
      </w:pPr>
      <w:r>
        <w:rPr>
          <w:rFonts w:ascii="Arial" w:cs="Arial" w:eastAsia="Arial" w:hAnsi="Arial"/>
          <w:sz w:val="14"/>
          <w:szCs w:val="14"/>
          <w:b w:val="1"/>
          <w:bCs w:val="1"/>
          <w:color w:val="auto"/>
        </w:rPr>
        <w:t>(Mark One)</w:t>
      </w:r>
    </w:p>
    <w:p>
      <w:pPr>
        <w:spacing w:after="0" w:line="95" w:lineRule="exact"/>
        <w:rPr>
          <w:sz w:val="24"/>
          <w:szCs w:val="24"/>
          <w:color w:val="auto"/>
        </w:rPr>
      </w:pPr>
    </w:p>
    <w:p>
      <w:pPr>
        <w:ind w:left="2180" w:right="860" w:hanging="768"/>
        <w:spacing w:after="0" w:line="258" w:lineRule="auto"/>
        <w:tabs>
          <w:tab w:leader="none" w:pos="2180" w:val="left"/>
        </w:tabs>
        <w:numPr>
          <w:ilvl w:val="0"/>
          <w:numId w:val="1"/>
        </w:numPr>
        <w:rPr>
          <w:rFonts w:ascii="MS PGothic" w:cs="MS PGothic" w:eastAsia="MS PGothic" w:hAnsi="MS PGothic"/>
          <w:sz w:val="16"/>
          <w:szCs w:val="16"/>
          <w:color w:val="auto"/>
        </w:rPr>
      </w:pPr>
      <w:r>
        <w:rPr>
          <w:rFonts w:ascii="Arial" w:cs="Arial" w:eastAsia="Arial" w:hAnsi="Arial"/>
          <w:sz w:val="20"/>
          <w:szCs w:val="20"/>
          <w:b w:val="1"/>
          <w:bCs w:val="1"/>
          <w:color w:val="auto"/>
        </w:rPr>
        <w:t>QUARTERLY REPORT PURSUANT TO SECTION 13 OR 15(d) OF THE SECURITIES EXCHANGE ACT OF 1934</w:t>
      </w:r>
    </w:p>
    <w:p>
      <w:pPr>
        <w:jc w:val="center"/>
        <w:ind w:right="-19"/>
        <w:spacing w:after="0"/>
        <w:rPr>
          <w:sz w:val="20"/>
          <w:szCs w:val="20"/>
          <w:color w:val="auto"/>
        </w:rPr>
      </w:pPr>
      <w:r>
        <w:rPr>
          <w:rFonts w:ascii="Arial" w:cs="Arial" w:eastAsia="Arial" w:hAnsi="Arial"/>
          <w:sz w:val="18"/>
          <w:szCs w:val="18"/>
          <w:color w:val="auto"/>
        </w:rPr>
        <w:t>For the quarterly period ended May 30, 2020</w:t>
      </w:r>
    </w:p>
    <w:p>
      <w:pPr>
        <w:spacing w:after="0" w:line="16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41" w:lineRule="exact"/>
        <w:rPr>
          <w:sz w:val="24"/>
          <w:szCs w:val="24"/>
          <w:color w:val="auto"/>
        </w:rPr>
      </w:pPr>
    </w:p>
    <w:p>
      <w:pPr>
        <w:ind w:left="2180" w:right="880" w:hanging="734"/>
        <w:spacing w:after="0" w:line="267" w:lineRule="auto"/>
        <w:tabs>
          <w:tab w:leader="none" w:pos="2180" w:val="left"/>
        </w:tabs>
        <w:numPr>
          <w:ilvl w:val="0"/>
          <w:numId w:val="2"/>
        </w:numPr>
        <w:rPr>
          <w:rFonts w:ascii="Arial" w:cs="Arial" w:eastAsia="Arial" w:hAnsi="Arial"/>
          <w:sz w:val="16"/>
          <w:szCs w:val="16"/>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For the transition period from ________ to ________</w:t>
      </w: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001-38115</w:t>
      </w:r>
    </w:p>
    <w:p>
      <w:pPr>
        <w:spacing w:after="0" w:line="26"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Simply Good Foods Company</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2233930</wp:posOffset>
            </wp:positionH>
            <wp:positionV relativeFrom="paragraph">
              <wp:posOffset>83185</wp:posOffset>
            </wp:positionV>
            <wp:extent cx="268287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8287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ectPr>
          <w:pgSz w:w="11900" w:h="16838" w:orient="portrait"/>
          <w:cols w:equalWidth="0" w:num="1">
            <w:col w:w="11240"/>
          </w:cols>
          <w:pgMar w:left="320" w:top="593" w:right="339" w:bottom="0" w:gutter="0" w:footer="0" w:header="0"/>
        </w:sectPr>
      </w:pPr>
    </w:p>
    <w:p>
      <w:pPr>
        <w:spacing w:after="0" w:line="148" w:lineRule="exact"/>
        <w:rPr>
          <w:sz w:val="24"/>
          <w:szCs w:val="24"/>
          <w:color w:val="auto"/>
        </w:rPr>
      </w:pPr>
    </w:p>
    <w:p>
      <w:pPr>
        <w:ind w:left="17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82-1038121</w:t>
      </w:r>
    </w:p>
    <w:p>
      <w:pPr>
        <w:spacing w:after="0" w:line="95" w:lineRule="exact"/>
        <w:rPr>
          <w:sz w:val="24"/>
          <w:szCs w:val="24"/>
          <w:color w:val="auto"/>
        </w:rPr>
      </w:pPr>
    </w:p>
    <w:p>
      <w:pPr>
        <w:sectPr>
          <w:pgSz w:w="11900" w:h="16838" w:orient="portrait"/>
          <w:cols w:equalWidth="0" w:num="2">
            <w:col w:w="7880" w:space="720"/>
            <w:col w:w="2640"/>
          </w:cols>
          <w:pgMar w:left="320" w:top="593" w:right="339" w:bottom="0" w:gutter="0" w:footer="0" w:header="0"/>
          <w:type w:val="continuous"/>
        </w:sectPr>
      </w:pPr>
    </w:p>
    <w:tbl>
      <w:tblPr>
        <w:tblLayout w:type="fixed"/>
        <w:tblInd w:w="1100" w:type="dxa"/>
        <w:tblCellMar>
          <w:top w:w="0" w:type="dxa"/>
          <w:left w:w="0" w:type="dxa"/>
          <w:bottom w:w="0" w:type="dxa"/>
          <w:right w:w="0" w:type="dxa"/>
        </w:tblCellMar>
      </w:tblPr>
      <w:tr>
        <w:trPr>
          <w:trHeight w:val="203"/>
        </w:trPr>
        <w:tc>
          <w:tcPr>
            <w:tcW w:w="4360" w:type="dxa"/>
            <w:vAlign w:val="bottom"/>
          </w:tcPr>
          <w:p>
            <w:pPr>
              <w:jc w:val="center"/>
              <w:ind w:right="2319"/>
              <w:spacing w:after="0"/>
              <w:rPr>
                <w:sz w:val="20"/>
                <w:szCs w:val="20"/>
                <w:color w:val="auto"/>
              </w:rPr>
            </w:pPr>
            <w:r>
              <w:rPr>
                <w:rFonts w:ascii="Arial" w:cs="Arial" w:eastAsia="Arial" w:hAnsi="Arial"/>
                <w:sz w:val="16"/>
                <w:szCs w:val="16"/>
                <w:color w:val="auto"/>
                <w:w w:val="93"/>
              </w:rPr>
              <w:t>(State or other jurisdiction of</w:t>
            </w:r>
          </w:p>
        </w:tc>
        <w:tc>
          <w:tcPr>
            <w:tcW w:w="4760" w:type="dxa"/>
            <w:vAlign w:val="bottom"/>
            <w:vMerge w:val="restart"/>
          </w:tcPr>
          <w:p>
            <w:pPr>
              <w:ind w:left="2400"/>
              <w:spacing w:after="0"/>
              <w:rPr>
                <w:sz w:val="20"/>
                <w:szCs w:val="20"/>
                <w:color w:val="auto"/>
              </w:rPr>
            </w:pPr>
            <w:r>
              <w:rPr>
                <w:rFonts w:ascii="Arial" w:cs="Arial" w:eastAsia="Arial" w:hAnsi="Arial"/>
                <w:sz w:val="16"/>
                <w:szCs w:val="16"/>
                <w:color w:val="auto"/>
                <w:w w:val="94"/>
              </w:rPr>
              <w:t>(I.R.S. Employer Identification No.)</w:t>
            </w:r>
          </w:p>
        </w:tc>
        <w:tc>
          <w:tcPr>
            <w:tcW w:w="0" w:type="dxa"/>
            <w:vAlign w:val="bottom"/>
          </w:tcPr>
          <w:p>
            <w:pPr>
              <w:spacing w:after="0"/>
              <w:rPr>
                <w:sz w:val="1"/>
                <w:szCs w:val="1"/>
                <w:color w:val="auto"/>
              </w:rPr>
            </w:pPr>
          </w:p>
        </w:tc>
      </w:tr>
      <w:tr>
        <w:trPr>
          <w:trHeight w:val="98"/>
        </w:trPr>
        <w:tc>
          <w:tcPr>
            <w:tcW w:w="4360" w:type="dxa"/>
            <w:vAlign w:val="bottom"/>
            <w:vMerge w:val="restart"/>
          </w:tcPr>
          <w:p>
            <w:pPr>
              <w:jc w:val="center"/>
              <w:ind w:right="2339"/>
              <w:spacing w:after="0"/>
              <w:rPr>
                <w:sz w:val="20"/>
                <w:szCs w:val="20"/>
                <w:color w:val="auto"/>
              </w:rPr>
            </w:pPr>
            <w:r>
              <w:rPr>
                <w:rFonts w:ascii="Arial" w:cs="Arial" w:eastAsia="Arial" w:hAnsi="Arial"/>
                <w:sz w:val="16"/>
                <w:szCs w:val="16"/>
                <w:color w:val="auto"/>
                <w:w w:val="93"/>
              </w:rPr>
              <w:t>incorporation or organization)</w:t>
            </w:r>
          </w:p>
        </w:tc>
        <w:tc>
          <w:tcPr>
            <w:tcW w:w="4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360" w:type="dxa"/>
            <w:vAlign w:val="bottom"/>
            <w:vMerge w:val="continue"/>
          </w:tcPr>
          <w:p>
            <w:pPr>
              <w:spacing w:after="0"/>
              <w:rPr>
                <w:sz w:val="9"/>
                <w:szCs w:val="9"/>
                <w:color w:val="auto"/>
              </w:rPr>
            </w:pPr>
          </w:p>
        </w:tc>
        <w:tc>
          <w:tcPr>
            <w:tcW w:w="4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1225 17th Street, Suite 1000</w:t>
      </w:r>
    </w:p>
    <w:p>
      <w:pPr>
        <w:spacing w:after="0" w:line="2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Denver, CO 80202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and zip code)</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(303) 633-2840</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3"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6" w:lineRule="exact"/>
        <w:rPr>
          <w:sz w:val="24"/>
          <w:szCs w:val="24"/>
          <w:color w:val="auto"/>
        </w:rPr>
      </w:pPr>
    </w:p>
    <w:tbl>
      <w:tblPr>
        <w:tblLayout w:type="fixed"/>
        <w:tblInd w:w="1020" w:type="dxa"/>
        <w:tblCellMar>
          <w:top w:w="0" w:type="dxa"/>
          <w:left w:w="0" w:type="dxa"/>
          <w:bottom w:w="0" w:type="dxa"/>
          <w:right w:w="0" w:type="dxa"/>
        </w:tblCellMar>
      </w:tblPr>
      <w:tr>
        <w:trPr>
          <w:trHeight w:val="206"/>
        </w:trPr>
        <w:tc>
          <w:tcPr>
            <w:tcW w:w="32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Title of each class</w:t>
            </w:r>
          </w:p>
        </w:tc>
        <w:tc>
          <w:tcPr>
            <w:tcW w:w="27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Trading symbol</w:t>
            </w:r>
          </w:p>
        </w:tc>
        <w:tc>
          <w:tcPr>
            <w:tcW w:w="330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47"/>
        </w:trPr>
        <w:tc>
          <w:tcPr>
            <w:tcW w:w="31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r>
        <w:trPr>
          <w:trHeight w:val="217"/>
        </w:trPr>
        <w:tc>
          <w:tcPr>
            <w:tcW w:w="322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Common Stock, par value $0.01 per share</w:t>
            </w:r>
          </w:p>
        </w:tc>
        <w:tc>
          <w:tcPr>
            <w:tcW w:w="27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SMPL</w:t>
            </w:r>
          </w:p>
        </w:tc>
        <w:tc>
          <w:tcPr>
            <w:tcW w:w="3300" w:type="dxa"/>
            <w:vAlign w:val="bottom"/>
          </w:tcPr>
          <w:p>
            <w:pPr>
              <w:jc w:val="center"/>
              <w:spacing w:after="0"/>
              <w:rPr>
                <w:sz w:val="20"/>
                <w:szCs w:val="20"/>
                <w:color w:val="auto"/>
              </w:rPr>
            </w:pPr>
            <w:r>
              <w:rPr>
                <w:rFonts w:ascii="Arial" w:cs="Arial" w:eastAsia="Arial" w:hAnsi="Arial"/>
                <w:sz w:val="16"/>
                <w:szCs w:val="16"/>
                <w:color w:val="auto"/>
                <w:w w:val="86"/>
              </w:rPr>
              <w:t>Nasdaq</w:t>
            </w:r>
          </w:p>
        </w:tc>
      </w:tr>
    </w:tbl>
    <w:p>
      <w:pPr>
        <w:spacing w:after="0" w:line="200" w:lineRule="exact"/>
        <w:rPr>
          <w:sz w:val="24"/>
          <w:szCs w:val="24"/>
          <w:color w:val="auto"/>
        </w:rPr>
      </w:pPr>
    </w:p>
    <w:p>
      <w:pPr>
        <w:spacing w:after="0" w:line="25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93" w:right="339" w:bottom="0" w:gutter="0" w:footer="0" w:header="0"/>
          <w:type w:val="continuous"/>
        </w:sectPr>
      </w:pPr>
    </w:p>
    <w:p>
      <w:pPr>
        <w:spacing w:after="0" w:line="148" w:lineRule="exact"/>
        <w:rPr>
          <w:sz w:val="24"/>
          <w:szCs w:val="24"/>
          <w:color w:val="auto"/>
        </w:rPr>
      </w:pPr>
    </w:p>
    <w:p>
      <w:pPr>
        <w:ind w:left="26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4100" w:space="620"/>
            <w:col w:w="1700" w:space="720"/>
            <w:col w:w="1080" w:space="60"/>
            <w:col w:w="2960"/>
          </w:cols>
          <w:pgMar w:left="320" w:top="593" w:right="339" w:bottom="0" w:gutter="0" w:footer="0" w:header="0"/>
          <w:type w:val="continuous"/>
        </w:sectPr>
      </w:pPr>
    </w:p>
    <w:p>
      <w:pPr>
        <w:spacing w:after="0" w:line="38" w:lineRule="exact"/>
        <w:rPr>
          <w:sz w:val="24"/>
          <w:szCs w:val="24"/>
          <w:color w:val="auto"/>
        </w:rPr>
      </w:pPr>
    </w:p>
    <w:p>
      <w:pPr>
        <w:ind w:left="26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09" w:lineRule="exact"/>
        <w:rPr>
          <w:sz w:val="24"/>
          <w:szCs w:val="24"/>
          <w:color w:val="auto"/>
        </w:rPr>
      </w:pPr>
    </w:p>
    <w:p>
      <w:pPr>
        <w:sectPr>
          <w:pgSz w:w="11900" w:h="16838" w:orient="portrait"/>
          <w:cols w:equalWidth="0" w:num="4">
            <w:col w:w="4020" w:space="700"/>
            <w:col w:w="1000" w:space="720"/>
            <w:col w:w="1780" w:space="60"/>
            <w:col w:w="2960"/>
          </w:cols>
          <w:pgMar w:left="320" w:top="593" w:right="339" w:bottom="0" w:gutter="0" w:footer="0" w:header="0"/>
          <w:type w:val="continuous"/>
        </w:sectPr>
      </w:pPr>
    </w:p>
    <w:p>
      <w:pPr>
        <w:spacing w:after="0" w:line="38" w:lineRule="exact"/>
        <w:rPr>
          <w:sz w:val="24"/>
          <w:szCs w:val="24"/>
          <w:color w:val="auto"/>
        </w:rPr>
      </w:pPr>
    </w:p>
    <w:p>
      <w:pPr>
        <w:ind w:left="644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8" w:lineRule="exact"/>
        <w:rPr>
          <w:sz w:val="24"/>
          <w:szCs w:val="24"/>
          <w:color w:val="auto"/>
        </w:rPr>
      </w:pPr>
    </w:p>
    <w:p>
      <w:pPr>
        <w:sectPr>
          <w:pgSz w:w="11900" w:h="16838" w:orient="portrait"/>
          <w:cols w:equalWidth="0" w:num="2">
            <w:col w:w="8220" w:space="60"/>
            <w:col w:w="2960"/>
          </w:cols>
          <w:pgMar w:left="320" w:top="593"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July 6, 2020, there were 95,379,689 shares of common stock, par value $0.01 per share, issued and outstanding.</w:t>
      </w:r>
    </w:p>
    <w:p>
      <w:pPr>
        <w:sectPr>
          <w:pgSz w:w="11900" w:h="16838" w:orient="portrait"/>
          <w:cols w:equalWidth="0" w:num="1">
            <w:col w:w="11240"/>
          </w:cols>
          <w:pgMar w:left="320" w:top="593" w:right="339" w:bottom="0" w:gutter="0" w:footer="0" w:header="0"/>
          <w:type w:val="continuous"/>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ind w:right="-60"/>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THE QUARTER ENDED MAY 30, 2020</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INDEX</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860" w:type="dxa"/>
            <w:vAlign w:val="bottom"/>
            <w:gridSpan w:val="3"/>
          </w:tcPr>
          <w:p>
            <w:pPr>
              <w:ind w:left="520"/>
              <w:spacing w:after="0"/>
              <w:rPr>
                <w:sz w:val="20"/>
                <w:szCs w:val="20"/>
                <w:color w:val="auto"/>
              </w:rPr>
            </w:pPr>
            <w:r>
              <w:rPr>
                <w:rFonts w:ascii="Arial" w:cs="Arial" w:eastAsia="Arial" w:hAnsi="Arial"/>
                <w:sz w:val="16"/>
                <w:szCs w:val="16"/>
                <w:b w:val="1"/>
                <w:bCs w:val="1"/>
                <w:color w:val="auto"/>
                <w:w w:val="83"/>
              </w:rPr>
              <w:t>Page</w:t>
            </w:r>
          </w:p>
        </w:tc>
      </w:tr>
      <w:tr>
        <w:trPr>
          <w:trHeight w:val="271"/>
        </w:trPr>
        <w:tc>
          <w:tcPr>
            <w:tcW w:w="4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140" w:type="dxa"/>
            <w:vAlign w:val="bottom"/>
          </w:tcPr>
          <w:p>
            <w:pPr>
              <w:jc w:val="center"/>
              <w:ind w:right="1959"/>
              <w:spacing w:after="0"/>
              <w:rPr>
                <w:rFonts w:ascii="Arial" w:cs="Arial" w:eastAsia="Arial" w:hAnsi="Arial"/>
                <w:sz w:val="16"/>
                <w:szCs w:val="16"/>
                <w:b w:val="1"/>
                <w:bCs w:val="1"/>
                <w:u w:val="single" w:color="auto"/>
                <w:color w:val="0000EE"/>
                <w:w w:val="95"/>
              </w:rPr>
            </w:pPr>
            <w:hyperlink w:anchor="page4">
              <w:r>
                <w:rPr>
                  <w:rFonts w:ascii="Arial" w:cs="Arial" w:eastAsia="Arial" w:hAnsi="Arial"/>
                  <w:sz w:val="16"/>
                  <w:szCs w:val="16"/>
                  <w:b w:val="1"/>
                  <w:bCs w:val="1"/>
                  <w:u w:val="single" w:color="auto"/>
                  <w:color w:val="0000EE"/>
                  <w:w w:val="95"/>
                </w:rPr>
                <w:t>PART I. Financial Information</w:t>
              </w:r>
            </w:hyperlink>
          </w:p>
        </w:tc>
        <w:tc>
          <w:tcPr>
            <w:tcW w:w="5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57"/>
        </w:trPr>
        <w:tc>
          <w:tcPr>
            <w:tcW w:w="1860" w:type="dxa"/>
            <w:vAlign w:val="bottom"/>
            <w:gridSpan w:val="2"/>
          </w:tcPr>
          <w:p>
            <w:pPr>
              <w:spacing w:after="0"/>
              <w:rPr>
                <w:rFonts w:ascii="Arial" w:cs="Arial" w:eastAsia="Arial" w:hAnsi="Arial"/>
                <w:sz w:val="16"/>
                <w:szCs w:val="16"/>
                <w:color w:val="0000EE"/>
              </w:rPr>
            </w:pPr>
            <w:hyperlink w:anchor="page4">
              <w:r>
                <w:rPr>
                  <w:rFonts w:ascii="Arial" w:cs="Arial" w:eastAsia="Arial" w:hAnsi="Arial"/>
                  <w:sz w:val="16"/>
                  <w:szCs w:val="16"/>
                  <w:u w:val="single" w:color="auto"/>
                  <w:color w:val="0000EE"/>
                </w:rPr>
                <w:t>Item 1</w:t>
              </w:r>
            </w:hyperlink>
            <w:r>
              <w:rPr>
                <w:rFonts w:ascii="Arial" w:cs="Arial" w:eastAsia="Arial" w:hAnsi="Arial"/>
                <w:sz w:val="16"/>
                <w:szCs w:val="16"/>
                <w:color w:val="000000"/>
              </w:rPr>
              <w:t>.</w:t>
            </w:r>
          </w:p>
        </w:tc>
        <w:tc>
          <w:tcPr>
            <w:tcW w:w="6320" w:type="dxa"/>
            <w:vAlign w:val="bottom"/>
            <w:gridSpan w:val="3"/>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Financial Statements (Unaudited):</w:t>
              </w:r>
            </w:hyperlink>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4">
              <w:r>
                <w:rPr>
                  <w:rFonts w:ascii="Arial" w:cs="Arial" w:eastAsia="Arial" w:hAnsi="Arial"/>
                  <w:sz w:val="16"/>
                  <w:szCs w:val="16"/>
                  <w:u w:val="single" w:color="auto"/>
                  <w:color w:val="0000EE"/>
                  <w:w w:val="89"/>
                </w:rPr>
                <w:t>3</w:t>
              </w:r>
            </w:hyperlink>
          </w:p>
        </w:tc>
        <w:tc>
          <w:tcPr>
            <w:tcW w:w="20" w:type="dxa"/>
            <w:vAlign w:val="bottom"/>
          </w:tcPr>
          <w:p>
            <w:pPr>
              <w:spacing w:after="0"/>
              <w:rPr>
                <w:sz w:val="22"/>
                <w:szCs w:val="22"/>
                <w:color w:val="auto"/>
              </w:rPr>
            </w:pPr>
          </w:p>
        </w:tc>
      </w:tr>
      <w:tr>
        <w:trPr>
          <w:trHeight w:val="270"/>
        </w:trPr>
        <w:tc>
          <w:tcPr>
            <w:tcW w:w="4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320" w:type="dxa"/>
            <w:vAlign w:val="bottom"/>
            <w:gridSpan w:val="3"/>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Condensed Consolidated Balance Sheets</w:t>
              </w:r>
            </w:hyperlink>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4">
              <w:r>
                <w:rPr>
                  <w:rFonts w:ascii="Arial" w:cs="Arial" w:eastAsia="Arial" w:hAnsi="Arial"/>
                  <w:sz w:val="16"/>
                  <w:szCs w:val="16"/>
                  <w:u w:val="single" w:color="auto"/>
                  <w:color w:val="0000EE"/>
                  <w:w w:val="89"/>
                </w:rPr>
                <w:t>3</w:t>
              </w:r>
            </w:hyperlink>
          </w:p>
        </w:tc>
        <w:tc>
          <w:tcPr>
            <w:tcW w:w="20" w:type="dxa"/>
            <w:vAlign w:val="bottom"/>
          </w:tcPr>
          <w:p>
            <w:pPr>
              <w:spacing w:after="0"/>
              <w:rPr>
                <w:sz w:val="23"/>
                <w:szCs w:val="23"/>
                <w:color w:val="auto"/>
              </w:rPr>
            </w:pPr>
          </w:p>
        </w:tc>
      </w:tr>
      <w:tr>
        <w:trPr>
          <w:trHeight w:val="257"/>
        </w:trPr>
        <w:tc>
          <w:tcPr>
            <w:tcW w:w="4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320" w:type="dxa"/>
            <w:vAlign w:val="bottom"/>
            <w:gridSpan w:val="3"/>
          </w:tcPr>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Condensed Consolidated Statements of Operations and Comprehensive Income</w:t>
              </w:r>
            </w:hyperlink>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5">
              <w:r>
                <w:rPr>
                  <w:rFonts w:ascii="Arial" w:cs="Arial" w:eastAsia="Arial" w:hAnsi="Arial"/>
                  <w:sz w:val="16"/>
                  <w:szCs w:val="16"/>
                  <w:u w:val="single" w:color="auto"/>
                  <w:color w:val="0000EE"/>
                  <w:w w:val="89"/>
                </w:rPr>
                <w:t>4</w:t>
              </w:r>
            </w:hyperlink>
          </w:p>
        </w:tc>
        <w:tc>
          <w:tcPr>
            <w:tcW w:w="20" w:type="dxa"/>
            <w:vAlign w:val="bottom"/>
          </w:tcPr>
          <w:p>
            <w:pPr>
              <w:spacing w:after="0"/>
              <w:rPr>
                <w:sz w:val="22"/>
                <w:szCs w:val="22"/>
                <w:color w:val="auto"/>
              </w:rPr>
            </w:pPr>
          </w:p>
        </w:tc>
      </w:tr>
      <w:tr>
        <w:trPr>
          <w:trHeight w:val="270"/>
        </w:trPr>
        <w:tc>
          <w:tcPr>
            <w:tcW w:w="4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320" w:type="dxa"/>
            <w:vAlign w:val="bottom"/>
            <w:gridSpan w:val="3"/>
          </w:tcPr>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Condensed Consolidated Statements of Cash Flows</w:t>
              </w:r>
            </w:hyperlink>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6">
              <w:r>
                <w:rPr>
                  <w:rFonts w:ascii="Arial" w:cs="Arial" w:eastAsia="Arial" w:hAnsi="Arial"/>
                  <w:sz w:val="16"/>
                  <w:szCs w:val="16"/>
                  <w:u w:val="single" w:color="auto"/>
                  <w:color w:val="0000EE"/>
                  <w:w w:val="89"/>
                </w:rPr>
                <w:t>5</w:t>
              </w:r>
            </w:hyperlink>
          </w:p>
        </w:tc>
        <w:tc>
          <w:tcPr>
            <w:tcW w:w="20" w:type="dxa"/>
            <w:vAlign w:val="bottom"/>
          </w:tcPr>
          <w:p>
            <w:pPr>
              <w:spacing w:after="0"/>
              <w:rPr>
                <w:sz w:val="23"/>
                <w:szCs w:val="23"/>
                <w:color w:val="auto"/>
              </w:rPr>
            </w:pPr>
          </w:p>
        </w:tc>
      </w:tr>
      <w:tr>
        <w:trPr>
          <w:trHeight w:val="270"/>
        </w:trPr>
        <w:tc>
          <w:tcPr>
            <w:tcW w:w="4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320" w:type="dxa"/>
            <w:vAlign w:val="bottom"/>
            <w:gridSpan w:val="3"/>
          </w:tcPr>
          <w:p>
            <w:pPr>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Condensed Consolidated Statements of Stockholders’ Equity</w:t>
              </w:r>
            </w:hyperlink>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8">
              <w:r>
                <w:rPr>
                  <w:rFonts w:ascii="Arial" w:cs="Arial" w:eastAsia="Arial" w:hAnsi="Arial"/>
                  <w:sz w:val="16"/>
                  <w:szCs w:val="16"/>
                  <w:u w:val="single" w:color="auto"/>
                  <w:color w:val="0000EE"/>
                  <w:w w:val="89"/>
                </w:rPr>
                <w:t>7</w:t>
              </w:r>
            </w:hyperlink>
          </w:p>
        </w:tc>
        <w:tc>
          <w:tcPr>
            <w:tcW w:w="20" w:type="dxa"/>
            <w:vAlign w:val="bottom"/>
          </w:tcPr>
          <w:p>
            <w:pPr>
              <w:spacing w:after="0"/>
              <w:rPr>
                <w:sz w:val="23"/>
                <w:szCs w:val="23"/>
                <w:color w:val="auto"/>
              </w:rPr>
            </w:pPr>
          </w:p>
        </w:tc>
      </w:tr>
      <w:tr>
        <w:trPr>
          <w:trHeight w:val="270"/>
        </w:trPr>
        <w:tc>
          <w:tcPr>
            <w:tcW w:w="4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320" w:type="dxa"/>
            <w:vAlign w:val="bottom"/>
            <w:gridSpan w:val="3"/>
          </w:tcPr>
          <w:p>
            <w:pPr>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Notes to Unaudited Condensed Consolidated Financial Statements</w:t>
              </w:r>
            </w:hyperlink>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10">
              <w:r>
                <w:rPr>
                  <w:rFonts w:ascii="Arial" w:cs="Arial" w:eastAsia="Arial" w:hAnsi="Arial"/>
                  <w:sz w:val="16"/>
                  <w:szCs w:val="16"/>
                  <w:u w:val="single" w:color="auto"/>
                  <w:color w:val="0000EE"/>
                  <w:w w:val="89"/>
                </w:rPr>
                <w:t>9</w:t>
              </w:r>
            </w:hyperlink>
          </w:p>
        </w:tc>
        <w:tc>
          <w:tcPr>
            <w:tcW w:w="20" w:type="dxa"/>
            <w:vAlign w:val="bottom"/>
          </w:tcPr>
          <w:p>
            <w:pPr>
              <w:spacing w:after="0"/>
              <w:rPr>
                <w:sz w:val="23"/>
                <w:szCs w:val="23"/>
                <w:color w:val="auto"/>
              </w:rPr>
            </w:pPr>
          </w:p>
        </w:tc>
      </w:tr>
      <w:tr>
        <w:trPr>
          <w:trHeight w:val="270"/>
        </w:trPr>
        <w:tc>
          <w:tcPr>
            <w:tcW w:w="1860" w:type="dxa"/>
            <w:vAlign w:val="bottom"/>
            <w:gridSpan w:val="2"/>
          </w:tcPr>
          <w:p>
            <w:pPr>
              <w:spacing w:after="0"/>
              <w:rPr>
                <w:rFonts w:ascii="Arial" w:cs="Arial" w:eastAsia="Arial" w:hAnsi="Arial"/>
                <w:sz w:val="16"/>
                <w:szCs w:val="16"/>
                <w:color w:val="0000EE"/>
              </w:rPr>
            </w:pPr>
            <w:hyperlink w:anchor="page26">
              <w:r>
                <w:rPr>
                  <w:rFonts w:ascii="Arial" w:cs="Arial" w:eastAsia="Arial" w:hAnsi="Arial"/>
                  <w:sz w:val="16"/>
                  <w:szCs w:val="16"/>
                  <w:u w:val="single" w:color="auto"/>
                  <w:color w:val="0000EE"/>
                </w:rPr>
                <w:t>Item 2</w:t>
              </w:r>
            </w:hyperlink>
            <w:r>
              <w:rPr>
                <w:rFonts w:ascii="Arial" w:cs="Arial" w:eastAsia="Arial" w:hAnsi="Arial"/>
                <w:sz w:val="16"/>
                <w:szCs w:val="16"/>
                <w:color w:val="000000"/>
              </w:rPr>
              <w:t>.</w:t>
            </w:r>
          </w:p>
        </w:tc>
        <w:tc>
          <w:tcPr>
            <w:tcW w:w="6320" w:type="dxa"/>
            <w:vAlign w:val="bottom"/>
            <w:gridSpan w:val="3"/>
          </w:tcPr>
          <w:p>
            <w:pPr>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Management’s Discussion and Analysis of Financial Condition and Results of Operations</w:t>
              </w:r>
            </w:hyperlink>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26">
              <w:r>
                <w:rPr>
                  <w:rFonts w:ascii="Arial" w:cs="Arial" w:eastAsia="Arial" w:hAnsi="Arial"/>
                  <w:sz w:val="16"/>
                  <w:szCs w:val="16"/>
                  <w:u w:val="single" w:color="auto"/>
                  <w:color w:val="0000EE"/>
                  <w:w w:val="89"/>
                </w:rPr>
                <w:t>25</w:t>
              </w:r>
            </w:hyperlink>
          </w:p>
        </w:tc>
        <w:tc>
          <w:tcPr>
            <w:tcW w:w="20" w:type="dxa"/>
            <w:vAlign w:val="bottom"/>
          </w:tcPr>
          <w:p>
            <w:pPr>
              <w:spacing w:after="0"/>
              <w:rPr>
                <w:sz w:val="23"/>
                <w:szCs w:val="23"/>
                <w:color w:val="auto"/>
              </w:rPr>
            </w:pPr>
          </w:p>
        </w:tc>
      </w:tr>
      <w:tr>
        <w:trPr>
          <w:trHeight w:val="256"/>
        </w:trPr>
        <w:tc>
          <w:tcPr>
            <w:tcW w:w="1860" w:type="dxa"/>
            <w:vAlign w:val="bottom"/>
            <w:gridSpan w:val="2"/>
          </w:tcPr>
          <w:p>
            <w:pPr>
              <w:spacing w:after="0"/>
              <w:rPr>
                <w:rFonts w:ascii="Arial" w:cs="Arial" w:eastAsia="Arial" w:hAnsi="Arial"/>
                <w:sz w:val="16"/>
                <w:szCs w:val="16"/>
                <w:color w:val="0000EE"/>
              </w:rPr>
            </w:pPr>
            <w:hyperlink w:anchor="page37">
              <w:r>
                <w:rPr>
                  <w:rFonts w:ascii="Arial" w:cs="Arial" w:eastAsia="Arial" w:hAnsi="Arial"/>
                  <w:sz w:val="16"/>
                  <w:szCs w:val="16"/>
                  <w:u w:val="single" w:color="auto"/>
                  <w:color w:val="0000EE"/>
                </w:rPr>
                <w:t>Item 3</w:t>
              </w:r>
            </w:hyperlink>
            <w:r>
              <w:rPr>
                <w:rFonts w:ascii="Arial" w:cs="Arial" w:eastAsia="Arial" w:hAnsi="Arial"/>
                <w:sz w:val="16"/>
                <w:szCs w:val="16"/>
                <w:color w:val="000000"/>
              </w:rPr>
              <w:t>.</w:t>
            </w:r>
          </w:p>
        </w:tc>
        <w:tc>
          <w:tcPr>
            <w:tcW w:w="6320" w:type="dxa"/>
            <w:vAlign w:val="bottom"/>
            <w:gridSpan w:val="3"/>
          </w:tcPr>
          <w:p>
            <w:pPr>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Quantitative and Qualitative Disclosures about Market Risk</w:t>
              </w:r>
            </w:hyperlink>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37">
              <w:r>
                <w:rPr>
                  <w:rFonts w:ascii="Arial" w:cs="Arial" w:eastAsia="Arial" w:hAnsi="Arial"/>
                  <w:sz w:val="16"/>
                  <w:szCs w:val="16"/>
                  <w:u w:val="single" w:color="auto"/>
                  <w:color w:val="0000EE"/>
                  <w:w w:val="89"/>
                </w:rPr>
                <w:t>36</w:t>
              </w:r>
            </w:hyperlink>
          </w:p>
        </w:tc>
        <w:tc>
          <w:tcPr>
            <w:tcW w:w="20" w:type="dxa"/>
            <w:vAlign w:val="bottom"/>
          </w:tcPr>
          <w:p>
            <w:pPr>
              <w:spacing w:after="0"/>
              <w:rPr>
                <w:sz w:val="22"/>
                <w:szCs w:val="22"/>
                <w:color w:val="auto"/>
              </w:rPr>
            </w:pPr>
          </w:p>
        </w:tc>
      </w:tr>
      <w:tr>
        <w:trPr>
          <w:trHeight w:val="257"/>
        </w:trPr>
        <w:tc>
          <w:tcPr>
            <w:tcW w:w="1860" w:type="dxa"/>
            <w:vAlign w:val="bottom"/>
            <w:gridSpan w:val="2"/>
          </w:tcPr>
          <w:p>
            <w:pPr>
              <w:spacing w:after="0"/>
              <w:rPr>
                <w:rFonts w:ascii="Arial" w:cs="Arial" w:eastAsia="Arial" w:hAnsi="Arial"/>
                <w:sz w:val="16"/>
                <w:szCs w:val="16"/>
                <w:color w:val="0000EE"/>
              </w:rPr>
            </w:pPr>
            <w:hyperlink w:anchor="page38">
              <w:r>
                <w:rPr>
                  <w:rFonts w:ascii="Arial" w:cs="Arial" w:eastAsia="Arial" w:hAnsi="Arial"/>
                  <w:sz w:val="16"/>
                  <w:szCs w:val="16"/>
                  <w:u w:val="single" w:color="auto"/>
                  <w:color w:val="0000EE"/>
                </w:rPr>
                <w:t>Item 4</w:t>
              </w:r>
            </w:hyperlink>
            <w:r>
              <w:rPr>
                <w:rFonts w:ascii="Arial" w:cs="Arial" w:eastAsia="Arial" w:hAnsi="Arial"/>
                <w:sz w:val="16"/>
                <w:szCs w:val="16"/>
                <w:color w:val="000000"/>
              </w:rPr>
              <w:t>.</w:t>
            </w:r>
          </w:p>
        </w:tc>
        <w:tc>
          <w:tcPr>
            <w:tcW w:w="6320" w:type="dxa"/>
            <w:vAlign w:val="bottom"/>
            <w:gridSpan w:val="3"/>
          </w:tcPr>
          <w:p>
            <w:pPr>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Controls and Procedures</w:t>
              </w:r>
            </w:hyperlink>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38">
              <w:r>
                <w:rPr>
                  <w:rFonts w:ascii="Arial" w:cs="Arial" w:eastAsia="Arial" w:hAnsi="Arial"/>
                  <w:sz w:val="16"/>
                  <w:szCs w:val="16"/>
                  <w:u w:val="single" w:color="auto"/>
                  <w:color w:val="0000EE"/>
                  <w:w w:val="89"/>
                </w:rPr>
                <w:t>37</w:t>
              </w:r>
            </w:hyperlink>
          </w:p>
        </w:tc>
        <w:tc>
          <w:tcPr>
            <w:tcW w:w="20" w:type="dxa"/>
            <w:vAlign w:val="bottom"/>
          </w:tcPr>
          <w:p>
            <w:pPr>
              <w:spacing w:after="0"/>
              <w:rPr>
                <w:sz w:val="22"/>
                <w:szCs w:val="22"/>
                <w:color w:val="auto"/>
              </w:rPr>
            </w:pPr>
          </w:p>
        </w:tc>
      </w:tr>
      <w:tr>
        <w:trPr>
          <w:trHeight w:val="257"/>
        </w:trPr>
        <w:tc>
          <w:tcPr>
            <w:tcW w:w="4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140" w:type="dxa"/>
            <w:vAlign w:val="bottom"/>
          </w:tcPr>
          <w:p>
            <w:pPr>
              <w:jc w:val="center"/>
              <w:ind w:right="1979"/>
              <w:spacing w:after="0"/>
              <w:rPr>
                <w:rFonts w:ascii="Arial" w:cs="Arial" w:eastAsia="Arial" w:hAnsi="Arial"/>
                <w:sz w:val="16"/>
                <w:szCs w:val="16"/>
                <w:b w:val="1"/>
                <w:bCs w:val="1"/>
                <w:u w:val="single" w:color="auto"/>
                <w:color w:val="0000EE"/>
                <w:w w:val="97"/>
              </w:rPr>
            </w:pPr>
            <w:hyperlink w:anchor="page39">
              <w:r>
                <w:rPr>
                  <w:rFonts w:ascii="Arial" w:cs="Arial" w:eastAsia="Arial" w:hAnsi="Arial"/>
                  <w:sz w:val="16"/>
                  <w:szCs w:val="16"/>
                  <w:b w:val="1"/>
                  <w:bCs w:val="1"/>
                  <w:u w:val="single" w:color="auto"/>
                  <w:color w:val="0000EE"/>
                  <w:w w:val="97"/>
                </w:rPr>
                <w:t>PART II. Other Information</w:t>
              </w:r>
            </w:hyperlink>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1860" w:type="dxa"/>
            <w:vAlign w:val="bottom"/>
            <w:gridSpan w:val="2"/>
          </w:tcPr>
          <w:p>
            <w:pPr>
              <w:spacing w:after="0"/>
              <w:rPr>
                <w:rFonts w:ascii="Arial" w:cs="Arial" w:eastAsia="Arial" w:hAnsi="Arial"/>
                <w:sz w:val="16"/>
                <w:szCs w:val="16"/>
                <w:color w:val="0000EE"/>
              </w:rPr>
            </w:pPr>
            <w:hyperlink w:anchor="page39">
              <w:r>
                <w:rPr>
                  <w:rFonts w:ascii="Arial" w:cs="Arial" w:eastAsia="Arial" w:hAnsi="Arial"/>
                  <w:sz w:val="16"/>
                  <w:szCs w:val="16"/>
                  <w:u w:val="single" w:color="auto"/>
                  <w:color w:val="0000EE"/>
                </w:rPr>
                <w:t>Item 1</w:t>
              </w:r>
            </w:hyperlink>
            <w:r>
              <w:rPr>
                <w:rFonts w:ascii="Arial" w:cs="Arial" w:eastAsia="Arial" w:hAnsi="Arial"/>
                <w:sz w:val="16"/>
                <w:szCs w:val="16"/>
                <w:color w:val="000000"/>
              </w:rPr>
              <w:t>.</w:t>
            </w:r>
          </w:p>
        </w:tc>
        <w:tc>
          <w:tcPr>
            <w:tcW w:w="6320" w:type="dxa"/>
            <w:vAlign w:val="bottom"/>
            <w:gridSpan w:val="3"/>
          </w:tcPr>
          <w:p>
            <w:pPr>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Legal Proceedings</w:t>
              </w:r>
            </w:hyperlink>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39">
              <w:r>
                <w:rPr>
                  <w:rFonts w:ascii="Arial" w:cs="Arial" w:eastAsia="Arial" w:hAnsi="Arial"/>
                  <w:sz w:val="16"/>
                  <w:szCs w:val="16"/>
                  <w:u w:val="single" w:color="auto"/>
                  <w:color w:val="0000EE"/>
                  <w:w w:val="89"/>
                </w:rPr>
                <w:t>38</w:t>
              </w:r>
            </w:hyperlink>
          </w:p>
        </w:tc>
        <w:tc>
          <w:tcPr>
            <w:tcW w:w="20" w:type="dxa"/>
            <w:vAlign w:val="bottom"/>
          </w:tcPr>
          <w:p>
            <w:pPr>
              <w:spacing w:after="0"/>
              <w:rPr>
                <w:sz w:val="22"/>
                <w:szCs w:val="22"/>
                <w:color w:val="auto"/>
              </w:rPr>
            </w:pPr>
          </w:p>
        </w:tc>
      </w:tr>
      <w:tr>
        <w:trPr>
          <w:trHeight w:val="257"/>
        </w:trPr>
        <w:tc>
          <w:tcPr>
            <w:tcW w:w="1860" w:type="dxa"/>
            <w:vAlign w:val="bottom"/>
            <w:gridSpan w:val="2"/>
          </w:tcPr>
          <w:p>
            <w:pPr>
              <w:spacing w:after="0"/>
              <w:rPr>
                <w:rFonts w:ascii="Arial" w:cs="Arial" w:eastAsia="Arial" w:hAnsi="Arial"/>
                <w:sz w:val="16"/>
                <w:szCs w:val="16"/>
                <w:color w:val="0000EE"/>
              </w:rPr>
            </w:pPr>
            <w:hyperlink w:anchor="page39">
              <w:r>
                <w:rPr>
                  <w:rFonts w:ascii="Arial" w:cs="Arial" w:eastAsia="Arial" w:hAnsi="Arial"/>
                  <w:sz w:val="16"/>
                  <w:szCs w:val="16"/>
                  <w:u w:val="single" w:color="auto"/>
                  <w:color w:val="0000EE"/>
                </w:rPr>
                <w:t>Item 1A</w:t>
              </w:r>
            </w:hyperlink>
            <w:r>
              <w:rPr>
                <w:rFonts w:ascii="Arial" w:cs="Arial" w:eastAsia="Arial" w:hAnsi="Arial"/>
                <w:sz w:val="16"/>
                <w:szCs w:val="16"/>
                <w:color w:val="000000"/>
              </w:rPr>
              <w:t>.</w:t>
            </w:r>
          </w:p>
        </w:tc>
        <w:tc>
          <w:tcPr>
            <w:tcW w:w="6320" w:type="dxa"/>
            <w:vAlign w:val="bottom"/>
            <w:gridSpan w:val="3"/>
          </w:tcPr>
          <w:p>
            <w:pPr>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Risk Factors</w:t>
              </w:r>
            </w:hyperlink>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39">
              <w:r>
                <w:rPr>
                  <w:rFonts w:ascii="Arial" w:cs="Arial" w:eastAsia="Arial" w:hAnsi="Arial"/>
                  <w:sz w:val="16"/>
                  <w:szCs w:val="16"/>
                  <w:u w:val="single" w:color="auto"/>
                  <w:color w:val="0000EE"/>
                  <w:w w:val="89"/>
                </w:rPr>
                <w:t>38</w:t>
              </w:r>
            </w:hyperlink>
          </w:p>
        </w:tc>
        <w:tc>
          <w:tcPr>
            <w:tcW w:w="20" w:type="dxa"/>
            <w:vAlign w:val="bottom"/>
          </w:tcPr>
          <w:p>
            <w:pPr>
              <w:spacing w:after="0"/>
              <w:rPr>
                <w:sz w:val="22"/>
                <w:szCs w:val="22"/>
                <w:color w:val="auto"/>
              </w:rPr>
            </w:pPr>
          </w:p>
        </w:tc>
      </w:tr>
      <w:tr>
        <w:trPr>
          <w:trHeight w:val="256"/>
        </w:trPr>
        <w:tc>
          <w:tcPr>
            <w:tcW w:w="1860" w:type="dxa"/>
            <w:vAlign w:val="bottom"/>
            <w:gridSpan w:val="2"/>
          </w:tcPr>
          <w:p>
            <w:pPr>
              <w:spacing w:after="0"/>
              <w:rPr>
                <w:rFonts w:ascii="Arial" w:cs="Arial" w:eastAsia="Arial" w:hAnsi="Arial"/>
                <w:sz w:val="16"/>
                <w:szCs w:val="16"/>
                <w:color w:val="0000EE"/>
              </w:rPr>
            </w:pPr>
            <w:hyperlink w:anchor="page40">
              <w:r>
                <w:rPr>
                  <w:rFonts w:ascii="Arial" w:cs="Arial" w:eastAsia="Arial" w:hAnsi="Arial"/>
                  <w:sz w:val="16"/>
                  <w:szCs w:val="16"/>
                  <w:u w:val="single" w:color="auto"/>
                  <w:color w:val="0000EE"/>
                </w:rPr>
                <w:t>Item 2</w:t>
              </w:r>
            </w:hyperlink>
            <w:r>
              <w:rPr>
                <w:rFonts w:ascii="Arial" w:cs="Arial" w:eastAsia="Arial" w:hAnsi="Arial"/>
                <w:sz w:val="16"/>
                <w:szCs w:val="16"/>
                <w:color w:val="000000"/>
              </w:rPr>
              <w:t>.</w:t>
            </w:r>
          </w:p>
        </w:tc>
        <w:tc>
          <w:tcPr>
            <w:tcW w:w="6320" w:type="dxa"/>
            <w:vAlign w:val="bottom"/>
            <w:gridSpan w:val="3"/>
          </w:tcPr>
          <w:p>
            <w:pPr>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Unregistered Sales of Equity Securities and Use of Proceeds</w:t>
              </w:r>
            </w:hyperlink>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40">
              <w:r>
                <w:rPr>
                  <w:rFonts w:ascii="Arial" w:cs="Arial" w:eastAsia="Arial" w:hAnsi="Arial"/>
                  <w:sz w:val="16"/>
                  <w:szCs w:val="16"/>
                  <w:u w:val="single" w:color="auto"/>
                  <w:color w:val="0000EE"/>
                  <w:w w:val="89"/>
                </w:rPr>
                <w:t>39</w:t>
              </w:r>
            </w:hyperlink>
          </w:p>
        </w:tc>
        <w:tc>
          <w:tcPr>
            <w:tcW w:w="20" w:type="dxa"/>
            <w:vAlign w:val="bottom"/>
          </w:tcPr>
          <w:p>
            <w:pPr>
              <w:spacing w:after="0"/>
              <w:rPr>
                <w:sz w:val="22"/>
                <w:szCs w:val="22"/>
                <w:color w:val="auto"/>
              </w:rPr>
            </w:pPr>
          </w:p>
        </w:tc>
      </w:tr>
      <w:tr>
        <w:trPr>
          <w:trHeight w:val="257"/>
        </w:trPr>
        <w:tc>
          <w:tcPr>
            <w:tcW w:w="1860" w:type="dxa"/>
            <w:vAlign w:val="bottom"/>
            <w:gridSpan w:val="2"/>
          </w:tcPr>
          <w:p>
            <w:pPr>
              <w:spacing w:after="0"/>
              <w:rPr>
                <w:rFonts w:ascii="Arial" w:cs="Arial" w:eastAsia="Arial" w:hAnsi="Arial"/>
                <w:sz w:val="16"/>
                <w:szCs w:val="16"/>
                <w:color w:val="0000EE"/>
              </w:rPr>
            </w:pPr>
            <w:hyperlink w:anchor="page40">
              <w:r>
                <w:rPr>
                  <w:rFonts w:ascii="Arial" w:cs="Arial" w:eastAsia="Arial" w:hAnsi="Arial"/>
                  <w:sz w:val="16"/>
                  <w:szCs w:val="16"/>
                  <w:u w:val="single" w:color="auto"/>
                  <w:color w:val="0000EE"/>
                </w:rPr>
                <w:t>Item 3</w:t>
              </w:r>
            </w:hyperlink>
            <w:r>
              <w:rPr>
                <w:rFonts w:ascii="Arial" w:cs="Arial" w:eastAsia="Arial" w:hAnsi="Arial"/>
                <w:sz w:val="16"/>
                <w:szCs w:val="16"/>
                <w:color w:val="000000"/>
              </w:rPr>
              <w:t>.</w:t>
            </w:r>
          </w:p>
        </w:tc>
        <w:tc>
          <w:tcPr>
            <w:tcW w:w="6320" w:type="dxa"/>
            <w:vAlign w:val="bottom"/>
            <w:gridSpan w:val="3"/>
          </w:tcPr>
          <w:p>
            <w:pPr>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Defaults Upon Senior Securities</w:t>
              </w:r>
            </w:hyperlink>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40">
              <w:r>
                <w:rPr>
                  <w:rFonts w:ascii="Arial" w:cs="Arial" w:eastAsia="Arial" w:hAnsi="Arial"/>
                  <w:sz w:val="16"/>
                  <w:szCs w:val="16"/>
                  <w:u w:val="single" w:color="auto"/>
                  <w:color w:val="0000EE"/>
                  <w:w w:val="89"/>
                </w:rPr>
                <w:t>39</w:t>
              </w:r>
            </w:hyperlink>
          </w:p>
        </w:tc>
        <w:tc>
          <w:tcPr>
            <w:tcW w:w="20" w:type="dxa"/>
            <w:vAlign w:val="bottom"/>
          </w:tcPr>
          <w:p>
            <w:pPr>
              <w:spacing w:after="0"/>
              <w:rPr>
                <w:sz w:val="22"/>
                <w:szCs w:val="22"/>
                <w:color w:val="auto"/>
              </w:rPr>
            </w:pPr>
          </w:p>
        </w:tc>
      </w:tr>
      <w:tr>
        <w:trPr>
          <w:trHeight w:val="257"/>
        </w:trPr>
        <w:tc>
          <w:tcPr>
            <w:tcW w:w="1860" w:type="dxa"/>
            <w:vAlign w:val="bottom"/>
            <w:gridSpan w:val="2"/>
          </w:tcPr>
          <w:p>
            <w:pPr>
              <w:spacing w:after="0"/>
              <w:rPr>
                <w:rFonts w:ascii="Arial" w:cs="Arial" w:eastAsia="Arial" w:hAnsi="Arial"/>
                <w:sz w:val="16"/>
                <w:szCs w:val="16"/>
                <w:color w:val="0000EE"/>
              </w:rPr>
            </w:pPr>
            <w:hyperlink w:anchor="page40">
              <w:r>
                <w:rPr>
                  <w:rFonts w:ascii="Arial" w:cs="Arial" w:eastAsia="Arial" w:hAnsi="Arial"/>
                  <w:sz w:val="16"/>
                  <w:szCs w:val="16"/>
                  <w:u w:val="single" w:color="auto"/>
                  <w:color w:val="0000EE"/>
                </w:rPr>
                <w:t>Item 4</w:t>
              </w:r>
            </w:hyperlink>
            <w:r>
              <w:rPr>
                <w:rFonts w:ascii="Arial" w:cs="Arial" w:eastAsia="Arial" w:hAnsi="Arial"/>
                <w:sz w:val="16"/>
                <w:szCs w:val="16"/>
                <w:color w:val="000000"/>
              </w:rPr>
              <w:t>.</w:t>
            </w:r>
          </w:p>
        </w:tc>
        <w:tc>
          <w:tcPr>
            <w:tcW w:w="6320" w:type="dxa"/>
            <w:vAlign w:val="bottom"/>
            <w:gridSpan w:val="3"/>
          </w:tcPr>
          <w:p>
            <w:pPr>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Mine Safety Disclosures</w:t>
              </w:r>
            </w:hyperlink>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40">
              <w:r>
                <w:rPr>
                  <w:rFonts w:ascii="Arial" w:cs="Arial" w:eastAsia="Arial" w:hAnsi="Arial"/>
                  <w:sz w:val="16"/>
                  <w:szCs w:val="16"/>
                  <w:u w:val="single" w:color="auto"/>
                  <w:color w:val="0000EE"/>
                  <w:w w:val="89"/>
                </w:rPr>
                <w:t>39</w:t>
              </w:r>
            </w:hyperlink>
          </w:p>
        </w:tc>
        <w:tc>
          <w:tcPr>
            <w:tcW w:w="20" w:type="dxa"/>
            <w:vAlign w:val="bottom"/>
          </w:tcPr>
          <w:p>
            <w:pPr>
              <w:spacing w:after="0"/>
              <w:rPr>
                <w:sz w:val="22"/>
                <w:szCs w:val="22"/>
                <w:color w:val="auto"/>
              </w:rPr>
            </w:pPr>
          </w:p>
        </w:tc>
      </w:tr>
      <w:tr>
        <w:trPr>
          <w:trHeight w:val="222"/>
        </w:trPr>
        <w:tc>
          <w:tcPr>
            <w:tcW w:w="1860" w:type="dxa"/>
            <w:vAlign w:val="bottom"/>
            <w:gridSpan w:val="2"/>
          </w:tcPr>
          <w:p>
            <w:pPr>
              <w:spacing w:after="0"/>
              <w:rPr>
                <w:sz w:val="20"/>
                <w:szCs w:val="20"/>
                <w:color w:val="auto"/>
              </w:rPr>
            </w:pPr>
            <w:r>
              <w:rPr>
                <w:rFonts w:ascii="Arial" w:cs="Arial" w:eastAsia="Arial" w:hAnsi="Arial"/>
                <w:sz w:val="16"/>
                <w:szCs w:val="16"/>
                <w:color w:val="0000EE"/>
              </w:rPr>
              <w:t>Item 5</w:t>
            </w:r>
            <w:r>
              <w:rPr>
                <w:rFonts w:ascii="Arial" w:cs="Arial" w:eastAsia="Arial" w:hAnsi="Arial"/>
                <w:sz w:val="16"/>
                <w:szCs w:val="16"/>
                <w:color w:val="000000"/>
              </w:rPr>
              <w:t>.</w:t>
            </w:r>
          </w:p>
        </w:tc>
        <w:tc>
          <w:tcPr>
            <w:tcW w:w="6320" w:type="dxa"/>
            <w:vAlign w:val="bottom"/>
            <w:gridSpan w:val="3"/>
          </w:tcPr>
          <w:p>
            <w:pPr>
              <w:spacing w:after="0"/>
              <w:rPr>
                <w:sz w:val="20"/>
                <w:szCs w:val="20"/>
                <w:color w:val="auto"/>
              </w:rPr>
            </w:pPr>
            <w:r>
              <w:rPr>
                <w:rFonts w:ascii="Arial" w:cs="Arial" w:eastAsia="Arial" w:hAnsi="Arial"/>
                <w:sz w:val="16"/>
                <w:szCs w:val="16"/>
                <w:color w:val="0000EE"/>
              </w:rPr>
              <w:t>Other Information</w:t>
            </w:r>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40">
              <w:r>
                <w:rPr>
                  <w:rFonts w:ascii="Arial" w:cs="Arial" w:eastAsia="Arial" w:hAnsi="Arial"/>
                  <w:sz w:val="16"/>
                  <w:szCs w:val="16"/>
                  <w:u w:val="single" w:color="auto"/>
                  <w:color w:val="0000EE"/>
                  <w:w w:val="89"/>
                </w:rPr>
                <w:t>39</w:t>
              </w:r>
            </w:hyperlink>
          </w:p>
        </w:tc>
        <w:tc>
          <w:tcPr>
            <w:tcW w:w="20" w:type="dxa"/>
            <w:vAlign w:val="bottom"/>
          </w:tcPr>
          <w:p>
            <w:pPr>
              <w:spacing w:after="0"/>
              <w:rPr>
                <w:sz w:val="19"/>
                <w:szCs w:val="19"/>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860" w:type="dxa"/>
            <w:vAlign w:val="bottom"/>
            <w:gridSpan w:val="2"/>
          </w:tcPr>
          <w:p>
            <w:pPr>
              <w:spacing w:after="0"/>
              <w:rPr>
                <w:sz w:val="20"/>
                <w:szCs w:val="20"/>
                <w:color w:val="auto"/>
              </w:rPr>
            </w:pPr>
            <w:r>
              <w:rPr>
                <w:rFonts w:ascii="Arial" w:cs="Arial" w:eastAsia="Arial" w:hAnsi="Arial"/>
                <w:sz w:val="16"/>
                <w:szCs w:val="16"/>
                <w:color w:val="0000EE"/>
              </w:rPr>
              <w:t>Item 6</w:t>
            </w:r>
            <w:r>
              <w:rPr>
                <w:rFonts w:ascii="Arial" w:cs="Arial" w:eastAsia="Arial" w:hAnsi="Arial"/>
                <w:sz w:val="16"/>
                <w:szCs w:val="16"/>
                <w:color w:val="000000"/>
              </w:rPr>
              <w:t>.</w:t>
            </w:r>
          </w:p>
        </w:tc>
        <w:tc>
          <w:tcPr>
            <w:tcW w:w="6320" w:type="dxa"/>
            <w:vAlign w:val="bottom"/>
            <w:gridSpan w:val="3"/>
          </w:tcPr>
          <w:p>
            <w:pPr>
              <w:spacing w:after="0"/>
              <w:rPr>
                <w:sz w:val="20"/>
                <w:szCs w:val="20"/>
                <w:color w:val="auto"/>
              </w:rPr>
            </w:pPr>
            <w:r>
              <w:rPr>
                <w:rFonts w:ascii="Arial" w:cs="Arial" w:eastAsia="Arial" w:hAnsi="Arial"/>
                <w:sz w:val="16"/>
                <w:szCs w:val="16"/>
                <w:color w:val="0000EE"/>
              </w:rPr>
              <w:t>Exhibits</w:t>
            </w:r>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41">
              <w:r>
                <w:rPr>
                  <w:rFonts w:ascii="Arial" w:cs="Arial" w:eastAsia="Arial" w:hAnsi="Arial"/>
                  <w:sz w:val="16"/>
                  <w:szCs w:val="16"/>
                  <w:u w:val="single" w:color="auto"/>
                  <w:color w:val="0000EE"/>
                  <w:w w:val="89"/>
                </w:rPr>
                <w:t>40</w:t>
              </w:r>
            </w:hyperlink>
          </w:p>
        </w:tc>
        <w:tc>
          <w:tcPr>
            <w:tcW w:w="20" w:type="dxa"/>
            <w:vAlign w:val="bottom"/>
          </w:tcPr>
          <w:p>
            <w:pPr>
              <w:spacing w:after="0"/>
              <w:rPr>
                <w:sz w:val="20"/>
                <w:szCs w:val="20"/>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5"/>
        </w:trPr>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320" w:type="dxa"/>
            <w:vAlign w:val="bottom"/>
            <w:gridSpan w:val="3"/>
          </w:tcPr>
          <w:p>
            <w:pPr>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Signatures</w:t>
              </w:r>
            </w:hyperlink>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42">
              <w:r>
                <w:rPr>
                  <w:rFonts w:ascii="Arial" w:cs="Arial" w:eastAsia="Arial" w:hAnsi="Arial"/>
                  <w:sz w:val="16"/>
                  <w:szCs w:val="16"/>
                  <w:u w:val="single" w:color="auto"/>
                  <w:color w:val="0000EE"/>
                  <w:w w:val="89"/>
                </w:rPr>
                <w:t>41</w:t>
              </w:r>
            </w:hyperlink>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99"/>
          </w:cols>
          <w:pgMar w:left="1360" w:top="337" w:right="1440" w:bottom="1440" w:gutter="0" w:footer="0" w:header="0"/>
        </w:sectPr>
      </w:pPr>
    </w:p>
    <w:bookmarkStart w:id="3" w:name="page4"/>
    <w:bookmarkEnd w:id="3"/>
    <w:p>
      <w:pPr>
        <w:ind w:left="444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i w:val="1"/>
          <w:iCs w:val="1"/>
          <w:color w:val="auto"/>
        </w:rPr>
        <w:t>(Unaudited, dollars in thousands, except share data)</w:t>
      </w:r>
    </w:p>
    <w:p>
      <w:pPr>
        <w:spacing w:after="0" w:line="161"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6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color w:val="auto"/>
              </w:rPr>
              <w:t>May 30, 2020</w:t>
            </w:r>
          </w:p>
        </w:tc>
        <w:tc>
          <w:tcPr>
            <w:tcW w:w="16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w w:val="94"/>
              </w:rPr>
              <w:t>August 31, 2019</w:t>
            </w:r>
          </w:p>
        </w:tc>
      </w:tr>
      <w:tr>
        <w:trPr>
          <w:trHeight w:val="47"/>
        </w:trPr>
        <w:tc>
          <w:tcPr>
            <w:tcW w:w="69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43"/>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6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111,134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266,341</w:t>
            </w:r>
          </w:p>
        </w:tc>
      </w:tr>
      <w:tr>
        <w:trPr>
          <w:trHeight w:val="237"/>
        </w:trPr>
        <w:tc>
          <w:tcPr>
            <w:tcW w:w="6960" w:type="dxa"/>
            <w:vAlign w:val="bottom"/>
          </w:tcPr>
          <w:p>
            <w:pPr>
              <w:ind w:left="16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64,440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44,240</w:t>
            </w:r>
          </w:p>
        </w:tc>
      </w:tr>
      <w:tr>
        <w:trPr>
          <w:trHeight w:val="33"/>
        </w:trPr>
        <w:tc>
          <w:tcPr>
            <w:tcW w:w="6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84,517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38,085</w:t>
            </w:r>
          </w:p>
        </w:tc>
      </w:tr>
      <w:tr>
        <w:trPr>
          <w:trHeight w:val="237"/>
        </w:trPr>
        <w:tc>
          <w:tcPr>
            <w:tcW w:w="6960" w:type="dxa"/>
            <w:vAlign w:val="bottom"/>
          </w:tcPr>
          <w:p>
            <w:pPr>
              <w:ind w:left="160"/>
              <w:spacing w:after="0"/>
              <w:rPr>
                <w:sz w:val="20"/>
                <w:szCs w:val="20"/>
                <w:color w:val="auto"/>
              </w:rPr>
            </w:pPr>
            <w:r>
              <w:rPr>
                <w:rFonts w:ascii="Arial" w:cs="Arial" w:eastAsia="Arial" w:hAnsi="Arial"/>
                <w:sz w:val="16"/>
                <w:szCs w:val="16"/>
                <w:color w:val="auto"/>
              </w:rPr>
              <w:t>Prepaid expenses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2,882</w:t>
            </w:r>
          </w:p>
        </w:tc>
      </w:tr>
      <w:tr>
        <w:trPr>
          <w:trHeight w:val="33"/>
        </w:trPr>
        <w:tc>
          <w:tcPr>
            <w:tcW w:w="6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6,059</w:t>
            </w:r>
          </w:p>
        </w:tc>
      </w:tr>
      <w:tr>
        <w:trPr>
          <w:trHeight w:val="217"/>
        </w:trPr>
        <w:tc>
          <w:tcPr>
            <w:tcW w:w="6960" w:type="dxa"/>
            <w:vAlign w:val="bottom"/>
          </w:tcPr>
          <w:p>
            <w:pPr>
              <w:ind w:left="160"/>
              <w:spacing w:after="0"/>
              <w:rPr>
                <w:sz w:val="20"/>
                <w:szCs w:val="20"/>
                <w:color w:val="auto"/>
              </w:rPr>
            </w:pPr>
            <w:r>
              <w:rPr>
                <w:rFonts w:ascii="Arial" w:cs="Arial" w:eastAsia="Arial" w:hAnsi="Arial"/>
                <w:sz w:val="16"/>
                <w:szCs w:val="16"/>
                <w:color w:val="auto"/>
              </w:rPr>
              <w:t>Total current assets</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281,140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357,607</w:t>
            </w:r>
          </w:p>
        </w:tc>
      </w:tr>
      <w:tr>
        <w:trPr>
          <w:trHeight w:val="33"/>
        </w:trPr>
        <w:tc>
          <w:tcPr>
            <w:tcW w:w="6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6"/>
                <w:szCs w:val="16"/>
                <w:color w:val="auto"/>
              </w:rPr>
              <w:t>Long-term assets: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6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2,456</w:t>
            </w:r>
          </w:p>
        </w:tc>
      </w:tr>
      <w:tr>
        <w:trPr>
          <w:trHeight w:val="237"/>
        </w:trPr>
        <w:tc>
          <w:tcPr>
            <w:tcW w:w="6960" w:type="dxa"/>
            <w:vAlign w:val="bottom"/>
          </w:tcPr>
          <w:p>
            <w:pPr>
              <w:ind w:left="160"/>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1,145,516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306,139</w:t>
            </w:r>
          </w:p>
        </w:tc>
      </w:tr>
      <w:tr>
        <w:trPr>
          <w:trHeight w:val="33"/>
        </w:trPr>
        <w:tc>
          <w:tcPr>
            <w:tcW w:w="6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567,658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471,427</w:t>
            </w:r>
          </w:p>
        </w:tc>
      </w:tr>
      <w:tr>
        <w:trPr>
          <w:trHeight w:val="237"/>
        </w:trPr>
        <w:tc>
          <w:tcPr>
            <w:tcW w:w="6960" w:type="dxa"/>
            <w:vAlign w:val="bottom"/>
          </w:tcPr>
          <w:p>
            <w:pPr>
              <w:ind w:left="160"/>
              <w:spacing w:after="0"/>
              <w:rPr>
                <w:sz w:val="20"/>
                <w:szCs w:val="20"/>
                <w:color w:val="auto"/>
              </w:rPr>
            </w:pPr>
            <w:r>
              <w:rPr>
                <w:rFonts w:ascii="Arial" w:cs="Arial" w:eastAsia="Arial" w:hAnsi="Arial"/>
                <w:sz w:val="16"/>
                <w:szCs w:val="16"/>
                <w:color w:val="auto"/>
              </w:rPr>
              <w:t>Other long-term assets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33,914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4,021</w:t>
            </w:r>
          </w:p>
        </w:tc>
      </w:tr>
      <w:tr>
        <w:trPr>
          <w:trHeight w:val="33"/>
        </w:trPr>
        <w:tc>
          <w:tcPr>
            <w:tcW w:w="6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5"/>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2,040,144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1,141,650</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6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 and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6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Accounts payable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15,730</w:t>
            </w:r>
          </w:p>
        </w:tc>
      </w:tr>
      <w:tr>
        <w:trPr>
          <w:trHeight w:val="237"/>
        </w:trPr>
        <w:tc>
          <w:tcPr>
            <w:tcW w:w="6960" w:type="dxa"/>
            <w:vAlign w:val="bottom"/>
          </w:tcPr>
          <w:p>
            <w:pPr>
              <w:ind w:left="160"/>
              <w:spacing w:after="0"/>
              <w:rPr>
                <w:sz w:val="20"/>
                <w:szCs w:val="20"/>
                <w:color w:val="auto"/>
              </w:rPr>
            </w:pPr>
            <w:r>
              <w:rPr>
                <w:rFonts w:ascii="Arial" w:cs="Arial" w:eastAsia="Arial" w:hAnsi="Arial"/>
                <w:sz w:val="16"/>
                <w:szCs w:val="16"/>
                <w:color w:val="auto"/>
              </w:rPr>
              <w:t>Accrued interest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1,693</w:t>
            </w:r>
          </w:p>
        </w:tc>
      </w:tr>
      <w:tr>
        <w:trPr>
          <w:trHeight w:val="33"/>
        </w:trPr>
        <w:tc>
          <w:tcPr>
            <w:tcW w:w="6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Accrued expenses and 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29,933</w:t>
            </w:r>
          </w:p>
        </w:tc>
      </w:tr>
      <w:tr>
        <w:trPr>
          <w:trHeight w:val="237"/>
        </w:trPr>
        <w:tc>
          <w:tcPr>
            <w:tcW w:w="6960" w:type="dxa"/>
            <w:vAlign w:val="bottom"/>
          </w:tcPr>
          <w:p>
            <w:pPr>
              <w:ind w:left="160"/>
              <w:spacing w:after="0"/>
              <w:rPr>
                <w:sz w:val="20"/>
                <w:szCs w:val="20"/>
                <w:color w:val="auto"/>
              </w:rPr>
            </w:pPr>
            <w:r>
              <w:rPr>
                <w:rFonts w:ascii="Arial" w:cs="Arial" w:eastAsia="Arial" w:hAnsi="Arial"/>
                <w:sz w:val="16"/>
                <w:szCs w:val="16"/>
                <w:color w:val="auto"/>
              </w:rPr>
              <w:t>Current maturities of long-term debt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25,268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676</w:t>
            </w:r>
          </w:p>
        </w:tc>
      </w:tr>
      <w:tr>
        <w:trPr>
          <w:trHeight w:val="33"/>
        </w:trPr>
        <w:tc>
          <w:tcPr>
            <w:tcW w:w="6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87,770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48,032</w:t>
            </w:r>
          </w:p>
        </w:tc>
      </w:tr>
      <w:tr>
        <w:trPr>
          <w:trHeight w:val="270"/>
        </w:trPr>
        <w:tc>
          <w:tcPr>
            <w:tcW w:w="6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6960" w:type="dxa"/>
            <w:vAlign w:val="bottom"/>
          </w:tcPr>
          <w:p>
            <w:pPr>
              <w:ind w:left="160"/>
              <w:spacing w:after="0"/>
              <w:rPr>
                <w:sz w:val="20"/>
                <w:szCs w:val="20"/>
                <w:color w:val="auto"/>
              </w:rPr>
            </w:pPr>
            <w:r>
              <w:rPr>
                <w:rFonts w:ascii="Arial" w:cs="Arial" w:eastAsia="Arial" w:hAnsi="Arial"/>
                <w:sz w:val="16"/>
                <w:szCs w:val="16"/>
                <w:color w:val="auto"/>
              </w:rPr>
              <w:t>Long-term debt, less current maturities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624,752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190,259</w:t>
            </w:r>
          </w:p>
        </w:tc>
      </w:tr>
      <w:tr>
        <w:trPr>
          <w:trHeight w:val="33"/>
        </w:trPr>
        <w:tc>
          <w:tcPr>
            <w:tcW w:w="6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87,758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65,383</w:t>
            </w:r>
          </w:p>
        </w:tc>
      </w:tr>
      <w:tr>
        <w:trPr>
          <w:trHeight w:val="237"/>
        </w:trPr>
        <w:tc>
          <w:tcPr>
            <w:tcW w:w="6960" w:type="dxa"/>
            <w:vAlign w:val="bottom"/>
          </w:tcPr>
          <w:p>
            <w:pPr>
              <w:ind w:left="160"/>
              <w:spacing w:after="0"/>
              <w:rPr>
                <w:sz w:val="20"/>
                <w:szCs w:val="20"/>
                <w:color w:val="auto"/>
              </w:rPr>
            </w:pPr>
            <w:r>
              <w:rPr>
                <w:rFonts w:ascii="Arial" w:cs="Arial" w:eastAsia="Arial" w:hAnsi="Arial"/>
                <w:sz w:val="16"/>
                <w:szCs w:val="16"/>
                <w:color w:val="auto"/>
              </w:rPr>
              <w:t>Other long-term liabilities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24,215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532</w:t>
            </w:r>
          </w:p>
        </w:tc>
      </w:tr>
      <w:tr>
        <w:trPr>
          <w:trHeight w:val="33"/>
        </w:trPr>
        <w:tc>
          <w:tcPr>
            <w:tcW w:w="6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824,495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304,206</w:t>
            </w:r>
          </w:p>
        </w:tc>
      </w:tr>
      <w:tr>
        <w:trPr>
          <w:trHeight w:val="237"/>
        </w:trPr>
        <w:tc>
          <w:tcPr>
            <w:tcW w:w="6960" w:type="dxa"/>
            <w:vAlign w:val="bottom"/>
          </w:tcPr>
          <w:p>
            <w:pPr>
              <w:ind w:left="20"/>
              <w:spacing w:after="0"/>
              <w:rPr>
                <w:sz w:val="20"/>
                <w:szCs w:val="20"/>
                <w:color w:val="auto"/>
              </w:rPr>
            </w:pPr>
            <w:r>
              <w:rPr>
                <w:rFonts w:ascii="Arial" w:cs="Arial" w:eastAsia="Arial" w:hAnsi="Arial"/>
                <w:sz w:val="16"/>
                <w:szCs w:val="16"/>
                <w:color w:val="auto"/>
              </w:rPr>
              <w:t>See commitments and contingencies (Note 10)</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6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6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Preferred stock, $0.01 par value, 100,000,000 shares authorized, none issued</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6960" w:type="dxa"/>
            <w:vAlign w:val="bottom"/>
          </w:tcPr>
          <w:p>
            <w:pPr>
              <w:ind w:left="160"/>
              <w:spacing w:after="0"/>
              <w:rPr>
                <w:sz w:val="20"/>
                <w:szCs w:val="20"/>
                <w:color w:val="auto"/>
              </w:rPr>
            </w:pPr>
            <w:r>
              <w:rPr>
                <w:rFonts w:ascii="Arial" w:cs="Arial" w:eastAsia="Arial" w:hAnsi="Arial"/>
                <w:sz w:val="16"/>
                <w:szCs w:val="16"/>
                <w:color w:val="auto"/>
                <w:w w:val="93"/>
              </w:rPr>
              <w:t>Common stock, $0.01 par value, 600,000,000 shares authorized, 95,476,860 and 81,973,284 issued at</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6"/>
        </w:trPr>
        <w:tc>
          <w:tcPr>
            <w:tcW w:w="6960" w:type="dxa"/>
            <w:vAlign w:val="bottom"/>
          </w:tcPr>
          <w:p>
            <w:pPr>
              <w:ind w:left="160"/>
              <w:spacing w:after="0"/>
              <w:rPr>
                <w:sz w:val="20"/>
                <w:szCs w:val="20"/>
                <w:color w:val="auto"/>
              </w:rPr>
            </w:pPr>
            <w:r>
              <w:rPr>
                <w:rFonts w:ascii="Arial" w:cs="Arial" w:eastAsia="Arial" w:hAnsi="Arial"/>
                <w:sz w:val="16"/>
                <w:szCs w:val="16"/>
                <w:color w:val="auto"/>
              </w:rPr>
              <w:t>May 30, 2020 and August 31, 2019, respectively</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820</w:t>
            </w:r>
          </w:p>
        </w:tc>
      </w:tr>
      <w:tr>
        <w:trPr>
          <w:trHeight w:val="33"/>
        </w:trPr>
        <w:tc>
          <w:tcPr>
            <w:tcW w:w="6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4"/>
              </w:rPr>
              <w:t>Treasury stock, 98,234 and 98,234 shares at cost at May 30, 2020 and August 31, 2019,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(2,145)</w:t>
            </w:r>
          </w:p>
        </w:tc>
      </w:tr>
      <w:tr>
        <w:trPr>
          <w:trHeight w:val="237"/>
        </w:trPr>
        <w:tc>
          <w:tcPr>
            <w:tcW w:w="6960" w:type="dxa"/>
            <w:vAlign w:val="bottom"/>
          </w:tcPr>
          <w:p>
            <w:pPr>
              <w:ind w:left="160"/>
              <w:spacing w:after="0"/>
              <w:rPr>
                <w:sz w:val="20"/>
                <w:szCs w:val="20"/>
                <w:color w:val="auto"/>
              </w:rPr>
            </w:pPr>
            <w:r>
              <w:rPr>
                <w:rFonts w:ascii="Arial" w:cs="Arial" w:eastAsia="Arial" w:hAnsi="Arial"/>
                <w:sz w:val="16"/>
                <w:szCs w:val="16"/>
                <w:color w:val="auto"/>
              </w:rPr>
              <w:t>Additional paid-in-capital</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1,089,652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733,775</w:t>
            </w:r>
          </w:p>
        </w:tc>
      </w:tr>
      <w:tr>
        <w:trPr>
          <w:trHeight w:val="33"/>
        </w:trPr>
        <w:tc>
          <w:tcPr>
            <w:tcW w:w="6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128,103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105,830</w:t>
            </w:r>
          </w:p>
        </w:tc>
      </w:tr>
      <w:tr>
        <w:trPr>
          <w:trHeight w:val="237"/>
        </w:trPr>
        <w:tc>
          <w:tcPr>
            <w:tcW w:w="6960" w:type="dxa"/>
            <w:vAlign w:val="bottom"/>
          </w:tcPr>
          <w:p>
            <w:pPr>
              <w:ind w:left="16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(836)</w:t>
            </w:r>
          </w:p>
        </w:tc>
      </w:tr>
      <w:tr>
        <w:trPr>
          <w:trHeight w:val="33"/>
        </w:trPr>
        <w:tc>
          <w:tcPr>
            <w:tcW w:w="6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1,215,649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837,444</w:t>
            </w:r>
          </w:p>
        </w:tc>
      </w:tr>
      <w:tr>
        <w:trPr>
          <w:trHeight w:val="243"/>
        </w:trPr>
        <w:tc>
          <w:tcPr>
            <w:tcW w:w="696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2,040,144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1,141,650</w:t>
            </w:r>
          </w:p>
        </w:tc>
      </w:tr>
      <w:tr>
        <w:trPr>
          <w:trHeight w:val="20"/>
        </w:trPr>
        <w:tc>
          <w:tcPr>
            <w:tcW w:w="696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8540" w:type="dxa"/>
            <w:vAlign w:val="bottom"/>
            <w:gridSpan w:val="4"/>
          </w:tcPr>
          <w:p>
            <w:pPr>
              <w:ind w:left="218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640"/>
          </w:cols>
          <w:pgMar w:left="320" w:top="337" w:right="939" w:bottom="1440" w:gutter="0" w:footer="0" w:header="0"/>
        </w:sectPr>
      </w:pPr>
    </w:p>
    <w:p>
      <w:pPr>
        <w:spacing w:after="0" w:line="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640"/>
          </w:cols>
          <w:pgMar w:left="320" w:top="337" w:right="9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920" w:right="1980"/>
        <w:spacing w:after="0" w:line="266" w:lineRule="auto"/>
        <w:rPr>
          <w:sz w:val="20"/>
          <w:szCs w:val="20"/>
          <w:color w:val="auto"/>
        </w:rPr>
      </w:pPr>
      <w:r>
        <w:rPr>
          <w:rFonts w:ascii="Arial" w:cs="Arial" w:eastAsia="Arial" w:hAnsi="Arial"/>
          <w:sz w:val="18"/>
          <w:szCs w:val="18"/>
          <w:b w:val="1"/>
          <w:bCs w:val="1"/>
          <w:color w:val="auto"/>
        </w:rPr>
        <w:t xml:space="preserve">The Simply Good Foods Company and Subsidiaries Condensed Consolidated Statements of Operations and Comprehensive Income </w:t>
      </w:r>
      <w:r>
        <w:rPr>
          <w:rFonts w:ascii="Arial" w:cs="Arial" w:eastAsia="Arial" w:hAnsi="Arial"/>
          <w:sz w:val="18"/>
          <w:szCs w:val="18"/>
          <w:i w:val="1"/>
          <w:iCs w:val="1"/>
          <w:color w:val="auto"/>
        </w:rPr>
        <w:t>(Unaudited, dollars in thousands, except share and per share data)</w:t>
      </w:r>
    </w:p>
    <w:p>
      <w:pPr>
        <w:spacing w:after="0" w:line="130" w:lineRule="exact"/>
        <w:rPr>
          <w:sz w:val="20"/>
          <w:szCs w:val="20"/>
          <w:color w:val="auto"/>
        </w:rPr>
      </w:pPr>
    </w:p>
    <w:tbl>
      <w:tblPr>
        <w:tblLayout w:type="fixed"/>
        <w:tblInd w:w="620" w:type="dxa"/>
        <w:tblCellMar>
          <w:top w:w="0" w:type="dxa"/>
          <w:left w:w="0" w:type="dxa"/>
          <w:bottom w:w="0" w:type="dxa"/>
          <w:right w:w="0" w:type="dxa"/>
        </w:tblCellMar>
      </w:tblPr>
      <w:tr>
        <w:trPr>
          <w:trHeight w:val="220"/>
        </w:trPr>
        <w:tc>
          <w:tcPr>
            <w:tcW w:w="4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80" w:type="dxa"/>
            <w:vAlign w:val="bottom"/>
            <w:gridSpan w:val="5"/>
          </w:tcPr>
          <w:p>
            <w:pPr>
              <w:ind w:left="520"/>
              <w:spacing w:after="0"/>
              <w:rPr>
                <w:sz w:val="20"/>
                <w:szCs w:val="20"/>
                <w:color w:val="auto"/>
              </w:rPr>
            </w:pPr>
            <w:r>
              <w:rPr>
                <w:rFonts w:ascii="Arial" w:cs="Arial" w:eastAsia="Arial" w:hAnsi="Arial"/>
                <w:sz w:val="16"/>
                <w:szCs w:val="16"/>
                <w:color w:val="auto"/>
              </w:rPr>
              <w:t>Thirteen Weeks Ended</w:t>
            </w:r>
          </w:p>
        </w:tc>
        <w:tc>
          <w:tcPr>
            <w:tcW w:w="160" w:type="dxa"/>
            <w:vAlign w:val="bottom"/>
          </w:tcPr>
          <w:p>
            <w:pPr>
              <w:spacing w:after="0"/>
              <w:rPr>
                <w:sz w:val="19"/>
                <w:szCs w:val="19"/>
                <w:color w:val="auto"/>
              </w:rPr>
            </w:pPr>
          </w:p>
        </w:tc>
        <w:tc>
          <w:tcPr>
            <w:tcW w:w="2660" w:type="dxa"/>
            <w:vAlign w:val="bottom"/>
            <w:gridSpan w:val="4"/>
          </w:tcPr>
          <w:p>
            <w:pPr>
              <w:jc w:val="right"/>
              <w:ind w:right="479"/>
              <w:spacing w:after="0"/>
              <w:rPr>
                <w:sz w:val="20"/>
                <w:szCs w:val="20"/>
                <w:color w:val="auto"/>
              </w:rPr>
            </w:pPr>
            <w:r>
              <w:rPr>
                <w:rFonts w:ascii="Arial" w:cs="Arial" w:eastAsia="Arial" w:hAnsi="Arial"/>
                <w:sz w:val="16"/>
                <w:szCs w:val="16"/>
                <w:color w:val="auto"/>
              </w:rPr>
              <w:t>Thirty-Nine Weeks Ended</w:t>
            </w:r>
          </w:p>
        </w:tc>
      </w:tr>
      <w:tr>
        <w:trPr>
          <w:trHeight w:val="33"/>
        </w:trPr>
        <w:tc>
          <w:tcPr>
            <w:tcW w:w="4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color w:val="auto"/>
              </w:rPr>
              <w:t>May 30, 2020</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color w:val="auto"/>
              </w:rPr>
              <w:t>May 25, 2019</w:t>
            </w: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color w:val="auto"/>
              </w:rPr>
              <w:t>May 30, 2020</w:t>
            </w:r>
          </w:p>
        </w:tc>
        <w:tc>
          <w:tcPr>
            <w:tcW w:w="160" w:type="dxa"/>
            <w:vAlign w:val="bottom"/>
          </w:tcPr>
          <w:p>
            <w:pPr>
              <w:spacing w:after="0"/>
              <w:rPr>
                <w:sz w:val="20"/>
                <w:szCs w:val="20"/>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color w:val="auto"/>
                <w:w w:val="96"/>
              </w:rPr>
              <w:t>May 25, 2019</w:t>
            </w:r>
          </w:p>
        </w:tc>
      </w:tr>
      <w:tr>
        <w:trPr>
          <w:trHeight w:val="33"/>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215,101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139,468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594,355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384,199</w:t>
            </w:r>
          </w:p>
        </w:tc>
      </w:tr>
      <w:tr>
        <w:trPr>
          <w:trHeight w:val="237"/>
        </w:trPr>
        <w:tc>
          <w:tcPr>
            <w:tcW w:w="424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126,475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82,811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358,129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225,967</w:t>
            </w:r>
          </w:p>
        </w:tc>
      </w:tr>
      <w:tr>
        <w:trPr>
          <w:trHeight w:val="33"/>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88,626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236,226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158,232</w:t>
            </w:r>
          </w:p>
        </w:tc>
      </w:tr>
      <w:tr>
        <w:trPr>
          <w:trHeight w:val="297"/>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6"/>
                <w:szCs w:val="16"/>
                <w:color w:val="auto"/>
              </w:rPr>
              <w:t>Selling and marketing</w:t>
            </w: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24,510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17,550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69,985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47,598</w:t>
            </w: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74,961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41,677</w:t>
            </w:r>
          </w:p>
        </w:tc>
      </w:tr>
      <w:tr>
        <w:trPr>
          <w:trHeight w:val="237"/>
        </w:trPr>
        <w:tc>
          <w:tcPr>
            <w:tcW w:w="424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4,248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10,988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5,643</w:t>
            </w: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Business transaction costs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2,087</w:t>
            </w:r>
          </w:p>
        </w:tc>
      </w:tr>
      <w:tr>
        <w:trPr>
          <w:trHeight w:val="220"/>
        </w:trPr>
        <w:tc>
          <w:tcPr>
            <w:tcW w:w="4240" w:type="dxa"/>
            <w:vAlign w:val="bottom"/>
          </w:tcPr>
          <w:p>
            <w:pPr>
              <w:ind w:left="160"/>
              <w:spacing w:after="0"/>
              <w:rPr>
                <w:sz w:val="20"/>
                <w:szCs w:val="20"/>
                <w:color w:val="auto"/>
              </w:rPr>
            </w:pPr>
            <w:r>
              <w:rPr>
                <w:rFonts w:ascii="Arial" w:cs="Arial" w:eastAsia="Arial" w:hAnsi="Arial"/>
                <w:sz w:val="16"/>
                <w:szCs w:val="16"/>
                <w:color w:val="auto"/>
                <w:w w:val="96"/>
              </w:rPr>
              <w:t>Loss in fair value change of contingent consideration - TRA</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4240" w:type="dxa"/>
            <w:vAlign w:val="bottom"/>
          </w:tcPr>
          <w:p>
            <w:pPr>
              <w:ind w:left="160"/>
              <w:spacing w:after="0"/>
              <w:rPr>
                <w:sz w:val="20"/>
                <w:szCs w:val="20"/>
                <w:color w:val="auto"/>
              </w:rPr>
            </w:pPr>
            <w:r>
              <w:rPr>
                <w:rFonts w:ascii="Arial" w:cs="Arial" w:eastAsia="Arial" w:hAnsi="Arial"/>
                <w:sz w:val="16"/>
                <w:szCs w:val="16"/>
                <w:color w:val="auto"/>
              </w:rPr>
              <w:t>liability</w:t>
            </w:r>
          </w:p>
        </w:tc>
        <w:tc>
          <w:tcPr>
            <w:tcW w:w="18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533</w:t>
            </w:r>
          </w:p>
        </w:tc>
      </w:tr>
      <w:tr>
        <w:trPr>
          <w:trHeight w:val="33"/>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57,518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36,147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182,834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97,538</w:t>
            </w:r>
          </w:p>
        </w:tc>
      </w:tr>
      <w:tr>
        <w:trPr>
          <w:trHeight w:val="297"/>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60,694</w:t>
            </w:r>
          </w:p>
        </w:tc>
      </w:tr>
      <w:tr>
        <w:trPr>
          <w:trHeight w:val="297"/>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(expense) income: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2,731</w:t>
            </w: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(10,033)</w:t>
            </w:r>
          </w:p>
        </w:tc>
      </w:tr>
      <w:tr>
        <w:trPr>
          <w:trHeight w:val="237"/>
        </w:trPr>
        <w:tc>
          <w:tcPr>
            <w:tcW w:w="4240" w:type="dxa"/>
            <w:vAlign w:val="bottom"/>
          </w:tcPr>
          <w:p>
            <w:pPr>
              <w:ind w:left="160"/>
              <w:spacing w:after="0"/>
              <w:rPr>
                <w:sz w:val="20"/>
                <w:szCs w:val="20"/>
                <w:color w:val="auto"/>
              </w:rPr>
            </w:pPr>
            <w:r>
              <w:rPr>
                <w:rFonts w:ascii="Arial" w:cs="Arial" w:eastAsia="Arial" w:hAnsi="Arial"/>
                <w:sz w:val="16"/>
                <w:szCs w:val="16"/>
                <w:color w:val="auto"/>
              </w:rPr>
              <w:t>Gain on settlement of TRA liability</w:t>
            </w:r>
          </w:p>
        </w:tc>
        <w:tc>
          <w:tcPr>
            <w:tcW w:w="1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1,534</w:t>
            </w: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Loss on foreign currency transactions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w:t>
            </w:r>
          </w:p>
        </w:tc>
      </w:tr>
      <w:tr>
        <w:trPr>
          <w:trHeight w:val="237"/>
        </w:trPr>
        <w:tc>
          <w:tcPr>
            <w:tcW w:w="4240" w:type="dxa"/>
            <w:vAlign w:val="bottom"/>
          </w:tcPr>
          <w:p>
            <w:pPr>
              <w:ind w:left="160"/>
              <w:spacing w:after="0"/>
              <w:rPr>
                <w:sz w:val="20"/>
                <w:szCs w:val="20"/>
                <w:color w:val="auto"/>
              </w:rPr>
            </w:pPr>
            <w:r>
              <w:rPr>
                <w:rFonts w:ascii="Arial" w:cs="Arial" w:eastAsia="Arial" w:hAnsi="Arial"/>
                <w:sz w:val="16"/>
                <w:szCs w:val="16"/>
                <w:color w:val="auto"/>
              </w:rPr>
              <w:t>Other income</w:t>
            </w: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33"/>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expense</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(6,013)</w:t>
            </w:r>
          </w:p>
        </w:tc>
      </w:tr>
      <w:tr>
        <w:trPr>
          <w:trHeight w:val="297"/>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54,681</w:t>
            </w:r>
          </w:p>
        </w:tc>
      </w:tr>
      <w:tr>
        <w:trPr>
          <w:trHeight w:val="237"/>
        </w:trPr>
        <w:tc>
          <w:tcPr>
            <w:tcW w:w="42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6,045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8,238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13,236</w:t>
            </w:r>
          </w:p>
        </w:tc>
      </w:tr>
      <w:tr>
        <w:trPr>
          <w:trHeight w:val="33"/>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13,466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22,273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41,445</w:t>
            </w:r>
          </w:p>
        </w:tc>
      </w:tr>
      <w:tr>
        <w:trPr>
          <w:trHeight w:val="297"/>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6"/>
                <w:szCs w:val="16"/>
                <w:color w:val="auto"/>
              </w:rPr>
              <w:t>Foreign currency translation adjustments</w:t>
            </w: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(291)</w:t>
            </w:r>
          </w:p>
        </w:tc>
      </w:tr>
      <w:tr>
        <w:trPr>
          <w:trHeight w:val="33"/>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16,470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22,193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41,154</w:t>
            </w: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4"/>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share from 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0.52</w:t>
            </w: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0.49</w:t>
            </w:r>
          </w:p>
        </w:tc>
      </w:tr>
      <w:tr>
        <w:trPr>
          <w:trHeight w:val="237"/>
        </w:trPr>
        <w:tc>
          <w:tcPr>
            <w:tcW w:w="4240" w:type="dxa"/>
            <w:vAlign w:val="bottom"/>
          </w:tcPr>
          <w:p>
            <w:pPr>
              <w:ind w:left="2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Basic</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95,378,495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81,898,276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93,475,539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80,362,978</w:t>
            </w:r>
          </w:p>
        </w:tc>
      </w:tr>
      <w:tr>
        <w:trPr>
          <w:trHeight w:val="237"/>
        </w:trPr>
        <w:tc>
          <w:tcPr>
            <w:tcW w:w="4240" w:type="dxa"/>
            <w:vAlign w:val="bottom"/>
          </w:tcPr>
          <w:p>
            <w:pPr>
              <w:ind w:left="160"/>
              <w:spacing w:after="0"/>
              <w:rPr>
                <w:sz w:val="20"/>
                <w:szCs w:val="20"/>
                <w:color w:val="auto"/>
              </w:rPr>
            </w:pPr>
            <w:r>
              <w:rPr>
                <w:rFonts w:ascii="Arial" w:cs="Arial" w:eastAsia="Arial" w:hAnsi="Arial"/>
                <w:sz w:val="16"/>
                <w:szCs w:val="16"/>
                <w:color w:val="auto"/>
              </w:rPr>
              <w:t>Diluted</w:t>
            </w: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98,322,316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85,962,151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97,933,550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84,695,703</w:t>
            </w:r>
          </w:p>
        </w:tc>
      </w:tr>
      <w:tr>
        <w:trPr>
          <w:trHeight w:val="229"/>
        </w:trPr>
        <w:tc>
          <w:tcPr>
            <w:tcW w:w="8660" w:type="dxa"/>
            <w:vAlign w:val="bottom"/>
            <w:gridSpan w:val="10"/>
          </w:tcPr>
          <w:p>
            <w:pPr>
              <w:ind w:left="218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bl>
    <w:p>
      <w:pPr>
        <w:spacing w:after="0" w:line="1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40"/>
          </w:cols>
          <w:pgMar w:left="320" w:top="125" w:right="9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i w:val="1"/>
          <w:iCs w:val="1"/>
          <w:color w:val="auto"/>
        </w:rPr>
        <w:t>(Unaudited, dollars in thousands)</w:t>
      </w:r>
    </w:p>
    <w:p>
      <w:pPr>
        <w:spacing w:after="0" w:line="161"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7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gridSpan w:val="4"/>
          </w:tcPr>
          <w:p>
            <w:pPr>
              <w:jc w:val="right"/>
              <w:ind w:right="479"/>
              <w:spacing w:after="0"/>
              <w:rPr>
                <w:sz w:val="20"/>
                <w:szCs w:val="20"/>
                <w:color w:val="auto"/>
              </w:rPr>
            </w:pPr>
            <w:r>
              <w:rPr>
                <w:rFonts w:ascii="Arial" w:cs="Arial" w:eastAsia="Arial" w:hAnsi="Arial"/>
                <w:sz w:val="16"/>
                <w:szCs w:val="16"/>
                <w:color w:val="auto"/>
              </w:rPr>
              <w:t>Thirty-Nine Weeks Ended</w:t>
            </w:r>
          </w:p>
        </w:tc>
      </w:tr>
      <w:tr>
        <w:trPr>
          <w:trHeight w:val="46"/>
        </w:trPr>
        <w:tc>
          <w:tcPr>
            <w:tcW w:w="72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31"/>
        </w:trPr>
        <w:tc>
          <w:tcPr>
            <w:tcW w:w="7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color w:val="auto"/>
              </w:rPr>
              <w:t>May 30, 2020</w:t>
            </w:r>
          </w:p>
        </w:tc>
        <w:tc>
          <w:tcPr>
            <w:tcW w:w="160" w:type="dxa"/>
            <w:vAlign w:val="bottom"/>
          </w:tcPr>
          <w:p>
            <w:pPr>
              <w:spacing w:after="0"/>
              <w:rPr>
                <w:sz w:val="20"/>
                <w:szCs w:val="20"/>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color w:val="auto"/>
                <w:w w:val="96"/>
              </w:rPr>
              <w:t>May 25, 2019</w:t>
            </w:r>
          </w:p>
        </w:tc>
      </w:tr>
      <w:tr>
        <w:trPr>
          <w:trHeight w:val="33"/>
        </w:trPr>
        <w:tc>
          <w:tcPr>
            <w:tcW w:w="7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7200" w:type="dxa"/>
            <w:vAlign w:val="bottom"/>
          </w:tcPr>
          <w:p>
            <w:pPr>
              <w:ind w:left="6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22,273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41,445</w:t>
            </w:r>
          </w:p>
        </w:tc>
      </w:tr>
      <w:tr>
        <w:trPr>
          <w:trHeight w:val="33"/>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720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11,607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5,754</w:t>
            </w:r>
          </w:p>
        </w:tc>
      </w:tr>
      <w:tr>
        <w:trPr>
          <w:trHeight w:val="33"/>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Amortization of deferred financing costs and debt discount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1,001</w:t>
            </w:r>
          </w:p>
        </w:tc>
      </w:tr>
      <w:tr>
        <w:trPr>
          <w:trHeight w:val="237"/>
        </w:trPr>
        <w:tc>
          <w:tcPr>
            <w:tcW w:w="7200" w:type="dxa"/>
            <w:vAlign w:val="bottom"/>
          </w:tcPr>
          <w:p>
            <w:pPr>
              <w:ind w:left="240"/>
              <w:spacing w:after="0"/>
              <w:rPr>
                <w:sz w:val="20"/>
                <w:szCs w:val="20"/>
                <w:color w:val="auto"/>
              </w:rPr>
            </w:pPr>
            <w:r>
              <w:rPr>
                <w:rFonts w:ascii="Arial" w:cs="Arial" w:eastAsia="Arial" w:hAnsi="Arial"/>
                <w:sz w:val="16"/>
                <w:szCs w:val="16"/>
                <w:color w:val="auto"/>
              </w:rPr>
              <w:t>Stock compensation expense</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5,945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3,922</w:t>
            </w:r>
          </w:p>
        </w:tc>
      </w:tr>
      <w:tr>
        <w:trPr>
          <w:trHeight w:val="33"/>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Loss on fair value change of contingent consideration - TRA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r>
      <w:tr>
        <w:trPr>
          <w:trHeight w:val="237"/>
        </w:trPr>
        <w:tc>
          <w:tcPr>
            <w:tcW w:w="7200" w:type="dxa"/>
            <w:vAlign w:val="bottom"/>
          </w:tcPr>
          <w:p>
            <w:pPr>
              <w:ind w:left="240"/>
              <w:spacing w:after="0"/>
              <w:rPr>
                <w:sz w:val="20"/>
                <w:szCs w:val="20"/>
                <w:color w:val="auto"/>
              </w:rPr>
            </w:pPr>
            <w:r>
              <w:rPr>
                <w:rFonts w:ascii="Arial" w:cs="Arial" w:eastAsia="Arial" w:hAnsi="Arial"/>
                <w:sz w:val="16"/>
                <w:szCs w:val="16"/>
                <w:color w:val="auto"/>
              </w:rPr>
              <w:t>Gain on settlement of TRA liability</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(1,534)</w:t>
            </w:r>
          </w:p>
        </w:tc>
      </w:tr>
      <w:tr>
        <w:trPr>
          <w:trHeight w:val="33"/>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Unrealized (gain) loss on foreign currency transactions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w:t>
            </w:r>
          </w:p>
        </w:tc>
      </w:tr>
      <w:tr>
        <w:trPr>
          <w:trHeight w:val="237"/>
        </w:trPr>
        <w:tc>
          <w:tcPr>
            <w:tcW w:w="7200" w:type="dxa"/>
            <w:vAlign w:val="bottom"/>
          </w:tcPr>
          <w:p>
            <w:pPr>
              <w:ind w:left="24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8,055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9,841</w:t>
            </w:r>
          </w:p>
        </w:tc>
      </w:tr>
      <w:tr>
        <w:trPr>
          <w:trHeight w:val="33"/>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Loss on disposal of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37"/>
        </w:trPr>
        <w:tc>
          <w:tcPr>
            <w:tcW w:w="7200" w:type="dxa"/>
            <w:vAlign w:val="bottom"/>
          </w:tcPr>
          <w:p>
            <w:pPr>
              <w:ind w:left="240"/>
              <w:spacing w:after="0"/>
              <w:rPr>
                <w:sz w:val="20"/>
                <w:szCs w:val="20"/>
                <w:color w:val="auto"/>
              </w:rPr>
            </w:pPr>
            <w:r>
              <w:rPr>
                <w:rFonts w:ascii="Arial" w:cs="Arial" w:eastAsia="Arial" w:hAnsi="Arial"/>
                <w:sz w:val="16"/>
                <w:szCs w:val="16"/>
                <w:color w:val="auto"/>
              </w:rPr>
              <w:t>Amortization of operating lease right-of-use asset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20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 net of acquisition:</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(6,388)</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(11,700)</w:t>
            </w:r>
          </w:p>
        </w:tc>
      </w:tr>
      <w:tr>
        <w:trPr>
          <w:trHeight w:val="33"/>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(1,258)</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Other current assets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(253)</w:t>
            </w:r>
          </w:p>
        </w:tc>
      </w:tr>
      <w:tr>
        <w:trPr>
          <w:trHeight w:val="33"/>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6,284</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Accrued interest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896</w:t>
            </w:r>
          </w:p>
        </w:tc>
      </w:tr>
      <w:tr>
        <w:trPr>
          <w:trHeight w:val="33"/>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3,698</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Other assets and liabilities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33"/>
        </w:trPr>
        <w:tc>
          <w:tcPr>
            <w:tcW w:w="7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52,629</w:t>
            </w:r>
          </w:p>
        </w:tc>
      </w:tr>
      <w:tr>
        <w:trPr>
          <w:trHeight w:val="183"/>
        </w:trPr>
        <w:tc>
          <w:tcPr>
            <w:tcW w:w="7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r>
        <w:trPr>
          <w:trHeight w:val="250"/>
        </w:trPr>
        <w:tc>
          <w:tcPr>
            <w:tcW w:w="7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7200" w:type="dxa"/>
            <w:vAlign w:val="bottom"/>
          </w:tcPr>
          <w:p>
            <w:pPr>
              <w:ind w:left="160"/>
              <w:spacing w:after="0"/>
              <w:rPr>
                <w:sz w:val="20"/>
                <w:szCs w:val="20"/>
                <w:color w:val="auto"/>
              </w:rPr>
            </w:pPr>
            <w:r>
              <w:rPr>
                <w:rFonts w:ascii="Arial" w:cs="Arial" w:eastAsia="Arial" w:hAnsi="Arial"/>
                <w:sz w:val="16"/>
                <w:szCs w:val="16"/>
                <w:color w:val="auto"/>
              </w:rPr>
              <w:t>Purchases of property and equipment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(777)</w:t>
            </w:r>
          </w:p>
        </w:tc>
      </w:tr>
      <w:tr>
        <w:trPr>
          <w:trHeight w:val="33"/>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Issuance of note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200" w:type="dxa"/>
            <w:vAlign w:val="bottom"/>
          </w:tcPr>
          <w:p>
            <w:pPr>
              <w:ind w:left="160"/>
              <w:spacing w:after="0"/>
              <w:rPr>
                <w:sz w:val="20"/>
                <w:szCs w:val="20"/>
                <w:color w:val="auto"/>
              </w:rPr>
            </w:pPr>
            <w:r>
              <w:rPr>
                <w:rFonts w:ascii="Arial" w:cs="Arial" w:eastAsia="Arial" w:hAnsi="Arial"/>
                <w:sz w:val="16"/>
                <w:szCs w:val="16"/>
                <w:color w:val="auto"/>
              </w:rPr>
              <w:t>Acquisition of business, net of cash acquired</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(982,084)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Investments in intangible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200" w:type="dxa"/>
            <w:vAlign w:val="bottom"/>
          </w:tcPr>
          <w:p>
            <w:pPr>
              <w:ind w:left="6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(984,306)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(777)</w:t>
            </w:r>
          </w:p>
        </w:tc>
      </w:tr>
      <w:tr>
        <w:trPr>
          <w:trHeight w:val="33"/>
        </w:trPr>
        <w:tc>
          <w:tcPr>
            <w:tcW w:w="7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3"/>
        </w:trPr>
        <w:tc>
          <w:tcPr>
            <w:tcW w:w="7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37"/>
        </w:trPr>
        <w:tc>
          <w:tcPr>
            <w:tcW w:w="7200" w:type="dxa"/>
            <w:vAlign w:val="bottom"/>
          </w:tcPr>
          <w:p>
            <w:pPr>
              <w:ind w:left="60"/>
              <w:spacing w:after="0"/>
              <w:rPr>
                <w:sz w:val="20"/>
                <w:szCs w:val="20"/>
                <w:color w:val="auto"/>
              </w:rPr>
            </w:pPr>
            <w:r>
              <w:rPr>
                <w:rFonts w:ascii="Arial" w:cs="Arial" w:eastAsia="Arial" w:hAnsi="Arial"/>
                <w:sz w:val="16"/>
                <w:szCs w:val="16"/>
                <w:color w:val="auto"/>
              </w:rPr>
              <w:t>Financing activities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Proceeds from option exercises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w:t>
            </w:r>
          </w:p>
        </w:tc>
      </w:tr>
      <w:tr>
        <w:trPr>
          <w:trHeight w:val="237"/>
        </w:trPr>
        <w:tc>
          <w:tcPr>
            <w:tcW w:w="7200" w:type="dxa"/>
            <w:vAlign w:val="bottom"/>
          </w:tcPr>
          <w:p>
            <w:pPr>
              <w:ind w:left="160"/>
              <w:spacing w:after="0"/>
              <w:rPr>
                <w:sz w:val="20"/>
                <w:szCs w:val="20"/>
                <w:color w:val="auto"/>
              </w:rPr>
            </w:pPr>
            <w:r>
              <w:rPr>
                <w:rFonts w:ascii="Arial" w:cs="Arial" w:eastAsia="Arial" w:hAnsi="Arial"/>
                <w:sz w:val="16"/>
                <w:szCs w:val="16"/>
                <w:color w:val="auto"/>
              </w:rPr>
              <w:t>Tax payments related to issuance of restricted stock units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3"/>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Payments on finance lease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200" w:type="dxa"/>
            <w:vAlign w:val="bottom"/>
          </w:tcPr>
          <w:p>
            <w:pPr>
              <w:ind w:left="160"/>
              <w:spacing w:after="0"/>
              <w:rPr>
                <w:sz w:val="20"/>
                <w:szCs w:val="20"/>
                <w:color w:val="auto"/>
              </w:rPr>
            </w:pPr>
            <w:r>
              <w:rPr>
                <w:rFonts w:ascii="Arial" w:cs="Arial" w:eastAsia="Arial" w:hAnsi="Arial"/>
                <w:sz w:val="16"/>
                <w:szCs w:val="16"/>
                <w:color w:val="auto"/>
              </w:rPr>
              <w:t>Cash received from warrant exercises</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113,464</w:t>
            </w:r>
          </w:p>
        </w:tc>
      </w:tr>
      <w:tr>
        <w:trPr>
          <w:trHeight w:val="33"/>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Repurchase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(1,664)</w:t>
            </w:r>
          </w:p>
        </w:tc>
      </w:tr>
      <w:tr>
        <w:trPr>
          <w:trHeight w:val="237"/>
        </w:trPr>
        <w:tc>
          <w:tcPr>
            <w:tcW w:w="7200" w:type="dxa"/>
            <w:vAlign w:val="bottom"/>
          </w:tcPr>
          <w:p>
            <w:pPr>
              <w:ind w:left="160"/>
              <w:spacing w:after="0"/>
              <w:rPr>
                <w:sz w:val="20"/>
                <w:szCs w:val="20"/>
                <w:color w:val="auto"/>
              </w:rPr>
            </w:pPr>
            <w:r>
              <w:rPr>
                <w:rFonts w:ascii="Arial" w:cs="Arial" w:eastAsia="Arial" w:hAnsi="Arial"/>
                <w:sz w:val="16"/>
                <w:szCs w:val="16"/>
                <w:color w:val="auto"/>
              </w:rPr>
              <w:t>Settlement of TRA liability</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(26,468)</w:t>
            </w:r>
          </w:p>
        </w:tc>
      </w:tr>
      <w:tr>
        <w:trPr>
          <w:trHeight w:val="33"/>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Principal payments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r>
      <w:tr>
        <w:trPr>
          <w:trHeight w:val="237"/>
        </w:trPr>
        <w:tc>
          <w:tcPr>
            <w:tcW w:w="7200" w:type="dxa"/>
            <w:vAlign w:val="bottom"/>
          </w:tcPr>
          <w:p>
            <w:pPr>
              <w:ind w:left="160"/>
              <w:spacing w:after="0"/>
              <w:rPr>
                <w:sz w:val="20"/>
                <w:szCs w:val="20"/>
                <w:color w:val="auto"/>
              </w:rPr>
            </w:pPr>
            <w:r>
              <w:rPr>
                <w:rFonts w:ascii="Arial" w:cs="Arial" w:eastAsia="Arial" w:hAnsi="Arial"/>
                <w:sz w:val="16"/>
                <w:szCs w:val="16"/>
                <w:color w:val="auto"/>
              </w:rPr>
              <w:t>Proceeds from issuance of common stock</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352,542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Equity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200" w:type="dxa"/>
            <w:vAlign w:val="bottom"/>
          </w:tcPr>
          <w:p>
            <w:pPr>
              <w:ind w:left="160"/>
              <w:spacing w:after="0"/>
              <w:rPr>
                <w:sz w:val="20"/>
                <w:szCs w:val="20"/>
                <w:color w:val="auto"/>
              </w:rPr>
            </w:pPr>
            <w:r>
              <w:rPr>
                <w:rFonts w:ascii="Arial" w:cs="Arial" w:eastAsia="Arial" w:hAnsi="Arial"/>
                <w:sz w:val="16"/>
                <w:szCs w:val="16"/>
                <w:color w:val="auto"/>
              </w:rPr>
              <w:t>Proceeds from issuance of long-term debt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460,000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Proceeds from Revolving Credit Facility</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200" w:type="dxa"/>
            <w:vAlign w:val="bottom"/>
          </w:tcPr>
          <w:p>
            <w:pPr>
              <w:ind w:left="160"/>
              <w:spacing w:after="0"/>
              <w:rPr>
                <w:sz w:val="20"/>
                <w:szCs w:val="20"/>
                <w:color w:val="auto"/>
              </w:rPr>
            </w:pPr>
            <w:r>
              <w:rPr>
                <w:rFonts w:ascii="Arial" w:cs="Arial" w:eastAsia="Arial" w:hAnsi="Arial"/>
                <w:sz w:val="16"/>
                <w:szCs w:val="16"/>
                <w:color w:val="auto"/>
              </w:rPr>
              <w:t>Deferred financing costs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Net cash provided by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805,586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84,341</w:t>
            </w:r>
          </w:p>
        </w:tc>
      </w:tr>
      <w:tr>
        <w:trPr>
          <w:trHeight w:val="183"/>
        </w:trPr>
        <w:tc>
          <w:tcPr>
            <w:tcW w:w="7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r>
        <w:trPr>
          <w:trHeight w:val="250"/>
        </w:trPr>
        <w:tc>
          <w:tcPr>
            <w:tcW w:w="7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7200" w:type="dxa"/>
            <w:vAlign w:val="bottom"/>
          </w:tcPr>
          <w:p>
            <w:pPr>
              <w:ind w:left="160"/>
              <w:spacing w:after="0"/>
              <w:rPr>
                <w:sz w:val="20"/>
                <w:szCs w:val="20"/>
                <w:color w:val="auto"/>
              </w:rPr>
            </w:pPr>
            <w:r>
              <w:rPr>
                <w:rFonts w:ascii="Arial" w:cs="Arial" w:eastAsia="Arial" w:hAnsi="Arial"/>
                <w:sz w:val="16"/>
                <w:szCs w:val="16"/>
                <w:color w:val="auto"/>
              </w:rPr>
              <w:t>Net (decrease) increase in cash</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(154,620)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136,193</w:t>
            </w:r>
          </w:p>
        </w:tc>
      </w:tr>
      <w:tr>
        <w:trPr>
          <w:trHeight w:val="33"/>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Effect of exchange rate on cash</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w:t>
            </w:r>
          </w:p>
        </w:tc>
      </w:tr>
      <w:tr>
        <w:trPr>
          <w:trHeight w:val="237"/>
        </w:trPr>
        <w:tc>
          <w:tcPr>
            <w:tcW w:w="7200" w:type="dxa"/>
            <w:vAlign w:val="bottom"/>
          </w:tcPr>
          <w:p>
            <w:pPr>
              <w:ind w:left="160"/>
              <w:spacing w:after="0"/>
              <w:rPr>
                <w:sz w:val="20"/>
                <w:szCs w:val="20"/>
                <w:color w:val="auto"/>
              </w:rPr>
            </w:pPr>
            <w:r>
              <w:rPr>
                <w:rFonts w:ascii="Arial" w:cs="Arial" w:eastAsia="Arial" w:hAnsi="Arial"/>
                <w:sz w:val="16"/>
                <w:szCs w:val="16"/>
                <w:color w:val="auto"/>
              </w:rPr>
              <w:t>Cash at beginning of period</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266,341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111,971</w:t>
            </w:r>
          </w:p>
        </w:tc>
      </w:tr>
      <w:tr>
        <w:trPr>
          <w:trHeight w:val="33"/>
        </w:trPr>
        <w:tc>
          <w:tcPr>
            <w:tcW w:w="7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111,134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247,618</w:t>
            </w:r>
          </w:p>
        </w:tc>
      </w:tr>
      <w:tr>
        <w:trPr>
          <w:trHeight w:val="20"/>
        </w:trPr>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640"/>
          </w:cols>
          <w:pgMar w:left="320" w:top="125" w:right="939" w:bottom="177" w:gutter="0" w:footer="0" w:header="0"/>
        </w:sectPr>
      </w:pP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640"/>
          </w:cols>
          <w:pgMar w:left="320" w:top="125" w:right="939" w:bottom="177"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392"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7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gridSpan w:val="4"/>
          </w:tcPr>
          <w:p>
            <w:pPr>
              <w:jc w:val="right"/>
              <w:ind w:right="439"/>
              <w:spacing w:after="0"/>
              <w:rPr>
                <w:sz w:val="20"/>
                <w:szCs w:val="20"/>
                <w:color w:val="auto"/>
              </w:rPr>
            </w:pPr>
            <w:r>
              <w:rPr>
                <w:rFonts w:ascii="Arial" w:cs="Arial" w:eastAsia="Arial" w:hAnsi="Arial"/>
                <w:sz w:val="16"/>
                <w:szCs w:val="16"/>
                <w:color w:val="auto"/>
              </w:rPr>
              <w:t>Thirty-Nine Weeks Ended</w:t>
            </w:r>
          </w:p>
        </w:tc>
      </w:tr>
      <w:tr>
        <w:trPr>
          <w:trHeight w:val="47"/>
        </w:trPr>
        <w:tc>
          <w:tcPr>
            <w:tcW w:w="72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31"/>
        </w:trPr>
        <w:tc>
          <w:tcPr>
            <w:tcW w:w="7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May 30, 2020</w:t>
            </w:r>
          </w:p>
        </w:tc>
        <w:tc>
          <w:tcPr>
            <w:tcW w:w="16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w w:val="96"/>
              </w:rPr>
              <w:t>May 25, 2019</w:t>
            </w:r>
          </w:p>
        </w:tc>
      </w:tr>
      <w:tr>
        <w:trPr>
          <w:trHeight w:val="33"/>
        </w:trPr>
        <w:tc>
          <w:tcPr>
            <w:tcW w:w="7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7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Supplemental disclosures of cash flow information</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7240" w:type="dxa"/>
            <w:vAlign w:val="bottom"/>
          </w:tcPr>
          <w:p>
            <w:pPr>
              <w:ind w:left="160"/>
              <w:spacing w:after="0"/>
              <w:rPr>
                <w:sz w:val="20"/>
                <w:szCs w:val="20"/>
                <w:color w:val="auto"/>
              </w:rPr>
            </w:pPr>
            <w:r>
              <w:rPr>
                <w:rFonts w:ascii="Arial" w:cs="Arial" w:eastAsia="Arial" w:hAnsi="Arial"/>
                <w:sz w:val="16"/>
                <w:szCs w:val="16"/>
                <w:color w:val="auto"/>
              </w:rPr>
              <w:t>Cash paid for interest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21,976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8,136</w:t>
            </w:r>
          </w:p>
        </w:tc>
      </w:tr>
      <w:tr>
        <w:trPr>
          <w:trHeight w:val="33"/>
        </w:trPr>
        <w:tc>
          <w:tcPr>
            <w:tcW w:w="7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Cash paid for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3,759</w:t>
            </w:r>
          </w:p>
        </w:tc>
      </w:tr>
      <w:tr>
        <w:trPr>
          <w:trHeight w:val="237"/>
        </w:trPr>
        <w:tc>
          <w:tcPr>
            <w:tcW w:w="7240" w:type="dxa"/>
            <w:vAlign w:val="bottom"/>
          </w:tcPr>
          <w:p>
            <w:pPr>
              <w:ind w:left="20"/>
              <w:spacing w:after="0"/>
              <w:rPr>
                <w:sz w:val="20"/>
                <w:szCs w:val="20"/>
                <w:color w:val="auto"/>
              </w:rPr>
            </w:pPr>
            <w:r>
              <w:rPr>
                <w:rFonts w:ascii="Arial" w:cs="Arial" w:eastAsia="Arial" w:hAnsi="Arial"/>
                <w:sz w:val="16"/>
                <w:szCs w:val="16"/>
                <w:color w:val="auto"/>
              </w:rPr>
              <w:t>Non-cash investing and financing transactions</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7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lease right-of-use assets recognized at ASU No 2016-02 transition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240" w:type="dxa"/>
            <w:vAlign w:val="bottom"/>
          </w:tcPr>
          <w:p>
            <w:pPr>
              <w:ind w:left="160"/>
              <w:spacing w:after="0"/>
              <w:rPr>
                <w:sz w:val="20"/>
                <w:szCs w:val="20"/>
                <w:color w:val="auto"/>
              </w:rPr>
            </w:pPr>
            <w:r>
              <w:rPr>
                <w:rFonts w:ascii="Arial" w:cs="Arial" w:eastAsia="Arial" w:hAnsi="Arial"/>
                <w:sz w:val="16"/>
                <w:szCs w:val="16"/>
                <w:color w:val="auto"/>
              </w:rPr>
              <w:t>Finance lease right-of-use assets recognized at ASU No 2016-02 transition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1,185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lease right-of-use assets recognized after ASU No 2016-02 transition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240" w:type="dxa"/>
            <w:vAlign w:val="bottom"/>
          </w:tcPr>
          <w:p>
            <w:pPr>
              <w:ind w:left="160"/>
              <w:spacing w:after="0"/>
              <w:rPr>
                <w:sz w:val="20"/>
                <w:szCs w:val="20"/>
                <w:color w:val="auto"/>
              </w:rPr>
            </w:pPr>
            <w:r>
              <w:rPr>
                <w:rFonts w:ascii="Arial" w:cs="Arial" w:eastAsia="Arial" w:hAnsi="Arial"/>
                <w:sz w:val="16"/>
                <w:szCs w:val="16"/>
                <w:color w:val="auto"/>
              </w:rPr>
              <w:t>Non-cash additions to property and equipment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8680" w:type="dxa"/>
            <w:vAlign w:val="bottom"/>
            <w:gridSpan w:val="4"/>
          </w:tcPr>
          <w:p>
            <w:pPr>
              <w:ind w:left="218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bl>
    <w:p>
      <w:pPr>
        <w:spacing w:after="0" w:line="1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640"/>
          </w:cols>
          <w:pgMar w:left="320" w:top="125" w:right="9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i w:val="1"/>
          <w:iCs w:val="1"/>
          <w:color w:val="auto"/>
        </w:rPr>
        <w:t>(Unaudited, dollars in thousands, except share data)</w:t>
      </w:r>
    </w:p>
    <w:p>
      <w:pPr>
        <w:spacing w:after="0" w:line="395"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1640" w:type="dxa"/>
            <w:vAlign w:val="bottom"/>
          </w:tcPr>
          <w:p>
            <w:pPr>
              <w:spacing w:after="0"/>
              <w:rPr>
                <w:sz w:val="15"/>
                <w:szCs w:val="15"/>
                <w:color w:val="auto"/>
              </w:rPr>
            </w:pPr>
          </w:p>
        </w:tc>
        <w:tc>
          <w:tcPr>
            <w:tcW w:w="1820" w:type="dxa"/>
            <w:vAlign w:val="bottom"/>
            <w:gridSpan w:val="5"/>
          </w:tcPr>
          <w:p>
            <w:pPr>
              <w:ind w:left="420"/>
              <w:spacing w:after="0"/>
              <w:rPr>
                <w:sz w:val="20"/>
                <w:szCs w:val="20"/>
                <w:color w:val="auto"/>
              </w:rPr>
            </w:pPr>
            <w:r>
              <w:rPr>
                <w:rFonts w:ascii="Arial" w:cs="Arial" w:eastAsia="Arial" w:hAnsi="Arial"/>
                <w:sz w:val="14"/>
                <w:szCs w:val="14"/>
                <w:color w:val="auto"/>
              </w:rPr>
              <w:t>Common Stock</w:t>
            </w:r>
          </w:p>
        </w:tc>
        <w:tc>
          <w:tcPr>
            <w:tcW w:w="1700" w:type="dxa"/>
            <w:vAlign w:val="bottom"/>
            <w:gridSpan w:val="5"/>
          </w:tcPr>
          <w:p>
            <w:pPr>
              <w:ind w:left="380"/>
              <w:spacing w:after="0"/>
              <w:rPr>
                <w:sz w:val="20"/>
                <w:szCs w:val="20"/>
                <w:color w:val="auto"/>
              </w:rPr>
            </w:pPr>
            <w:r>
              <w:rPr>
                <w:rFonts w:ascii="Arial" w:cs="Arial" w:eastAsia="Arial" w:hAnsi="Arial"/>
                <w:sz w:val="14"/>
                <w:szCs w:val="14"/>
                <w:color w:val="auto"/>
              </w:rPr>
              <w:t>Treasury Stock</w:t>
            </w:r>
          </w:p>
        </w:tc>
        <w:tc>
          <w:tcPr>
            <w:tcW w:w="140" w:type="dxa"/>
            <w:vAlign w:val="bottom"/>
          </w:tcPr>
          <w:p>
            <w:pPr>
              <w:spacing w:after="0"/>
              <w:rPr>
                <w:sz w:val="15"/>
                <w:szCs w:val="15"/>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5"/>
                <w:szCs w:val="15"/>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color w:val="auto"/>
              </w:rPr>
              <w:t>Retained Earnings</w:t>
            </w:r>
          </w:p>
        </w:tc>
        <w:tc>
          <w:tcPr>
            <w:tcW w:w="120" w:type="dxa"/>
            <w:vAlign w:val="bottom"/>
          </w:tcPr>
          <w:p>
            <w:pPr>
              <w:spacing w:after="0"/>
              <w:rPr>
                <w:sz w:val="15"/>
                <w:szCs w:val="15"/>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3"/>
              </w:rPr>
              <w:t>Accumulated Other</w:t>
            </w:r>
          </w:p>
        </w:tc>
        <w:tc>
          <w:tcPr>
            <w:tcW w:w="220" w:type="dxa"/>
            <w:vAlign w:val="bottom"/>
          </w:tcPr>
          <w:p>
            <w:pPr>
              <w:spacing w:after="0"/>
              <w:rPr>
                <w:sz w:val="15"/>
                <w:szCs w:val="15"/>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46"/>
        </w:trPr>
        <w:tc>
          <w:tcPr>
            <w:tcW w:w="164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1640" w:type="dxa"/>
            <w:vAlign w:val="bottom"/>
          </w:tcPr>
          <w:p>
            <w:pPr>
              <w:spacing w:after="0"/>
              <w:rPr>
                <w:sz w:val="7"/>
                <w:szCs w:val="7"/>
                <w:color w:val="auto"/>
              </w:rPr>
            </w:pP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7"/>
                <w:szCs w:val="7"/>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color w:val="auto"/>
              </w:rPr>
              <w:t>Amount</w:t>
            </w: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7"/>
                <w:szCs w:val="7"/>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auto"/>
              </w:rPr>
              <w:t>Amount</w:t>
            </w:r>
          </w:p>
        </w:tc>
        <w:tc>
          <w:tcPr>
            <w:tcW w:w="1100" w:type="dxa"/>
            <w:vAlign w:val="bottom"/>
            <w:gridSpan w:val="3"/>
            <w:vMerge w:val="restart"/>
          </w:tcPr>
          <w:p>
            <w:pPr>
              <w:jc w:val="center"/>
              <w:ind w:right="100"/>
              <w:spacing w:after="0" w:line="150" w:lineRule="exact"/>
              <w:rPr>
                <w:sz w:val="20"/>
                <w:szCs w:val="20"/>
                <w:color w:val="auto"/>
              </w:rPr>
            </w:pPr>
            <w:r>
              <w:rPr>
                <w:rFonts w:ascii="Arial" w:cs="Arial" w:eastAsia="Arial" w:hAnsi="Arial"/>
                <w:sz w:val="14"/>
                <w:szCs w:val="14"/>
                <w:color w:val="auto"/>
                <w:w w:val="95"/>
              </w:rPr>
              <w:t>Paid-In Capital</w:t>
            </w:r>
          </w:p>
        </w:tc>
        <w:tc>
          <w:tcPr>
            <w:tcW w:w="14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gridSpan w:val="2"/>
            <w:vMerge w:val="restart"/>
          </w:tcPr>
          <w:p>
            <w:pPr>
              <w:jc w:val="center"/>
              <w:ind w:right="220"/>
              <w:spacing w:after="0" w:line="150" w:lineRule="exact"/>
              <w:rPr>
                <w:sz w:val="20"/>
                <w:szCs w:val="20"/>
                <w:color w:val="auto"/>
              </w:rPr>
            </w:pPr>
            <w:r>
              <w:rPr>
                <w:rFonts w:ascii="Arial" w:cs="Arial" w:eastAsia="Arial" w:hAnsi="Arial"/>
                <w:sz w:val="14"/>
                <w:szCs w:val="14"/>
                <w:color w:val="auto"/>
                <w:w w:val="91"/>
              </w:rPr>
              <w:t>Comprehensive Loss</w:t>
            </w:r>
          </w:p>
        </w:tc>
        <w:tc>
          <w:tcPr>
            <w:tcW w:w="2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6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6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164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164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Balance at August 31,</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81,973,284</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820</w:t>
            </w: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98,234</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(2,145)</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733,775</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105,830</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(836)</w:t>
            </w:r>
          </w:p>
        </w:tc>
        <w:tc>
          <w:tcPr>
            <w:tcW w:w="10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837,444</w:t>
            </w:r>
          </w:p>
        </w:tc>
        <w:tc>
          <w:tcPr>
            <w:tcW w:w="0" w:type="dxa"/>
            <w:vAlign w:val="bottom"/>
          </w:tcPr>
          <w:p>
            <w:pPr>
              <w:spacing w:after="0"/>
              <w:rPr>
                <w:sz w:val="1"/>
                <w:szCs w:val="1"/>
                <w:color w:val="auto"/>
              </w:rPr>
            </w:pPr>
          </w:p>
        </w:tc>
      </w:tr>
      <w:tr>
        <w:trPr>
          <w:trHeight w:val="181"/>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12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13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40" w:type="dxa"/>
            <w:vAlign w:val="bottom"/>
          </w:tcPr>
          <w:p>
            <w:pPr>
              <w:ind w:left="160"/>
              <w:spacing w:after="0"/>
              <w:rPr>
                <w:sz w:val="20"/>
                <w:szCs w:val="20"/>
                <w:color w:val="auto"/>
              </w:rPr>
            </w:pPr>
            <w:r>
              <w:rPr>
                <w:rFonts w:ascii="Arial" w:cs="Arial" w:eastAsia="Arial" w:hAnsi="Arial"/>
                <w:sz w:val="14"/>
                <w:szCs w:val="14"/>
                <w:color w:val="auto"/>
              </w:rPr>
              <w:t>Net loss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(4,793)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(4,793)</w:t>
            </w:r>
          </w:p>
        </w:tc>
        <w:tc>
          <w:tcPr>
            <w:tcW w:w="0" w:type="dxa"/>
            <w:vAlign w:val="bottom"/>
          </w:tcPr>
          <w:p>
            <w:pPr>
              <w:spacing w:after="0"/>
              <w:rPr>
                <w:sz w:val="1"/>
                <w:szCs w:val="1"/>
                <w:color w:val="auto"/>
              </w:rPr>
            </w:pPr>
          </w:p>
        </w:tc>
      </w:tr>
      <w:tr>
        <w:trPr>
          <w:trHeight w:val="163"/>
        </w:trPr>
        <w:tc>
          <w:tcPr>
            <w:tcW w:w="1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Stock-based</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compensation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1,673</w:t>
            </w:r>
          </w:p>
        </w:tc>
        <w:tc>
          <w:tcPr>
            <w:tcW w:w="0" w:type="dxa"/>
            <w:vAlign w:val="bottom"/>
          </w:tcPr>
          <w:p>
            <w:pPr>
              <w:spacing w:after="0"/>
              <w:rPr>
                <w:sz w:val="1"/>
                <w:szCs w:val="1"/>
                <w:color w:val="auto"/>
              </w:rPr>
            </w:pPr>
          </w:p>
        </w:tc>
      </w:tr>
      <w:tr>
        <w:trPr>
          <w:trHeight w:val="264"/>
        </w:trPr>
        <w:tc>
          <w:tcPr>
            <w:tcW w:w="1640" w:type="dxa"/>
            <w:vAlign w:val="bottom"/>
          </w:tcPr>
          <w:p>
            <w:pPr>
              <w:ind w:left="160"/>
              <w:spacing w:after="0"/>
              <w:rPr>
                <w:sz w:val="20"/>
                <w:szCs w:val="20"/>
                <w:color w:val="auto"/>
              </w:rPr>
            </w:pPr>
            <w:r>
              <w:rPr>
                <w:rFonts w:ascii="Arial" w:cs="Arial" w:eastAsia="Arial" w:hAnsi="Arial"/>
                <w:sz w:val="14"/>
                <w:szCs w:val="14"/>
                <w:color w:val="auto"/>
              </w:rPr>
              <w:t>Public equity offering</w:t>
            </w:r>
          </w:p>
        </w:tc>
        <w:tc>
          <w:tcPr>
            <w:tcW w:w="860" w:type="dxa"/>
            <w:vAlign w:val="bottom"/>
          </w:tcPr>
          <w:p>
            <w:pPr>
              <w:jc w:val="right"/>
              <w:spacing w:after="0"/>
              <w:rPr>
                <w:sz w:val="20"/>
                <w:szCs w:val="20"/>
                <w:color w:val="auto"/>
              </w:rPr>
            </w:pPr>
            <w:r>
              <w:rPr>
                <w:rFonts w:ascii="Arial" w:cs="Arial" w:eastAsia="Arial" w:hAnsi="Arial"/>
                <w:sz w:val="14"/>
                <w:szCs w:val="14"/>
                <w:color w:val="auto"/>
              </w:rPr>
              <w:t>13,379,205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349,085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349,219</w:t>
            </w:r>
          </w:p>
        </w:tc>
        <w:tc>
          <w:tcPr>
            <w:tcW w:w="0" w:type="dxa"/>
            <w:vAlign w:val="bottom"/>
          </w:tcPr>
          <w:p>
            <w:pPr>
              <w:spacing w:after="0"/>
              <w:rPr>
                <w:sz w:val="1"/>
                <w:szCs w:val="1"/>
                <w:color w:val="auto"/>
              </w:rPr>
            </w:pPr>
          </w:p>
        </w:tc>
      </w:tr>
      <w:tr>
        <w:trPr>
          <w:trHeight w:val="163"/>
        </w:trPr>
        <w:tc>
          <w:tcPr>
            <w:tcW w:w="1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Shares issued upon</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vesting of restricted</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stock units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46,911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57"/>
        </w:trPr>
        <w:tc>
          <w:tcPr>
            <w:tcW w:w="1640" w:type="dxa"/>
            <w:vAlign w:val="bottom"/>
          </w:tcPr>
          <w:p>
            <w:pPr>
              <w:ind w:left="160"/>
              <w:spacing w:after="0" w:line="157" w:lineRule="exact"/>
              <w:rPr>
                <w:sz w:val="20"/>
                <w:szCs w:val="20"/>
                <w:color w:val="auto"/>
              </w:rPr>
            </w:pPr>
            <w:r>
              <w:rPr>
                <w:rFonts w:ascii="Arial" w:cs="Arial" w:eastAsia="Arial" w:hAnsi="Arial"/>
                <w:sz w:val="14"/>
                <w:szCs w:val="14"/>
                <w:color w:val="auto"/>
              </w:rPr>
              <w:t>Exercise of options to</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40" w:type="dxa"/>
            <w:vAlign w:val="bottom"/>
          </w:tcPr>
          <w:p>
            <w:pPr>
              <w:ind w:left="160"/>
              <w:spacing w:after="0" w:line="149" w:lineRule="exact"/>
              <w:rPr>
                <w:sz w:val="20"/>
                <w:szCs w:val="20"/>
                <w:color w:val="auto"/>
              </w:rPr>
            </w:pPr>
            <w:r>
              <w:rPr>
                <w:rFonts w:ascii="Arial" w:cs="Arial" w:eastAsia="Arial" w:hAnsi="Arial"/>
                <w:sz w:val="14"/>
                <w:szCs w:val="14"/>
                <w:color w:val="auto"/>
              </w:rPr>
              <w:t>purchase common</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640" w:type="dxa"/>
            <w:vAlign w:val="bottom"/>
          </w:tcPr>
          <w:p>
            <w:pPr>
              <w:ind w:left="160"/>
              <w:spacing w:after="0"/>
              <w:rPr>
                <w:sz w:val="20"/>
                <w:szCs w:val="20"/>
                <w:color w:val="auto"/>
              </w:rPr>
            </w:pPr>
            <w:r>
              <w:rPr>
                <w:rFonts w:ascii="Arial" w:cs="Arial" w:eastAsia="Arial" w:hAnsi="Arial"/>
                <w:sz w:val="14"/>
                <w:szCs w:val="14"/>
                <w:color w:val="auto"/>
              </w:rPr>
              <w:t>stock</w:t>
            </w:r>
          </w:p>
        </w:tc>
        <w:tc>
          <w:tcPr>
            <w:tcW w:w="860" w:type="dxa"/>
            <w:vAlign w:val="bottom"/>
          </w:tcPr>
          <w:p>
            <w:pPr>
              <w:jc w:val="right"/>
              <w:spacing w:after="0"/>
              <w:rPr>
                <w:sz w:val="20"/>
                <w:szCs w:val="20"/>
                <w:color w:val="auto"/>
              </w:rPr>
            </w:pPr>
            <w:r>
              <w:rPr>
                <w:rFonts w:ascii="Arial" w:cs="Arial" w:eastAsia="Arial" w:hAnsi="Arial"/>
                <w:sz w:val="14"/>
                <w:szCs w:val="14"/>
                <w:color w:val="auto"/>
              </w:rPr>
              <w:t>17,372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43"/>
        </w:trPr>
        <w:tc>
          <w:tcPr>
            <w:tcW w:w="164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Balance at November 30,</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95,416,772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954</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98,234</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(2,145)</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1,084,671</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101,037</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(836)</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1,183,681</w:t>
            </w:r>
          </w:p>
        </w:tc>
        <w:tc>
          <w:tcPr>
            <w:tcW w:w="0" w:type="dxa"/>
            <w:vAlign w:val="bottom"/>
          </w:tcPr>
          <w:p>
            <w:pPr>
              <w:spacing w:after="0"/>
              <w:rPr>
                <w:sz w:val="1"/>
                <w:szCs w:val="1"/>
                <w:color w:val="auto"/>
              </w:rPr>
            </w:pPr>
          </w:p>
        </w:tc>
      </w:tr>
      <w:tr>
        <w:trPr>
          <w:trHeight w:val="181"/>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12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13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640" w:type="dxa"/>
            <w:vAlign w:val="bottom"/>
          </w:tcPr>
          <w:p>
            <w:pPr>
              <w:ind w:left="160"/>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10,657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10,657</w:t>
            </w:r>
          </w:p>
        </w:tc>
        <w:tc>
          <w:tcPr>
            <w:tcW w:w="0" w:type="dxa"/>
            <w:vAlign w:val="bottom"/>
          </w:tcPr>
          <w:p>
            <w:pPr>
              <w:spacing w:after="0"/>
              <w:rPr>
                <w:sz w:val="1"/>
                <w:szCs w:val="1"/>
                <w:color w:val="auto"/>
              </w:rPr>
            </w:pPr>
          </w:p>
        </w:tc>
      </w:tr>
      <w:tr>
        <w:trPr>
          <w:trHeight w:val="163"/>
        </w:trPr>
        <w:tc>
          <w:tcPr>
            <w:tcW w:w="1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Stock-based</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compensation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2,122</w:t>
            </w:r>
          </w:p>
        </w:tc>
        <w:tc>
          <w:tcPr>
            <w:tcW w:w="0" w:type="dxa"/>
            <w:vAlign w:val="bottom"/>
          </w:tcPr>
          <w:p>
            <w:pPr>
              <w:spacing w:after="0"/>
              <w:rPr>
                <w:sz w:val="1"/>
                <w:szCs w:val="1"/>
                <w:color w:val="auto"/>
              </w:rPr>
            </w:pPr>
          </w:p>
        </w:tc>
      </w:tr>
      <w:tr>
        <w:trPr>
          <w:trHeight w:val="157"/>
        </w:trPr>
        <w:tc>
          <w:tcPr>
            <w:tcW w:w="1640" w:type="dxa"/>
            <w:vAlign w:val="bottom"/>
          </w:tcPr>
          <w:p>
            <w:pPr>
              <w:ind w:left="160"/>
              <w:spacing w:after="0" w:line="157" w:lineRule="exact"/>
              <w:rPr>
                <w:sz w:val="20"/>
                <w:szCs w:val="20"/>
                <w:color w:val="auto"/>
              </w:rPr>
            </w:pPr>
            <w:r>
              <w:rPr>
                <w:rFonts w:ascii="Arial" w:cs="Arial" w:eastAsia="Arial" w:hAnsi="Arial"/>
                <w:sz w:val="14"/>
                <w:szCs w:val="14"/>
                <w:color w:val="auto"/>
              </w:rPr>
              <w:t>Foreign currency</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40" w:type="dxa"/>
            <w:vAlign w:val="bottom"/>
          </w:tcPr>
          <w:p>
            <w:pPr>
              <w:ind w:left="160"/>
              <w:spacing w:after="0"/>
              <w:rPr>
                <w:sz w:val="20"/>
                <w:szCs w:val="20"/>
                <w:color w:val="auto"/>
              </w:rPr>
            </w:pPr>
            <w:r>
              <w:rPr>
                <w:rFonts w:ascii="Arial" w:cs="Arial" w:eastAsia="Arial" w:hAnsi="Arial"/>
                <w:sz w:val="14"/>
                <w:szCs w:val="14"/>
                <w:color w:val="auto"/>
              </w:rPr>
              <w:t>translation adjustments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63"/>
        </w:trPr>
        <w:tc>
          <w:tcPr>
            <w:tcW w:w="1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Shares issued upon</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vesting of restricted</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stock units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7"/>
        </w:trPr>
        <w:tc>
          <w:tcPr>
            <w:tcW w:w="1640" w:type="dxa"/>
            <w:vAlign w:val="bottom"/>
          </w:tcPr>
          <w:p>
            <w:pPr>
              <w:ind w:left="160"/>
              <w:spacing w:after="0" w:line="157" w:lineRule="exact"/>
              <w:rPr>
                <w:sz w:val="20"/>
                <w:szCs w:val="20"/>
                <w:color w:val="auto"/>
              </w:rPr>
            </w:pPr>
            <w:r>
              <w:rPr>
                <w:rFonts w:ascii="Arial" w:cs="Arial" w:eastAsia="Arial" w:hAnsi="Arial"/>
                <w:sz w:val="14"/>
                <w:szCs w:val="14"/>
                <w:color w:val="auto"/>
              </w:rPr>
              <w:t>Exercise of options to</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40" w:type="dxa"/>
            <w:vAlign w:val="bottom"/>
          </w:tcPr>
          <w:p>
            <w:pPr>
              <w:ind w:left="160"/>
              <w:spacing w:after="0" w:line="149" w:lineRule="exact"/>
              <w:rPr>
                <w:sz w:val="20"/>
                <w:szCs w:val="20"/>
                <w:color w:val="auto"/>
              </w:rPr>
            </w:pPr>
            <w:r>
              <w:rPr>
                <w:rFonts w:ascii="Arial" w:cs="Arial" w:eastAsia="Arial" w:hAnsi="Arial"/>
                <w:sz w:val="14"/>
                <w:szCs w:val="14"/>
                <w:color w:val="auto"/>
              </w:rPr>
              <w:t>purchase common</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640" w:type="dxa"/>
            <w:vAlign w:val="bottom"/>
          </w:tcPr>
          <w:p>
            <w:pPr>
              <w:ind w:left="160"/>
              <w:spacing w:after="0"/>
              <w:rPr>
                <w:sz w:val="20"/>
                <w:szCs w:val="20"/>
                <w:color w:val="auto"/>
              </w:rPr>
            </w:pPr>
            <w:r>
              <w:rPr>
                <w:rFonts w:ascii="Arial" w:cs="Arial" w:eastAsia="Arial" w:hAnsi="Arial"/>
                <w:sz w:val="14"/>
                <w:szCs w:val="14"/>
                <w:color w:val="auto"/>
              </w:rPr>
              <w:t>stock</w:t>
            </w:r>
          </w:p>
        </w:tc>
        <w:tc>
          <w:tcPr>
            <w:tcW w:w="860" w:type="dxa"/>
            <w:vAlign w:val="bottom"/>
          </w:tcPr>
          <w:p>
            <w:pPr>
              <w:jc w:val="right"/>
              <w:spacing w:after="0"/>
              <w:rPr>
                <w:sz w:val="20"/>
                <w:szCs w:val="20"/>
                <w:color w:val="auto"/>
              </w:rPr>
            </w:pPr>
            <w:r>
              <w:rPr>
                <w:rFonts w:ascii="Arial" w:cs="Arial" w:eastAsia="Arial" w:hAnsi="Arial"/>
                <w:sz w:val="14"/>
                <w:szCs w:val="14"/>
                <w:color w:val="auto"/>
              </w:rPr>
              <w:t>58,994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143"/>
        </w:trPr>
        <w:tc>
          <w:tcPr>
            <w:tcW w:w="164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Balance at February 29,</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95,476,537</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955</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98,234</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(2,145)</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1,087,506</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111,694</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(977)</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1,197,033</w:t>
            </w:r>
          </w:p>
        </w:tc>
        <w:tc>
          <w:tcPr>
            <w:tcW w:w="0" w:type="dxa"/>
            <w:vAlign w:val="bottom"/>
          </w:tcPr>
          <w:p>
            <w:pPr>
              <w:spacing w:after="0"/>
              <w:rPr>
                <w:sz w:val="1"/>
                <w:szCs w:val="1"/>
                <w:color w:val="auto"/>
              </w:rPr>
            </w:pPr>
          </w:p>
        </w:tc>
      </w:tr>
      <w:tr>
        <w:trPr>
          <w:trHeight w:val="181"/>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12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13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40" w:type="dxa"/>
            <w:vAlign w:val="bottom"/>
          </w:tcPr>
          <w:p>
            <w:pPr>
              <w:ind w:left="160"/>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16,409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16,409</w:t>
            </w:r>
          </w:p>
        </w:tc>
        <w:tc>
          <w:tcPr>
            <w:tcW w:w="0" w:type="dxa"/>
            <w:vAlign w:val="bottom"/>
          </w:tcPr>
          <w:p>
            <w:pPr>
              <w:spacing w:after="0"/>
              <w:rPr>
                <w:sz w:val="1"/>
                <w:szCs w:val="1"/>
                <w:color w:val="auto"/>
              </w:rPr>
            </w:pPr>
          </w:p>
        </w:tc>
      </w:tr>
      <w:tr>
        <w:trPr>
          <w:trHeight w:val="163"/>
        </w:trPr>
        <w:tc>
          <w:tcPr>
            <w:tcW w:w="1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Stock-based</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compensation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2,150</w:t>
            </w:r>
          </w:p>
        </w:tc>
        <w:tc>
          <w:tcPr>
            <w:tcW w:w="0" w:type="dxa"/>
            <w:vAlign w:val="bottom"/>
          </w:tcPr>
          <w:p>
            <w:pPr>
              <w:spacing w:after="0"/>
              <w:rPr>
                <w:sz w:val="1"/>
                <w:szCs w:val="1"/>
                <w:color w:val="auto"/>
              </w:rPr>
            </w:pPr>
          </w:p>
        </w:tc>
      </w:tr>
      <w:tr>
        <w:trPr>
          <w:trHeight w:val="157"/>
        </w:trPr>
        <w:tc>
          <w:tcPr>
            <w:tcW w:w="1640" w:type="dxa"/>
            <w:vAlign w:val="bottom"/>
          </w:tcPr>
          <w:p>
            <w:pPr>
              <w:ind w:left="160"/>
              <w:spacing w:after="0" w:line="157" w:lineRule="exact"/>
              <w:rPr>
                <w:sz w:val="20"/>
                <w:szCs w:val="20"/>
                <w:color w:val="auto"/>
              </w:rPr>
            </w:pPr>
            <w:r>
              <w:rPr>
                <w:rFonts w:ascii="Arial" w:cs="Arial" w:eastAsia="Arial" w:hAnsi="Arial"/>
                <w:sz w:val="14"/>
                <w:szCs w:val="14"/>
                <w:color w:val="auto"/>
              </w:rPr>
              <w:t>Foreign currency</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40" w:type="dxa"/>
            <w:vAlign w:val="bottom"/>
          </w:tcPr>
          <w:p>
            <w:pPr>
              <w:ind w:left="160"/>
              <w:spacing w:after="0"/>
              <w:rPr>
                <w:sz w:val="20"/>
                <w:szCs w:val="20"/>
                <w:color w:val="auto"/>
              </w:rPr>
            </w:pPr>
            <w:r>
              <w:rPr>
                <w:rFonts w:ascii="Arial" w:cs="Arial" w:eastAsia="Arial" w:hAnsi="Arial"/>
                <w:sz w:val="14"/>
                <w:szCs w:val="14"/>
                <w:color w:val="auto"/>
              </w:rPr>
              <w:t>translation adjustments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63"/>
        </w:trPr>
        <w:tc>
          <w:tcPr>
            <w:tcW w:w="1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Shares issued upon</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vesting of restricted</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stock units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42"/>
        </w:trPr>
        <w:tc>
          <w:tcPr>
            <w:tcW w:w="1640" w:type="dxa"/>
            <w:vAlign w:val="bottom"/>
          </w:tcPr>
          <w:p>
            <w:pPr>
              <w:ind w:left="20"/>
              <w:spacing w:after="0"/>
              <w:rPr>
                <w:sz w:val="20"/>
                <w:szCs w:val="20"/>
                <w:color w:val="auto"/>
              </w:rPr>
            </w:pPr>
            <w:r>
              <w:rPr>
                <w:rFonts w:ascii="Arial" w:cs="Arial" w:eastAsia="Arial" w:hAnsi="Arial"/>
                <w:sz w:val="14"/>
                <w:szCs w:val="14"/>
                <w:color w:val="auto"/>
              </w:rPr>
              <w:t>Balance at May 30, 2020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95,476,860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955</w:t>
            </w:r>
          </w:p>
        </w:tc>
        <w:tc>
          <w:tcPr>
            <w:tcW w:w="10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98,234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(2,145)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1,089,652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128,103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(916)</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1,215,649</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00"/>
          </w:cols>
          <w:pgMar w:left="320" w:top="125" w:right="77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3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820" w:type="dxa"/>
            <w:vAlign w:val="bottom"/>
            <w:gridSpan w:val="5"/>
          </w:tcPr>
          <w:p>
            <w:pPr>
              <w:ind w:left="400"/>
              <w:spacing w:after="0"/>
              <w:rPr>
                <w:sz w:val="20"/>
                <w:szCs w:val="20"/>
                <w:color w:val="auto"/>
              </w:rPr>
            </w:pPr>
            <w:r>
              <w:rPr>
                <w:rFonts w:ascii="Arial" w:cs="Arial" w:eastAsia="Arial" w:hAnsi="Arial"/>
                <w:sz w:val="14"/>
                <w:szCs w:val="14"/>
                <w:b w:val="1"/>
                <w:bCs w:val="1"/>
                <w:color w:val="auto"/>
              </w:rPr>
              <w:t>Common Stock</w:t>
            </w:r>
          </w:p>
        </w:tc>
        <w:tc>
          <w:tcPr>
            <w:tcW w:w="1700" w:type="dxa"/>
            <w:vAlign w:val="bottom"/>
            <w:gridSpan w:val="5"/>
          </w:tcPr>
          <w:p>
            <w:pPr>
              <w:ind w:left="34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Accumulated Other</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7"/>
                <w:szCs w:val="7"/>
                <w:color w:val="auto"/>
              </w:rPr>
            </w:pPr>
          </w:p>
        </w:tc>
        <w:tc>
          <w:tcPr>
            <w:tcW w:w="136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7"/>
                <w:szCs w:val="7"/>
                <w:color w:val="auto"/>
              </w:rPr>
            </w:pPr>
          </w:p>
        </w:tc>
        <w:tc>
          <w:tcPr>
            <w:tcW w:w="14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7"/>
                <w:szCs w:val="7"/>
                <w:color w:val="auto"/>
              </w:rPr>
            </w:pPr>
          </w:p>
        </w:tc>
        <w:tc>
          <w:tcPr>
            <w:tcW w:w="780" w:type="dxa"/>
            <w:vAlign w:val="bottom"/>
            <w:vMerge w:val="restart"/>
          </w:tcPr>
          <w:p>
            <w:pPr>
              <w:jc w:val="right"/>
              <w:ind w:right="268"/>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8"/>
        </w:trPr>
        <w:tc>
          <w:tcPr>
            <w:tcW w:w="1680" w:type="dxa"/>
            <w:vAlign w:val="bottom"/>
          </w:tcPr>
          <w:p>
            <w:pPr>
              <w:spacing w:after="0"/>
              <w:rPr>
                <w:sz w:val="3"/>
                <w:szCs w:val="3"/>
                <w:color w:val="auto"/>
              </w:rPr>
            </w:pP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3"/>
                <w:szCs w:val="3"/>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6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Income (Loss)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6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168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Balance at August 25,</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70,605,675</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706</w:t>
            </w: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1"/>
                <w:szCs w:val="11"/>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614,399</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58,294</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(798)</w:t>
            </w:r>
          </w:p>
        </w:tc>
        <w:tc>
          <w:tcPr>
            <w:tcW w:w="10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672,601</w:t>
            </w:r>
          </w:p>
        </w:tc>
        <w:tc>
          <w:tcPr>
            <w:tcW w:w="0" w:type="dxa"/>
            <w:vAlign w:val="bottom"/>
          </w:tcPr>
          <w:p>
            <w:pPr>
              <w:spacing w:after="0"/>
              <w:rPr>
                <w:sz w:val="1"/>
                <w:szCs w:val="1"/>
                <w:color w:val="auto"/>
              </w:rPr>
            </w:pPr>
          </w:p>
        </w:tc>
      </w:tr>
      <w:tr>
        <w:trPr>
          <w:trHeight w:val="181"/>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vMerge w:val="continue"/>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2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13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80" w:type="dxa"/>
            <w:vAlign w:val="bottom"/>
          </w:tcPr>
          <w:p>
            <w:pPr>
              <w:ind w:left="160"/>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15,257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15,257</w:t>
            </w:r>
          </w:p>
        </w:tc>
        <w:tc>
          <w:tcPr>
            <w:tcW w:w="0" w:type="dxa"/>
            <w:vAlign w:val="bottom"/>
          </w:tcPr>
          <w:p>
            <w:pPr>
              <w:spacing w:after="0"/>
              <w:rPr>
                <w:sz w:val="1"/>
                <w:szCs w:val="1"/>
                <w:color w:val="auto"/>
              </w:rPr>
            </w:pPr>
          </w:p>
        </w:tc>
      </w:tr>
      <w:tr>
        <w:trPr>
          <w:trHeight w:val="163"/>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Stock-based</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compensation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1,061</w:t>
            </w:r>
          </w:p>
        </w:tc>
        <w:tc>
          <w:tcPr>
            <w:tcW w:w="0" w:type="dxa"/>
            <w:vAlign w:val="bottom"/>
          </w:tcPr>
          <w:p>
            <w:pPr>
              <w:spacing w:after="0"/>
              <w:rPr>
                <w:sz w:val="1"/>
                <w:szCs w:val="1"/>
                <w:color w:val="auto"/>
              </w:rPr>
            </w:pPr>
          </w:p>
        </w:tc>
      </w:tr>
      <w:tr>
        <w:trPr>
          <w:trHeight w:val="157"/>
        </w:trPr>
        <w:tc>
          <w:tcPr>
            <w:tcW w:w="1680" w:type="dxa"/>
            <w:vAlign w:val="bottom"/>
          </w:tcPr>
          <w:p>
            <w:pPr>
              <w:ind w:left="160"/>
              <w:spacing w:after="0" w:line="157" w:lineRule="exact"/>
              <w:rPr>
                <w:sz w:val="20"/>
                <w:szCs w:val="20"/>
                <w:color w:val="auto"/>
              </w:rPr>
            </w:pPr>
            <w:r>
              <w:rPr>
                <w:rFonts w:ascii="Arial" w:cs="Arial" w:eastAsia="Arial" w:hAnsi="Arial"/>
                <w:sz w:val="14"/>
                <w:szCs w:val="14"/>
                <w:color w:val="auto"/>
              </w:rPr>
              <w:t>Foreign currency</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80" w:type="dxa"/>
            <w:vAlign w:val="bottom"/>
          </w:tcPr>
          <w:p>
            <w:pPr>
              <w:ind w:left="160"/>
              <w:spacing w:after="0"/>
              <w:rPr>
                <w:sz w:val="20"/>
                <w:szCs w:val="20"/>
                <w:color w:val="auto"/>
              </w:rPr>
            </w:pPr>
            <w:r>
              <w:rPr>
                <w:rFonts w:ascii="Arial" w:cs="Arial" w:eastAsia="Arial" w:hAnsi="Arial"/>
                <w:sz w:val="14"/>
                <w:szCs w:val="14"/>
                <w:color w:val="auto"/>
              </w:rPr>
              <w:t>translation adjustments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63"/>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Shares issued upon</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vesting of restricted</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stock units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680" w:type="dxa"/>
            <w:vAlign w:val="bottom"/>
          </w:tcPr>
          <w:p>
            <w:pPr>
              <w:ind w:left="160"/>
              <w:spacing w:after="0" w:line="157" w:lineRule="exact"/>
              <w:rPr>
                <w:sz w:val="20"/>
                <w:szCs w:val="20"/>
                <w:color w:val="auto"/>
              </w:rPr>
            </w:pPr>
            <w:r>
              <w:rPr>
                <w:rFonts w:ascii="Arial" w:cs="Arial" w:eastAsia="Arial" w:hAnsi="Arial"/>
                <w:sz w:val="14"/>
                <w:szCs w:val="14"/>
                <w:color w:val="auto"/>
              </w:rPr>
              <w:t>Exercise of options to</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80" w:type="dxa"/>
            <w:vAlign w:val="bottom"/>
          </w:tcPr>
          <w:p>
            <w:pPr>
              <w:ind w:left="160"/>
              <w:spacing w:after="0"/>
              <w:rPr>
                <w:sz w:val="20"/>
                <w:szCs w:val="20"/>
                <w:color w:val="auto"/>
              </w:rPr>
            </w:pPr>
            <w:r>
              <w:rPr>
                <w:rFonts w:ascii="Arial" w:cs="Arial" w:eastAsia="Arial" w:hAnsi="Arial"/>
                <w:sz w:val="14"/>
                <w:szCs w:val="14"/>
                <w:color w:val="auto"/>
                <w:w w:val="98"/>
              </w:rPr>
              <w:t>purchase common stock</w:t>
            </w:r>
          </w:p>
        </w:tc>
        <w:tc>
          <w:tcPr>
            <w:tcW w:w="860" w:type="dxa"/>
            <w:vAlign w:val="bottom"/>
          </w:tcPr>
          <w:p>
            <w:pPr>
              <w:jc w:val="right"/>
              <w:spacing w:after="0"/>
              <w:rPr>
                <w:sz w:val="20"/>
                <w:szCs w:val="20"/>
                <w:color w:val="auto"/>
              </w:rPr>
            </w:pPr>
            <w:r>
              <w:rPr>
                <w:rFonts w:ascii="Arial" w:cs="Arial" w:eastAsia="Arial" w:hAnsi="Arial"/>
                <w:sz w:val="14"/>
                <w:szCs w:val="14"/>
                <w:color w:val="auto"/>
              </w:rPr>
              <w:t>4,444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76"/>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Warrant conversion</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11,200,299</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113,352</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113,464</w:t>
            </w:r>
          </w:p>
        </w:tc>
        <w:tc>
          <w:tcPr>
            <w:tcW w:w="0" w:type="dxa"/>
            <w:vAlign w:val="bottom"/>
          </w:tcPr>
          <w:p>
            <w:pPr>
              <w:spacing w:after="0"/>
              <w:rPr>
                <w:sz w:val="1"/>
                <w:szCs w:val="1"/>
                <w:color w:val="auto"/>
              </w:rPr>
            </w:pPr>
          </w:p>
        </w:tc>
      </w:tr>
      <w:tr>
        <w:trPr>
          <w:trHeight w:val="137"/>
        </w:trPr>
        <w:tc>
          <w:tcPr>
            <w:tcW w:w="1680" w:type="dxa"/>
            <w:vAlign w:val="bottom"/>
          </w:tcPr>
          <w:p>
            <w:pPr>
              <w:ind w:left="20"/>
              <w:spacing w:after="0" w:line="137" w:lineRule="exact"/>
              <w:rPr>
                <w:sz w:val="20"/>
                <w:szCs w:val="20"/>
                <w:color w:val="auto"/>
              </w:rPr>
            </w:pPr>
            <w:r>
              <w:rPr>
                <w:rFonts w:ascii="Arial" w:cs="Arial" w:eastAsia="Arial" w:hAnsi="Arial"/>
                <w:sz w:val="14"/>
                <w:szCs w:val="14"/>
                <w:color w:val="auto"/>
              </w:rPr>
              <w:t>Balance at November 24,</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81,877,918</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819</w:t>
            </w: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728,864</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73,551</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11"/>
                <w:szCs w:val="11"/>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802,578</w:t>
            </w:r>
          </w:p>
        </w:tc>
        <w:tc>
          <w:tcPr>
            <w:tcW w:w="0" w:type="dxa"/>
            <w:vAlign w:val="bottom"/>
          </w:tcPr>
          <w:p>
            <w:pPr>
              <w:spacing w:after="0"/>
              <w:rPr>
                <w:sz w:val="1"/>
                <w:szCs w:val="1"/>
                <w:color w:val="auto"/>
              </w:rPr>
            </w:pPr>
          </w:p>
        </w:tc>
      </w:tr>
      <w:tr>
        <w:trPr>
          <w:trHeight w:val="221"/>
        </w:trPr>
        <w:tc>
          <w:tcPr>
            <w:tcW w:w="1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2018</w:t>
            </w: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income</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12,722</w:t>
            </w:r>
          </w:p>
        </w:tc>
        <w:tc>
          <w:tcPr>
            <w:tcW w:w="0" w:type="dxa"/>
            <w:vAlign w:val="bottom"/>
          </w:tcPr>
          <w:p>
            <w:pPr>
              <w:spacing w:after="0"/>
              <w:rPr>
                <w:sz w:val="1"/>
                <w:szCs w:val="1"/>
                <w:color w:val="auto"/>
              </w:rPr>
            </w:pPr>
          </w:p>
        </w:tc>
      </w:tr>
      <w:tr>
        <w:trPr>
          <w:trHeight w:val="157"/>
        </w:trPr>
        <w:tc>
          <w:tcPr>
            <w:tcW w:w="1680" w:type="dxa"/>
            <w:vAlign w:val="bottom"/>
          </w:tcPr>
          <w:p>
            <w:pPr>
              <w:ind w:left="160"/>
              <w:spacing w:after="0" w:line="157" w:lineRule="exact"/>
              <w:rPr>
                <w:sz w:val="20"/>
                <w:szCs w:val="20"/>
                <w:color w:val="auto"/>
              </w:rPr>
            </w:pPr>
            <w:r>
              <w:rPr>
                <w:rFonts w:ascii="Arial" w:cs="Arial" w:eastAsia="Arial" w:hAnsi="Arial"/>
                <w:sz w:val="14"/>
                <w:szCs w:val="14"/>
                <w:color w:val="auto"/>
              </w:rPr>
              <w:t>Stock-based</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80" w:type="dxa"/>
            <w:vAlign w:val="bottom"/>
          </w:tcPr>
          <w:p>
            <w:pPr>
              <w:ind w:left="160"/>
              <w:spacing w:after="0"/>
              <w:rPr>
                <w:sz w:val="20"/>
                <w:szCs w:val="20"/>
                <w:color w:val="auto"/>
              </w:rPr>
            </w:pPr>
            <w:r>
              <w:rPr>
                <w:rFonts w:ascii="Arial" w:cs="Arial" w:eastAsia="Arial" w:hAnsi="Arial"/>
                <w:sz w:val="14"/>
                <w:szCs w:val="14"/>
                <w:color w:val="auto"/>
              </w:rPr>
              <w:t>compensation</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1,417</w:t>
            </w:r>
          </w:p>
        </w:tc>
        <w:tc>
          <w:tcPr>
            <w:tcW w:w="0" w:type="dxa"/>
            <w:vAlign w:val="bottom"/>
          </w:tcPr>
          <w:p>
            <w:pPr>
              <w:spacing w:after="0"/>
              <w:rPr>
                <w:sz w:val="1"/>
                <w:szCs w:val="1"/>
                <w:color w:val="auto"/>
              </w:rPr>
            </w:pPr>
          </w:p>
        </w:tc>
      </w:tr>
      <w:tr>
        <w:trPr>
          <w:trHeight w:val="163"/>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Repurchase of common</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stock</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57"/>
        </w:trPr>
        <w:tc>
          <w:tcPr>
            <w:tcW w:w="1680" w:type="dxa"/>
            <w:vAlign w:val="bottom"/>
          </w:tcPr>
          <w:p>
            <w:pPr>
              <w:ind w:left="160"/>
              <w:spacing w:after="0" w:line="157" w:lineRule="exact"/>
              <w:rPr>
                <w:sz w:val="20"/>
                <w:szCs w:val="20"/>
                <w:color w:val="auto"/>
              </w:rPr>
            </w:pPr>
            <w:r>
              <w:rPr>
                <w:rFonts w:ascii="Arial" w:cs="Arial" w:eastAsia="Arial" w:hAnsi="Arial"/>
                <w:sz w:val="14"/>
                <w:szCs w:val="14"/>
                <w:color w:val="auto"/>
              </w:rPr>
              <w:t>Foreign currency</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80" w:type="dxa"/>
            <w:vAlign w:val="bottom"/>
          </w:tcPr>
          <w:p>
            <w:pPr>
              <w:ind w:left="160"/>
              <w:spacing w:after="0"/>
              <w:rPr>
                <w:sz w:val="20"/>
                <w:szCs w:val="20"/>
                <w:color w:val="auto"/>
              </w:rPr>
            </w:pPr>
            <w:r>
              <w:rPr>
                <w:rFonts w:ascii="Arial" w:cs="Arial" w:eastAsia="Arial" w:hAnsi="Arial"/>
                <w:sz w:val="14"/>
                <w:szCs w:val="14"/>
                <w:color w:val="auto"/>
              </w:rPr>
              <w:t>translation adjustments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63"/>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Shares issued upon</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vesting of restricted</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stock units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57"/>
        </w:trPr>
        <w:tc>
          <w:tcPr>
            <w:tcW w:w="1680" w:type="dxa"/>
            <w:vAlign w:val="bottom"/>
          </w:tcPr>
          <w:p>
            <w:pPr>
              <w:ind w:left="160"/>
              <w:spacing w:after="0" w:line="157" w:lineRule="exact"/>
              <w:rPr>
                <w:sz w:val="20"/>
                <w:szCs w:val="20"/>
                <w:color w:val="auto"/>
              </w:rPr>
            </w:pPr>
            <w:r>
              <w:rPr>
                <w:rFonts w:ascii="Arial" w:cs="Arial" w:eastAsia="Arial" w:hAnsi="Arial"/>
                <w:sz w:val="14"/>
                <w:szCs w:val="14"/>
                <w:color w:val="auto"/>
              </w:rPr>
              <w:t>Exercise of options to</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80" w:type="dxa"/>
            <w:vAlign w:val="bottom"/>
          </w:tcPr>
          <w:p>
            <w:pPr>
              <w:ind w:left="160"/>
              <w:spacing w:after="0"/>
              <w:rPr>
                <w:sz w:val="20"/>
                <w:szCs w:val="20"/>
                <w:color w:val="auto"/>
              </w:rPr>
            </w:pPr>
            <w:r>
              <w:rPr>
                <w:rFonts w:ascii="Arial" w:cs="Arial" w:eastAsia="Arial" w:hAnsi="Arial"/>
                <w:sz w:val="14"/>
                <w:szCs w:val="14"/>
                <w:color w:val="auto"/>
                <w:w w:val="98"/>
              </w:rPr>
              <w:t>purchase common stock</w:t>
            </w:r>
          </w:p>
        </w:tc>
        <w:tc>
          <w:tcPr>
            <w:tcW w:w="860" w:type="dxa"/>
            <w:vAlign w:val="bottom"/>
          </w:tcPr>
          <w:p>
            <w:pPr>
              <w:jc w:val="right"/>
              <w:spacing w:after="0"/>
              <w:rPr>
                <w:sz w:val="20"/>
                <w:szCs w:val="20"/>
                <w:color w:val="auto"/>
              </w:rPr>
            </w:pPr>
            <w:r>
              <w:rPr>
                <w:rFonts w:ascii="Arial" w:cs="Arial" w:eastAsia="Arial" w:hAnsi="Arial"/>
                <w:sz w:val="14"/>
                <w:szCs w:val="14"/>
                <w:color w:val="auto"/>
              </w:rPr>
              <w:t>36,790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43"/>
        </w:trPr>
        <w:tc>
          <w:tcPr>
            <w:tcW w:w="168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Balance at February 23,</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81,915,213</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819</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6,729</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730,584</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86,273</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(835)</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816,714</w:t>
            </w:r>
          </w:p>
        </w:tc>
        <w:tc>
          <w:tcPr>
            <w:tcW w:w="0" w:type="dxa"/>
            <w:vAlign w:val="bottom"/>
          </w:tcPr>
          <w:p>
            <w:pPr>
              <w:spacing w:after="0"/>
              <w:rPr>
                <w:sz w:val="1"/>
                <w:szCs w:val="1"/>
                <w:color w:val="auto"/>
              </w:rPr>
            </w:pPr>
          </w:p>
        </w:tc>
      </w:tr>
      <w:tr>
        <w:trPr>
          <w:trHeight w:val="181"/>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2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13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80" w:type="dxa"/>
            <w:vAlign w:val="bottom"/>
          </w:tcPr>
          <w:p>
            <w:pPr>
              <w:ind w:left="160"/>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13,466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13,466</w:t>
            </w:r>
          </w:p>
        </w:tc>
        <w:tc>
          <w:tcPr>
            <w:tcW w:w="0" w:type="dxa"/>
            <w:vAlign w:val="bottom"/>
          </w:tcPr>
          <w:p>
            <w:pPr>
              <w:spacing w:after="0"/>
              <w:rPr>
                <w:sz w:val="1"/>
                <w:szCs w:val="1"/>
                <w:color w:val="auto"/>
              </w:rPr>
            </w:pPr>
          </w:p>
        </w:tc>
      </w:tr>
      <w:tr>
        <w:trPr>
          <w:trHeight w:val="163"/>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Stock-based</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compensation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1,444</w:t>
            </w:r>
          </w:p>
        </w:tc>
        <w:tc>
          <w:tcPr>
            <w:tcW w:w="0" w:type="dxa"/>
            <w:vAlign w:val="bottom"/>
          </w:tcPr>
          <w:p>
            <w:pPr>
              <w:spacing w:after="0"/>
              <w:rPr>
                <w:sz w:val="1"/>
                <w:szCs w:val="1"/>
                <w:color w:val="auto"/>
              </w:rPr>
            </w:pPr>
          </w:p>
        </w:tc>
      </w:tr>
      <w:tr>
        <w:trPr>
          <w:trHeight w:val="157"/>
        </w:trPr>
        <w:tc>
          <w:tcPr>
            <w:tcW w:w="1680" w:type="dxa"/>
            <w:vAlign w:val="bottom"/>
          </w:tcPr>
          <w:p>
            <w:pPr>
              <w:ind w:left="160"/>
              <w:spacing w:after="0" w:line="157" w:lineRule="exact"/>
              <w:rPr>
                <w:sz w:val="20"/>
                <w:szCs w:val="20"/>
                <w:color w:val="auto"/>
              </w:rPr>
            </w:pPr>
            <w:r>
              <w:rPr>
                <w:rFonts w:ascii="Arial" w:cs="Arial" w:eastAsia="Arial" w:hAnsi="Arial"/>
                <w:sz w:val="14"/>
                <w:szCs w:val="14"/>
                <w:color w:val="auto"/>
              </w:rPr>
              <w:t>Repurchase of common</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80" w:type="dxa"/>
            <w:vAlign w:val="bottom"/>
          </w:tcPr>
          <w:p>
            <w:pPr>
              <w:ind w:left="160"/>
              <w:spacing w:after="0"/>
              <w:rPr>
                <w:sz w:val="20"/>
                <w:szCs w:val="20"/>
                <w:color w:val="auto"/>
              </w:rPr>
            </w:pPr>
            <w:r>
              <w:rPr>
                <w:rFonts w:ascii="Arial" w:cs="Arial" w:eastAsia="Arial" w:hAnsi="Arial"/>
                <w:sz w:val="14"/>
                <w:szCs w:val="14"/>
                <w:color w:val="auto"/>
              </w:rPr>
              <w:t>stock</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69,260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(1,537)</w:t>
            </w:r>
          </w:p>
        </w:tc>
        <w:tc>
          <w:tcPr>
            <w:tcW w:w="0" w:type="dxa"/>
            <w:vAlign w:val="bottom"/>
          </w:tcPr>
          <w:p>
            <w:pPr>
              <w:spacing w:after="0"/>
              <w:rPr>
                <w:sz w:val="1"/>
                <w:szCs w:val="1"/>
                <w:color w:val="auto"/>
              </w:rPr>
            </w:pPr>
          </w:p>
        </w:tc>
      </w:tr>
      <w:tr>
        <w:trPr>
          <w:trHeight w:val="163"/>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Foreign currency</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translation adjustments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57"/>
        </w:trPr>
        <w:tc>
          <w:tcPr>
            <w:tcW w:w="1680" w:type="dxa"/>
            <w:vAlign w:val="bottom"/>
          </w:tcPr>
          <w:p>
            <w:pPr>
              <w:ind w:left="160"/>
              <w:spacing w:after="0" w:line="157" w:lineRule="exact"/>
              <w:rPr>
                <w:sz w:val="20"/>
                <w:szCs w:val="20"/>
                <w:color w:val="auto"/>
              </w:rPr>
            </w:pPr>
            <w:r>
              <w:rPr>
                <w:rFonts w:ascii="Arial" w:cs="Arial" w:eastAsia="Arial" w:hAnsi="Arial"/>
                <w:sz w:val="14"/>
                <w:szCs w:val="14"/>
                <w:color w:val="auto"/>
              </w:rPr>
              <w:t>Shares issued upon</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80" w:type="dxa"/>
            <w:vAlign w:val="bottom"/>
          </w:tcPr>
          <w:p>
            <w:pPr>
              <w:ind w:left="160"/>
              <w:spacing w:after="0" w:line="149" w:lineRule="exact"/>
              <w:rPr>
                <w:sz w:val="20"/>
                <w:szCs w:val="20"/>
                <w:color w:val="auto"/>
              </w:rPr>
            </w:pPr>
            <w:r>
              <w:rPr>
                <w:rFonts w:ascii="Arial" w:cs="Arial" w:eastAsia="Arial" w:hAnsi="Arial"/>
                <w:sz w:val="14"/>
                <w:szCs w:val="14"/>
                <w:color w:val="auto"/>
              </w:rPr>
              <w:t>vesting of restricted</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680" w:type="dxa"/>
            <w:vAlign w:val="bottom"/>
          </w:tcPr>
          <w:p>
            <w:pPr>
              <w:ind w:left="160"/>
              <w:spacing w:after="0"/>
              <w:rPr>
                <w:sz w:val="20"/>
                <w:szCs w:val="20"/>
                <w:color w:val="auto"/>
              </w:rPr>
            </w:pPr>
            <w:r>
              <w:rPr>
                <w:rFonts w:ascii="Arial" w:cs="Arial" w:eastAsia="Arial" w:hAnsi="Arial"/>
                <w:sz w:val="14"/>
                <w:szCs w:val="14"/>
                <w:color w:val="auto"/>
              </w:rPr>
              <w:t>stock units</w:t>
            </w:r>
          </w:p>
        </w:tc>
        <w:tc>
          <w:tcPr>
            <w:tcW w:w="860" w:type="dxa"/>
            <w:vAlign w:val="bottom"/>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3"/>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Exercise of options to</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8"/>
              </w:rPr>
              <w:t>purchase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13,117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43"/>
        </w:trPr>
        <w:tc>
          <w:tcPr>
            <w:tcW w:w="1680" w:type="dxa"/>
            <w:vAlign w:val="bottom"/>
          </w:tcPr>
          <w:p>
            <w:pPr>
              <w:ind w:left="20"/>
              <w:spacing w:after="0"/>
              <w:rPr>
                <w:sz w:val="20"/>
                <w:szCs w:val="20"/>
                <w:color w:val="auto"/>
              </w:rPr>
            </w:pPr>
            <w:r>
              <w:rPr>
                <w:rFonts w:ascii="Arial" w:cs="Arial" w:eastAsia="Arial" w:hAnsi="Arial"/>
                <w:sz w:val="14"/>
                <w:szCs w:val="14"/>
                <w:color w:val="auto"/>
              </w:rPr>
              <w:t>Balance at May 25, 2019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81,928,540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819</w:t>
            </w:r>
          </w:p>
        </w:tc>
        <w:tc>
          <w:tcPr>
            <w:tcW w:w="10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75,989</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(1,664)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732,181</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99,739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(1,089)</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829,986</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80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00"/>
          </w:cols>
          <w:pgMar w:left="320" w:top="125" w:right="77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(Unaudited, dollars 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Principles of Consolidation</w:t>
      </w:r>
    </w:p>
    <w:p>
      <w:pPr>
        <w:spacing w:after="0" w:line="2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The Simply Good Foods Company (“Simply Good Foods”) was formed by Conyers Park Acquisition Corp. (“Conyers Park”) on March 30, 2017. On April 10, 2017, Conyers Park and NCP-ATK Holdings, Inc., among others, entered into a definitive merger agreement (the “Merger Agreement”), pursuant to which on July 7, 2017, Conyers Park merged into Simply Good Foods and as a result acquired the companies which conducted the Atkins® brand business (the “Acquisition of Atkins”). The common stock of Simply Good Foods is listed on the Nasdaq Capital Market under the symbol “SMPL.”</w:t>
      </w:r>
    </w:p>
    <w:p>
      <w:pPr>
        <w:spacing w:after="0" w:line="1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August 21, 2019, our wholly-owned subsidiary Atkins Nutritionals, Inc. (“Atkins”) entered into a Stock and Unit Purchase Agreement (the "Purchase Agreement") to acquire Quest Nutrition, LLC ("Quest"), a healthy lifestyle food company (the "Acquisition of Quest"). On November 7, 2019, pursuant to the Purchase Agreement, Atkins completed the Acquisition of Quest, via Atkins’ direct or indirect acquisition of 100% of the equity interests of Voyage Holdings, LLC (“Voyage Holdings”), and VMG Quest Blocker, Inc. (“Voyage Blocker” and, together with Voyage Holdings, the “Target Companies”) for a cash purchase price of approximately $1.0 billion (subject to customary adjustments for the Target Companies’ levels of cash, indebtedness, net working capital and transaction expenses as of the closing date).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unaudited condensed consolidated financial statements include the accounts of Simply Good Foods and its wholly-owned subsidiaries. All intercompany accounts and transactions have been eliminated. Unless the context otherwise requires, “we,” “us,” “our” and the “Company” refer to Simply Good Foods and its subsidiaries.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maintains its accounting records on a 52/53-week fiscal year, ending on the last Saturday in August of each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Simply Good Foods Company is a consumer packaged food and beverage company that aims to lead the nutritious snacking movement with trusted brands that offer a variety of convenient, innovative, great-tasting, better-for-you snacks and meal replacements. The Company’s nutritious snacking platform consists of brands that specialize in providing products for consumers that follow certain nutritional philosophies, dietary approaches and/or health-and-wellness trends: Atkins® for those following a low-carb lifestyle; Quest® for consumers seeking to partner with a brand that makes the foods they crave work for them, not against them, through a variety of protein-rich foods and beverages that also limit sugars and simple carbs; and SimplyProtein® for consumers looking for protein-enhanced snacks made with fewer, simple ingredients.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 Our platform also positions us to continue to selectively pursue acquisition opportunities of brands in the nutritious snacking and broader health-and-wellness food space.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 of Prior Year Amounts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Certain prior year amounts have been reclassified to conform to the current year presentation including (i) </w:t>
      </w:r>
      <w:r>
        <w:rPr>
          <w:rFonts w:ascii="Arial" w:cs="Arial" w:eastAsia="Arial" w:hAnsi="Arial"/>
          <w:sz w:val="18"/>
          <w:szCs w:val="18"/>
          <w:i w:val="1"/>
          <w:iCs w:val="1"/>
          <w:color w:val="auto"/>
        </w:rPr>
        <w:t>Selling</w:t>
      </w:r>
      <w:r>
        <w:rPr>
          <w:rFonts w:ascii="Arial" w:cs="Arial" w:eastAsia="Arial" w:hAnsi="Arial"/>
          <w:sz w:val="18"/>
          <w:szCs w:val="18"/>
          <w:color w:val="auto"/>
        </w:rPr>
        <w:t xml:space="preserve"> expenses and </w:t>
      </w:r>
      <w:r>
        <w:rPr>
          <w:rFonts w:ascii="Arial" w:cs="Arial" w:eastAsia="Arial" w:hAnsi="Arial"/>
          <w:sz w:val="18"/>
          <w:szCs w:val="18"/>
          <w:i w:val="1"/>
          <w:iCs w:val="1"/>
          <w:color w:val="auto"/>
        </w:rPr>
        <w:t>Marketing</w:t>
      </w:r>
      <w:r>
        <w:rPr>
          <w:rFonts w:ascii="Arial" w:cs="Arial" w:eastAsia="Arial" w:hAnsi="Arial"/>
          <w:sz w:val="18"/>
          <w:szCs w:val="18"/>
          <w:color w:val="auto"/>
        </w:rPr>
        <w:t xml:space="preserve"> expenses, which have been combined as </w:t>
      </w:r>
      <w:r>
        <w:rPr>
          <w:rFonts w:ascii="Arial" w:cs="Arial" w:eastAsia="Arial" w:hAnsi="Arial"/>
          <w:sz w:val="18"/>
          <w:szCs w:val="18"/>
          <w:i w:val="1"/>
          <w:iCs w:val="1"/>
          <w:color w:val="auto"/>
        </w:rPr>
        <w:t>Selling and marketing</w:t>
      </w:r>
      <w:r>
        <w:rPr>
          <w:rFonts w:ascii="Arial" w:cs="Arial" w:eastAsia="Arial" w:hAnsi="Arial"/>
          <w:sz w:val="18"/>
          <w:szCs w:val="18"/>
          <w:color w:val="auto"/>
        </w:rPr>
        <w:t xml:space="preserve"> on the Consolidated Statements of Operations and Comprehensive Income and (ii)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operating expense</w:t>
      </w:r>
      <w:r>
        <w:rPr>
          <w:rFonts w:ascii="Arial" w:cs="Arial" w:eastAsia="Arial" w:hAnsi="Arial"/>
          <w:sz w:val="18"/>
          <w:szCs w:val="18"/>
          <w:color w:val="auto"/>
        </w:rPr>
        <w:t>, which has been combined with</w:t>
      </w:r>
      <w:r>
        <w:rPr>
          <w:rFonts w:ascii="Arial" w:cs="Arial" w:eastAsia="Arial" w:hAnsi="Arial"/>
          <w:sz w:val="18"/>
          <w:szCs w:val="18"/>
          <w:i w:val="1"/>
          <w:iCs w:val="1"/>
          <w:color w:val="auto"/>
        </w:rPr>
        <w:t xml:space="preserve"> General and administrative </w:t>
      </w:r>
      <w:r>
        <w:rPr>
          <w:rFonts w:ascii="Arial" w:cs="Arial" w:eastAsia="Arial" w:hAnsi="Arial"/>
          <w:sz w:val="18"/>
          <w:szCs w:val="18"/>
          <w:color w:val="auto"/>
        </w:rPr>
        <w:t>expense on the Consolidated Statements of Operations and Comprehensive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Statements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interim condensed consolidated financial statements and related notes of the Company and its subsidiaries are unaudited. The unaudited interim condensed consolidated financial statements have been prepared in accordance with U.S. Generally Accepted Accounting Principles (“GAAP”) and the rules and regulations of the Securities and Exchange Commission (the “SEC”). The unaudited interim condensed consolidated financial statements reflect all adjustments and disclosures which are, in our opinion, necessary for a fair presentation of the results of operations, financial position and cash flows for the indicated periods. All such adjustments were of a normal and recurring nature unless otherwise disclosed. The year-end balance sheet data was derived from the audited financial statements and, in accordance with the instructions to Form 10-Q, certain information and footnote disclosures required by GAAP have been condensed or omitted. The results reported in these unaudited interim condensed consolidated financial statements are not necessarily indicative of the results that may be reported for the entire fiscal year and should be read in conjunction with our consolidated financial statements for the fiscal year ended August 31, 2019, included in our Annual Report on Form 10-K (“Annual Report”), filed with the SEC on October 30, 2019. A</w:t>
      </w:r>
      <w:r>
        <w:rPr>
          <w:rFonts w:ascii="Arial" w:cs="Arial" w:eastAsia="Arial" w:hAnsi="Arial"/>
          <w:sz w:val="16"/>
          <w:szCs w:val="16"/>
          <w:color w:val="212529"/>
        </w:rPr>
        <w:t>dditionally, based on the duration and severity of economic effects from the novel coronavirus ("COVID-19") pandemic, including but not limited</w:t>
      </w:r>
      <w:r>
        <w:rPr>
          <w:rFonts w:ascii="Arial" w:cs="Arial" w:eastAsia="Arial" w:hAnsi="Arial"/>
          <w:sz w:val="16"/>
          <w:szCs w:val="16"/>
          <w:color w:val="auto"/>
        </w:rPr>
        <w:t xml:space="preserve"> </w:t>
      </w:r>
      <w:r>
        <w:rPr>
          <w:rFonts w:ascii="Arial" w:cs="Arial" w:eastAsia="Arial" w:hAnsi="Arial"/>
          <w:sz w:val="16"/>
          <w:szCs w:val="16"/>
          <w:color w:val="212529"/>
        </w:rPr>
        <w:t>to stock market volatility, the potential for (i) a return to increased rates of reported cases of COVID-19 (which has been referred to as a second wave), (ii) unexpected supply chain disruptions, (iii) changes to customer operations, (iv) consumer purchasing and consumption behavior, and (v) the closure of retailing establishments, the Company remains uncertain of the ultimate effect COVID-19 could have on its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our consolidated financial statements included in our Annual Report for a description of significant accounting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During the fourth quarter ended August 31, 2019, the Company changed its accounting principle related to the presentation of third-party delivery costs associated with shipping and handling activities previously included as operating expenses in </w:t>
      </w:r>
      <w:r>
        <w:rPr>
          <w:rFonts w:ascii="Arial" w:cs="Arial" w:eastAsia="Arial" w:hAnsi="Arial"/>
          <w:sz w:val="18"/>
          <w:szCs w:val="18"/>
          <w:i w:val="1"/>
          <w:iCs w:val="1"/>
          <w:color w:val="auto"/>
        </w:rPr>
        <w:t>Distribution</w:t>
      </w:r>
      <w:r>
        <w:rPr>
          <w:rFonts w:ascii="Arial" w:cs="Arial" w:eastAsia="Arial" w:hAnsi="Arial"/>
          <w:sz w:val="18"/>
          <w:szCs w:val="18"/>
          <w:color w:val="auto"/>
        </w:rPr>
        <w:t xml:space="preserve"> in the Consolidated Statements of Operations and Comprehensive Income. The Company now presents these expenses within </w:t>
      </w:r>
      <w:r>
        <w:rPr>
          <w:rFonts w:ascii="Arial" w:cs="Arial" w:eastAsia="Arial" w:hAnsi="Arial"/>
          <w:sz w:val="18"/>
          <w:szCs w:val="18"/>
          <w:i w:val="1"/>
          <w:iCs w:val="1"/>
          <w:color w:val="auto"/>
        </w:rPr>
        <w:t>Cost of goods sold</w:t>
      </w:r>
      <w:r>
        <w:rPr>
          <w:rFonts w:ascii="Arial" w:cs="Arial" w:eastAsia="Arial" w:hAnsi="Arial"/>
          <w:sz w:val="18"/>
          <w:szCs w:val="18"/>
          <w:color w:val="auto"/>
        </w:rPr>
        <w:t xml:space="preserve"> in the Consolidated Statements of Operations and Comprehensive Income. In connection with the change in accounting principle, the Company also changed its definition of shipping and handling costs to include costs paid to third-party warehouse operators associated with delivering product to a customer, previously included in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w:t>
      </w:r>
      <w:r>
        <w:rPr>
          <w:rFonts w:ascii="Arial" w:cs="Arial" w:eastAsia="Arial" w:hAnsi="Arial"/>
          <w:sz w:val="18"/>
          <w:szCs w:val="18"/>
          <w:i w:val="1"/>
          <w:iCs w:val="1"/>
          <w:color w:val="auto"/>
        </w:rPr>
        <w:t>and administrative</w:t>
      </w:r>
      <w:r>
        <w:rPr>
          <w:rFonts w:ascii="Arial" w:cs="Arial" w:eastAsia="Arial" w:hAnsi="Arial"/>
          <w:sz w:val="18"/>
          <w:szCs w:val="18"/>
          <w:color w:val="auto"/>
        </w:rPr>
        <w:t>, and</w:t>
      </w:r>
      <w:r>
        <w:rPr>
          <w:rFonts w:ascii="Arial" w:cs="Arial" w:eastAsia="Arial" w:hAnsi="Arial"/>
          <w:sz w:val="18"/>
          <w:szCs w:val="18"/>
          <w:i w:val="1"/>
          <w:iCs w:val="1"/>
          <w:color w:val="auto"/>
        </w:rPr>
        <w:t xml:space="preserve"> Depreciation and amortization </w:t>
      </w:r>
      <w:r>
        <w:rPr>
          <w:rFonts w:ascii="Arial" w:cs="Arial" w:eastAsia="Arial" w:hAnsi="Arial"/>
          <w:sz w:val="18"/>
          <w:szCs w:val="18"/>
          <w:color w:val="auto"/>
        </w:rPr>
        <w:t>of the assets at the third-party warehouse, previously included in</w:t>
      </w:r>
      <w:r>
        <w:rPr>
          <w:rFonts w:ascii="Arial" w:cs="Arial" w:eastAsia="Arial" w:hAnsi="Arial"/>
          <w:sz w:val="18"/>
          <w:szCs w:val="18"/>
          <w:i w:val="1"/>
          <w:iCs w:val="1"/>
          <w:color w:val="auto"/>
        </w:rPr>
        <w:t xml:space="preserve"> Depreciation and amortization</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Under the previous definition of shipping and handling costs, the Company only included delivery costs in </w:t>
      </w:r>
      <w:r>
        <w:rPr>
          <w:rFonts w:ascii="Arial" w:cs="Arial" w:eastAsia="Arial" w:hAnsi="Arial"/>
          <w:sz w:val="18"/>
          <w:szCs w:val="18"/>
          <w:i w:val="1"/>
          <w:iCs w:val="1"/>
          <w:color w:val="auto"/>
        </w:rPr>
        <w:t>Distribution</w:t>
      </w:r>
      <w:r>
        <w:rPr>
          <w:rFonts w:ascii="Arial" w:cs="Arial" w:eastAsia="Arial" w:hAnsi="Arial"/>
          <w:sz w:val="18"/>
          <w:szCs w:val="18"/>
          <w:color w:val="auto"/>
        </w:rPr>
        <w:t>. The effect of the adjustment is as follows:</w:t>
      </w:r>
    </w:p>
    <w:p>
      <w:pPr>
        <w:spacing w:after="0" w:line="142"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Change in Accounting</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Other Operating</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00" w:type="dxa"/>
            <w:vAlign w:val="bottom"/>
            <w:gridSpan w:val="2"/>
          </w:tcPr>
          <w:p>
            <w:pPr>
              <w:ind w:left="20"/>
              <w:spacing w:after="0"/>
              <w:rPr>
                <w:sz w:val="20"/>
                <w:szCs w:val="20"/>
                <w:color w:val="auto"/>
              </w:rPr>
            </w:pPr>
            <w:r>
              <w:rPr>
                <w:rFonts w:ascii="Arial" w:cs="Arial" w:eastAsia="Arial" w:hAnsi="Arial"/>
                <w:sz w:val="16"/>
                <w:szCs w:val="16"/>
                <w:color w:val="auto"/>
              </w:rPr>
              <w:t>Thirteen Weeks Ended May 25, 2019</w:t>
            </w:r>
          </w:p>
        </w:tc>
        <w:tc>
          <w:tcPr>
            <w:tcW w:w="20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Arial" w:cs="Arial" w:eastAsia="Arial" w:hAnsi="Arial"/>
                <w:sz w:val="16"/>
                <w:szCs w:val="16"/>
                <w:color w:val="auto"/>
              </w:rPr>
              <w:t>As Reported</w:t>
            </w:r>
          </w:p>
        </w:tc>
        <w:tc>
          <w:tcPr>
            <w:tcW w:w="194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Principle and Presentation</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Expense</w:t>
            </w:r>
          </w:p>
        </w:tc>
        <w:tc>
          <w:tcPr>
            <w:tcW w:w="200" w:type="dxa"/>
            <w:vAlign w:val="bottom"/>
          </w:tcPr>
          <w:p>
            <w:pPr>
              <w:spacing w:after="0"/>
              <w:rPr>
                <w:sz w:val="17"/>
                <w:szCs w:val="17"/>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As Adjusted</w:t>
            </w:r>
          </w:p>
        </w:tc>
        <w:tc>
          <w:tcPr>
            <w:tcW w:w="0" w:type="dxa"/>
            <w:vAlign w:val="bottom"/>
          </w:tcPr>
          <w:p>
            <w:pPr>
              <w:spacing w:after="0"/>
              <w:rPr>
                <w:sz w:val="1"/>
                <w:szCs w:val="1"/>
                <w:color w:val="auto"/>
              </w:rPr>
            </w:pPr>
          </w:p>
        </w:tc>
      </w:tr>
      <w:tr>
        <w:trPr>
          <w:trHeight w:val="33"/>
        </w:trPr>
        <w:tc>
          <w:tcPr>
            <w:tcW w:w="3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74,204</w:t>
            </w: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8,607</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82,811</w:t>
            </w:r>
          </w:p>
        </w:tc>
        <w:tc>
          <w:tcPr>
            <w:tcW w:w="0" w:type="dxa"/>
            <w:vAlign w:val="bottom"/>
          </w:tcPr>
          <w:p>
            <w:pPr>
              <w:spacing w:after="0"/>
              <w:rPr>
                <w:sz w:val="1"/>
                <w:szCs w:val="1"/>
                <w:color w:val="auto"/>
              </w:rPr>
            </w:pPr>
          </w:p>
        </w:tc>
      </w:tr>
      <w:tr>
        <w:trPr>
          <w:trHeight w:val="237"/>
        </w:trPr>
        <w:tc>
          <w:tcPr>
            <w:tcW w:w="3600" w:type="dxa"/>
            <w:vAlign w:val="bottom"/>
            <w:gridSpan w:val="2"/>
          </w:tcPr>
          <w:p>
            <w:pPr>
              <w:ind w:left="20"/>
              <w:spacing w:after="0"/>
              <w:rPr>
                <w:sz w:val="20"/>
                <w:szCs w:val="20"/>
                <w:color w:val="auto"/>
              </w:rPr>
            </w:pPr>
            <w:r>
              <w:rPr>
                <w:rFonts w:ascii="Arial" w:cs="Arial" w:eastAsia="Arial" w:hAnsi="Arial"/>
                <w:sz w:val="16"/>
                <w:szCs w:val="16"/>
                <w:color w:val="auto"/>
              </w:rPr>
              <w:t>Distribution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6,246</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(6,246)</w:t>
            </w:r>
          </w:p>
        </w:tc>
        <w:tc>
          <w:tcPr>
            <w:tcW w:w="100" w:type="dxa"/>
            <w:vAlign w:val="bottom"/>
          </w:tcPr>
          <w:p>
            <w:pPr>
              <w:spacing w:after="0"/>
              <w:rPr>
                <w:sz w:val="20"/>
                <w:szCs w:val="20"/>
                <w:color w:val="auto"/>
              </w:rPr>
            </w:pPr>
          </w:p>
        </w:tc>
        <w:tc>
          <w:tcPr>
            <w:tcW w:w="1540" w:type="dxa"/>
            <w:vAlign w:val="bottom"/>
            <w:gridSpan w:val="2"/>
          </w:tcPr>
          <w:p>
            <w:pPr>
              <w:ind w:left="1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18,271</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15,947</w:t>
            </w:r>
          </w:p>
        </w:tc>
        <w:tc>
          <w:tcPr>
            <w:tcW w:w="0" w:type="dxa"/>
            <w:vAlign w:val="bottom"/>
          </w:tcPr>
          <w:p>
            <w:pPr>
              <w:spacing w:after="0"/>
              <w:rPr>
                <w:sz w:val="1"/>
                <w:szCs w:val="1"/>
                <w:color w:val="auto"/>
              </w:rPr>
            </w:pPr>
          </w:p>
        </w:tc>
      </w:tr>
      <w:tr>
        <w:trPr>
          <w:trHeight w:val="237"/>
        </w:trPr>
        <w:tc>
          <w:tcPr>
            <w:tcW w:w="360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1,929</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540" w:type="dxa"/>
            <w:vAlign w:val="bottom"/>
            <w:gridSpan w:val="2"/>
          </w:tcPr>
          <w:p>
            <w:pPr>
              <w:ind w:left="1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1,892</w:t>
            </w:r>
          </w:p>
        </w:tc>
        <w:tc>
          <w:tcPr>
            <w:tcW w:w="0" w:type="dxa"/>
            <w:vAlign w:val="bottom"/>
          </w:tcPr>
          <w:p>
            <w:pPr>
              <w:spacing w:after="0"/>
              <w:rPr>
                <w:sz w:val="1"/>
                <w:szCs w:val="1"/>
                <w:color w:val="auto"/>
              </w:rPr>
            </w:pPr>
          </w:p>
        </w:tc>
      </w:tr>
      <w:tr>
        <w:trPr>
          <w:trHeight w:val="550"/>
        </w:trPr>
        <w:tc>
          <w:tcPr>
            <w:tcW w:w="3600" w:type="dxa"/>
            <w:vAlign w:val="bottom"/>
            <w:gridSpan w:val="2"/>
            <w:vMerge w:val="restart"/>
          </w:tcPr>
          <w:p>
            <w:pPr>
              <w:ind w:left="20"/>
              <w:spacing w:after="0"/>
              <w:rPr>
                <w:sz w:val="20"/>
                <w:szCs w:val="20"/>
                <w:color w:val="auto"/>
              </w:rPr>
            </w:pPr>
            <w:r>
              <w:rPr>
                <w:rFonts w:ascii="Arial" w:cs="Arial" w:eastAsia="Arial" w:hAnsi="Arial"/>
                <w:sz w:val="16"/>
                <w:szCs w:val="16"/>
                <w:color w:val="auto"/>
              </w:rPr>
              <w:t>Thirty-Nine Weeks Ended May 25, 2019</w:t>
            </w:r>
          </w:p>
        </w:tc>
        <w:tc>
          <w:tcPr>
            <w:tcW w:w="200" w:type="dxa"/>
            <w:vAlign w:val="bottom"/>
          </w:tcPr>
          <w:p>
            <w:pPr>
              <w:spacing w:after="0"/>
              <w:rPr>
                <w:sz w:val="24"/>
                <w:szCs w:val="24"/>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6"/>
                <w:szCs w:val="16"/>
                <w:color w:val="auto"/>
              </w:rPr>
              <w:t>As Reported</w:t>
            </w:r>
          </w:p>
        </w:tc>
        <w:tc>
          <w:tcPr>
            <w:tcW w:w="19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Change in Accounting</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Other Operating</w:t>
            </w:r>
          </w:p>
        </w:tc>
        <w:tc>
          <w:tcPr>
            <w:tcW w:w="200" w:type="dxa"/>
            <w:vAlign w:val="bottom"/>
          </w:tcPr>
          <w:p>
            <w:pPr>
              <w:spacing w:after="0"/>
              <w:rPr>
                <w:sz w:val="24"/>
                <w:szCs w:val="24"/>
                <w:color w:val="auto"/>
              </w:rPr>
            </w:pPr>
          </w:p>
        </w:tc>
        <w:tc>
          <w:tcPr>
            <w:tcW w:w="1220" w:type="dxa"/>
            <w:vAlign w:val="bottom"/>
            <w:vMerge w:val="restart"/>
          </w:tcPr>
          <w:p>
            <w:pPr>
              <w:jc w:val="right"/>
              <w:ind w:right="239"/>
              <w:spacing w:after="0"/>
              <w:rPr>
                <w:sz w:val="20"/>
                <w:szCs w:val="20"/>
                <w:color w:val="auto"/>
              </w:rPr>
            </w:pPr>
            <w:r>
              <w:rPr>
                <w:rFonts w:ascii="Arial" w:cs="Arial" w:eastAsia="Arial" w:hAnsi="Arial"/>
                <w:sz w:val="16"/>
                <w:szCs w:val="16"/>
                <w:color w:val="auto"/>
              </w:rPr>
              <w:t>As Adjusted</w:t>
            </w:r>
          </w:p>
        </w:tc>
        <w:tc>
          <w:tcPr>
            <w:tcW w:w="0" w:type="dxa"/>
            <w:vAlign w:val="bottom"/>
          </w:tcPr>
          <w:p>
            <w:pPr>
              <w:spacing w:after="0"/>
              <w:rPr>
                <w:sz w:val="1"/>
                <w:szCs w:val="1"/>
                <w:color w:val="auto"/>
              </w:rPr>
            </w:pPr>
          </w:p>
        </w:tc>
      </w:tr>
      <w:tr>
        <w:trPr>
          <w:trHeight w:val="98"/>
        </w:trPr>
        <w:tc>
          <w:tcPr>
            <w:tcW w:w="36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94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1"/>
              </w:rPr>
              <w:t>Principle and Presentation</w:t>
            </w: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89"/>
              </w:rPr>
              <w:t>Expense</w:t>
            </w:r>
          </w:p>
        </w:tc>
        <w:tc>
          <w:tcPr>
            <w:tcW w:w="20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202,190</w:t>
            </w: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23,777</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225,967</w:t>
            </w:r>
          </w:p>
        </w:tc>
        <w:tc>
          <w:tcPr>
            <w:tcW w:w="0" w:type="dxa"/>
            <w:vAlign w:val="bottom"/>
          </w:tcPr>
          <w:p>
            <w:pPr>
              <w:spacing w:after="0"/>
              <w:rPr>
                <w:sz w:val="1"/>
                <w:szCs w:val="1"/>
                <w:color w:val="auto"/>
              </w:rPr>
            </w:pPr>
          </w:p>
        </w:tc>
      </w:tr>
      <w:tr>
        <w:trPr>
          <w:trHeight w:val="237"/>
        </w:trPr>
        <w:tc>
          <w:tcPr>
            <w:tcW w:w="3600" w:type="dxa"/>
            <w:vAlign w:val="bottom"/>
            <w:gridSpan w:val="2"/>
          </w:tcPr>
          <w:p>
            <w:pPr>
              <w:ind w:left="20"/>
              <w:spacing w:after="0"/>
              <w:rPr>
                <w:sz w:val="20"/>
                <w:szCs w:val="20"/>
                <w:color w:val="auto"/>
              </w:rPr>
            </w:pPr>
            <w:r>
              <w:rPr>
                <w:rFonts w:ascii="Arial" w:cs="Arial" w:eastAsia="Arial" w:hAnsi="Arial"/>
                <w:sz w:val="16"/>
                <w:szCs w:val="16"/>
                <w:color w:val="auto"/>
              </w:rPr>
              <w:t>Distribution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17,327</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(17,327)</w:t>
            </w:r>
          </w:p>
        </w:tc>
        <w:tc>
          <w:tcPr>
            <w:tcW w:w="100" w:type="dxa"/>
            <w:vAlign w:val="bottom"/>
          </w:tcPr>
          <w:p>
            <w:pPr>
              <w:spacing w:after="0"/>
              <w:rPr>
                <w:sz w:val="20"/>
                <w:szCs w:val="20"/>
                <w:color w:val="auto"/>
              </w:rPr>
            </w:pPr>
          </w:p>
        </w:tc>
        <w:tc>
          <w:tcPr>
            <w:tcW w:w="1540" w:type="dxa"/>
            <w:vAlign w:val="bottom"/>
            <w:gridSpan w:val="2"/>
          </w:tcPr>
          <w:p>
            <w:pPr>
              <w:ind w:left="1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47,994</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41,677</w:t>
            </w:r>
          </w:p>
        </w:tc>
        <w:tc>
          <w:tcPr>
            <w:tcW w:w="0" w:type="dxa"/>
            <w:vAlign w:val="bottom"/>
          </w:tcPr>
          <w:p>
            <w:pPr>
              <w:spacing w:after="0"/>
              <w:rPr>
                <w:sz w:val="1"/>
                <w:szCs w:val="1"/>
                <w:color w:val="auto"/>
              </w:rPr>
            </w:pPr>
          </w:p>
        </w:tc>
      </w:tr>
      <w:tr>
        <w:trPr>
          <w:trHeight w:val="237"/>
        </w:trPr>
        <w:tc>
          <w:tcPr>
            <w:tcW w:w="360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5,754</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0"/>
                <w:szCs w:val="20"/>
                <w:color w:val="auto"/>
              </w:rPr>
            </w:pPr>
          </w:p>
        </w:tc>
        <w:tc>
          <w:tcPr>
            <w:tcW w:w="1540" w:type="dxa"/>
            <w:vAlign w:val="bottom"/>
            <w:gridSpan w:val="2"/>
          </w:tcPr>
          <w:p>
            <w:pPr>
              <w:ind w:left="1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5,643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June 2016, the Financial Accounting Standards Board (the “FASB”) issued Accounting Standards Update (“ASU”) No. 2016-13, Financial Instruments—Credit Losses (Topic 326), which modifies disclosure requirements for fair value measurements by removing, modifying or adding certain disclosures. This ASU is effective for fiscal years beginning after December 15, 2019, with early adoption permitted. The amendments of this ASU should be applied on a retrospective basis to all periods presented. The Company is currently evaluating the effects adoption of this guidance will have on the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August 2018, the FASB issued ASU No. 2018-13, Fair Value Measurement (Topic 820), which modifies disclosure requirements on fair value measurements of Accounting Standards Codification (“ASC”) 820. This ASU is effective for all entities for fiscal years beginning after December 15, 2019, including interim periods therein. Early adoption is permitted including in any interim period for which financial statements have not yet been issued. Entities are permitted to early adopt the eliminated or modified disclosure requirements and delay the adoption new disclosure requirements until their effective date. The Company is currently evaluating the effects adoption of this guidance will have on the consolidated financial statements and does not anticipate adoption of this ASU will be material to its consolidated financial statements.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2020, the FASB issued ASU No. 2020-04, Reference Rate Reform (Topic 848), Facilitation of the Effects of Reference Rate Reform on Financial Reporting, which provides optional guidance for a limited period of time to ease the potential burden in accounting for reference rate reform on financial reporting. The amendments in this ASU are effective for all entities as of March 12, 2020 through December 31, 2022. The amendments of this ASU should be applied on a prospective basis. The Company is currently evaluating the effects adoption of this guidance will have on the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February 2016, the FASB issued ASU No. 2016-02, Leases (Topic 842). The standard requires lessees to recognize the assets and liabilities that arise from leases on the balance sheet. A lessee should recognize in the statement of financial position a liability to make lease payments (the lease liability) and a right-of-use asset representing its right to use the underlying asset for the lease term. In July 2018, the FASB issued ASU 2018-11, Leases (Topic 842): Targeted Improvements. ASU 2018-11 provides entities another option for transition, allowing entities to not apply the new standard in the comparative periods they present in their financial statements in the year of adoption. The amendments provide the option for the ASU to be applied at the beginning of the period adopted using a modified retrospective approach with earlier application permitted as of the beginning of an interim or annual reporting period.</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On September 1, 2019, the Company adopted ASU No. 2016-02 using the alternative transition method under ASU No. 2018-11, which permits application of the new lease guidance at the beginning of the period of adoption, with comparative periods continuing to be reporting under Topic 840. Upon adoption, the Company recorded the following within the Condensed Consolidated Balance Sheet: operating lease right-of-use assets of $5.1 million included within </w:t>
      </w:r>
      <w:r>
        <w:rPr>
          <w:rFonts w:ascii="Arial" w:cs="Arial" w:eastAsia="Arial" w:hAnsi="Arial"/>
          <w:sz w:val="17"/>
          <w:szCs w:val="17"/>
          <w:i w:val="1"/>
          <w:iCs w:val="1"/>
          <w:color w:val="auto"/>
        </w:rPr>
        <w:t>Other long-term assets,</w:t>
      </w:r>
      <w:r>
        <w:rPr>
          <w:rFonts w:ascii="Arial" w:cs="Arial" w:eastAsia="Arial" w:hAnsi="Arial"/>
          <w:sz w:val="17"/>
          <w:szCs w:val="17"/>
          <w:color w:val="auto"/>
        </w:rPr>
        <w:t xml:space="preserve"> current operating lease liabilities of $2.0 million included within </w:t>
      </w:r>
      <w:r>
        <w:rPr>
          <w:rFonts w:ascii="Arial" w:cs="Arial" w:eastAsia="Arial" w:hAnsi="Arial"/>
          <w:sz w:val="17"/>
          <w:szCs w:val="17"/>
          <w:i w:val="1"/>
          <w:iCs w:val="1"/>
          <w:color w:val="auto"/>
        </w:rPr>
        <w:t>Accrued expenses and other current liabilities,</w:t>
      </w:r>
      <w:r>
        <w:rPr>
          <w:rFonts w:ascii="Arial" w:cs="Arial" w:eastAsia="Arial" w:hAnsi="Arial"/>
          <w:sz w:val="17"/>
          <w:szCs w:val="17"/>
          <w:color w:val="auto"/>
        </w:rPr>
        <w:t xml:space="preserve"> long-term operating lease liabilities of $3.8 million included within </w:t>
      </w:r>
      <w:r>
        <w:rPr>
          <w:rFonts w:ascii="Arial" w:cs="Arial" w:eastAsia="Arial" w:hAnsi="Arial"/>
          <w:sz w:val="17"/>
          <w:szCs w:val="17"/>
          <w:i w:val="1"/>
          <w:iCs w:val="1"/>
          <w:color w:val="auto"/>
        </w:rPr>
        <w:t>Other long-term liabilities,</w:t>
      </w:r>
      <w:r>
        <w:rPr>
          <w:rFonts w:ascii="Arial" w:cs="Arial" w:eastAsia="Arial" w:hAnsi="Arial"/>
          <w:sz w:val="17"/>
          <w:szCs w:val="17"/>
          <w:color w:val="auto"/>
        </w:rPr>
        <w:t xml:space="preserve"> finance lease right-of-use assets of $1.2 million included within </w:t>
      </w:r>
      <w:r>
        <w:rPr>
          <w:rFonts w:ascii="Arial" w:cs="Arial" w:eastAsia="Arial" w:hAnsi="Arial"/>
          <w:sz w:val="17"/>
          <w:szCs w:val="17"/>
          <w:i w:val="1"/>
          <w:iCs w:val="1"/>
          <w:color w:val="auto"/>
        </w:rPr>
        <w:t>Property and equipment, net,</w:t>
      </w:r>
      <w:r>
        <w:rPr>
          <w:rFonts w:ascii="Arial" w:cs="Arial" w:eastAsia="Arial" w:hAnsi="Arial"/>
          <w:sz w:val="17"/>
          <w:szCs w:val="17"/>
          <w:color w:val="auto"/>
        </w:rPr>
        <w:t xml:space="preserve"> current finance lease liabilities of $0.2 million included within </w:t>
      </w:r>
      <w:r>
        <w:rPr>
          <w:rFonts w:ascii="Arial" w:cs="Arial" w:eastAsia="Arial" w:hAnsi="Arial"/>
          <w:sz w:val="17"/>
          <w:szCs w:val="17"/>
          <w:i w:val="1"/>
          <w:iCs w:val="1"/>
          <w:color w:val="auto"/>
        </w:rPr>
        <w:t>Current maturities of long term debt,</w:t>
      </w:r>
      <w:r>
        <w:rPr>
          <w:rFonts w:ascii="Arial" w:cs="Arial" w:eastAsia="Arial" w:hAnsi="Arial"/>
          <w:sz w:val="17"/>
          <w:szCs w:val="17"/>
          <w:color w:val="auto"/>
        </w:rPr>
        <w:t xml:space="preserve"> and long-term finance lease liabilities of $1.0 million included within </w:t>
      </w:r>
      <w:r>
        <w:rPr>
          <w:rFonts w:ascii="Arial" w:cs="Arial" w:eastAsia="Arial" w:hAnsi="Arial"/>
          <w:sz w:val="17"/>
          <w:szCs w:val="17"/>
          <w:i w:val="1"/>
          <w:iCs w:val="1"/>
          <w:color w:val="auto"/>
        </w:rPr>
        <w:t>Long-term debt less current maturities</w:t>
      </w:r>
      <w:r>
        <w:rPr>
          <w:rFonts w:ascii="Arial" w:cs="Arial" w:eastAsia="Arial" w:hAnsi="Arial"/>
          <w:sz w:val="17"/>
          <w:szCs w:val="17"/>
          <w:color w:val="auto"/>
        </w:rPr>
        <w:t xml:space="preserve">. Following the Acquisition of Quest, the Company recorded the following amounts in the Condensed Consolidated Balance Sheet as of the closing date on November 7, 2019: operating lease right-of-use assets of $21.1 million included within </w:t>
      </w:r>
      <w:r>
        <w:rPr>
          <w:rFonts w:ascii="Arial" w:cs="Arial" w:eastAsia="Arial" w:hAnsi="Arial"/>
          <w:sz w:val="17"/>
          <w:szCs w:val="17"/>
          <w:i w:val="1"/>
          <w:iCs w:val="1"/>
          <w:color w:val="auto"/>
        </w:rPr>
        <w:t>Other long-term assets,</w:t>
      </w:r>
      <w:r>
        <w:rPr>
          <w:rFonts w:ascii="Arial" w:cs="Arial" w:eastAsia="Arial" w:hAnsi="Arial"/>
          <w:sz w:val="17"/>
          <w:szCs w:val="17"/>
          <w:color w:val="auto"/>
        </w:rPr>
        <w:t xml:space="preserve"> current operating lease liabilities of $2.0 million included within </w:t>
      </w:r>
      <w:r>
        <w:rPr>
          <w:rFonts w:ascii="Arial" w:cs="Arial" w:eastAsia="Arial" w:hAnsi="Arial"/>
          <w:sz w:val="17"/>
          <w:szCs w:val="17"/>
          <w:i w:val="1"/>
          <w:iCs w:val="1"/>
          <w:color w:val="auto"/>
        </w:rPr>
        <w:t>Accrued expenses and other current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liabilities, </w:t>
      </w:r>
      <w:r>
        <w:rPr>
          <w:rFonts w:ascii="Arial" w:cs="Arial" w:eastAsia="Arial" w:hAnsi="Arial"/>
          <w:sz w:val="17"/>
          <w:szCs w:val="17"/>
          <w:color w:val="auto"/>
        </w:rPr>
        <w:t>and long-term operating lease liabilities of $18.9 million included within</w:t>
      </w:r>
      <w:r>
        <w:rPr>
          <w:rFonts w:ascii="Arial" w:cs="Arial" w:eastAsia="Arial" w:hAnsi="Arial"/>
          <w:sz w:val="17"/>
          <w:szCs w:val="17"/>
          <w:i w:val="1"/>
          <w:iCs w:val="1"/>
          <w:color w:val="auto"/>
        </w:rPr>
        <w:t xml:space="preserve"> Other long-term liabilities. </w:t>
      </w:r>
      <w:r>
        <w:rPr>
          <w:rFonts w:ascii="Arial" w:cs="Arial" w:eastAsia="Arial" w:hAnsi="Arial"/>
          <w:sz w:val="17"/>
          <w:szCs w:val="17"/>
          <w:color w:val="auto"/>
        </w:rPr>
        <w:t>The adoption of these ASUs did not result</w:t>
      </w:r>
      <w:r>
        <w:rPr>
          <w:rFonts w:ascii="Arial" w:cs="Arial" w:eastAsia="Arial" w:hAnsi="Arial"/>
          <w:sz w:val="17"/>
          <w:szCs w:val="17"/>
          <w:i w:val="1"/>
          <w:iCs w:val="1"/>
          <w:color w:val="auto"/>
        </w:rPr>
        <w:t xml:space="preserve"> </w:t>
      </w:r>
      <w:r>
        <w:rPr>
          <w:rFonts w:ascii="Arial" w:cs="Arial" w:eastAsia="Arial" w:hAnsi="Arial"/>
          <w:sz w:val="17"/>
          <w:szCs w:val="17"/>
          <w:color w:val="auto"/>
        </w:rPr>
        <w:t>in a cumulative-effect adjustment to the opening balance of retained earnings.</w:t>
      </w:r>
    </w:p>
    <w:p>
      <w:pPr>
        <w:spacing w:after="0" w:line="18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guidance provided a number of optional practical expedients in adoption. The Company elected to adopt the package of practical expedients permitted under the transition guidance within the standard, which among other things, permits it to not reassess prior conclusions about lease identification, lease classification and initial direct costs under the new standard. The Company did not elect the use-of-hindsight practical expedient or the practical expedient pertaining to land easements, the latter not being applicable. Additionally, the Company elected to include both lease and non-lease components as a single component for all asset classes in which the Company is the lessee. For additional information regarding leases, refer to Note 9.</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2018, the FASB issued ASU No. 2018-07, Compensation – Stock Compensation (Topic 718), Improvements to Nonemployee Share-Based Payment Accounting. This ASU simplifies aspects of share-based compensation issued to non-employees by aligning the guidance with accounting for employee share-based compensation. The Company adopted this ASU as of the first day of fiscal 2020. The adoption of this ASU did not have a material effect on the consolidated financial statements.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August 2018, the FASB issued ASU No. 2018-15, Intangibles-Goodwill and Other-Internal-Use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Company adopted this ASU as of the first day of fiscal 2020. The adoption of this ASU did not have a material effect on the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21, 2019, Atkins entered into the Purchase Agreement with the Target Companies, VMG Voyage Holdings, LLC, VMG Tax-Exempt II, L.P., Voyage Employee Holdings, LLC, and other sellers defined in the Purchase Agreement. On November 7, 2019, pursuant to the Purchase Agreement, Atkins completed the Acquisition of Quest for a cash purchase price at closing of $988.9 million subject to customary post-closing adjustments.</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Atkins acquired Quest as a part of the Company's vision to lead the nutritious snacking movement with trusted brands that offer a variety of convenient, innovative, great-tasting, better-for-you snacks and meal replacements. Quest is a healthy lifestyle food company offering a variety of bars, cookies, chips, ready-to-drink shakes and pizzas that compete in many of the attractive, fast growing sub-segments within the nutritional snacking category.</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Acquisition of Quest was accounted for using the acquisition method of accounting in accordance with ASC 805, Business Combinations (“ASC 805”), whereby the results of operations, including the revenues and earnings of Quest, are included in the financial statements from the date of acquisition. ASC 805 requires, among other things, that assets acquired and liabilities assumed be recognized at their fair values, as determined in accordance with ASC 820, Fair Value Measurements, as of the closing date. ASC 805 establishes a measurement period to provide the Company with a reasonable amount of time to obtain the information necessary to identify and measure various items in a business combination and cannot extend beyond one year from the acquisition date.</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The Acquisition of Quest was funded by the Company through a combination of cash, equity and debt financing. Total consideration paid on the closing date was $988.9 million. Cash sources of funding included $195.3 million of cash on hand, net proceeds of approximately $350.0 million from an underwritten public offering of common stock, and $443.6 million in new term loan debt. In the thirteen weeks ended May 30, 2020, the Company received a post-closing release from escrow of approximately $2.1 million related to net working capital adjustments, resulting in a total net consideration paid of $986.8 million as of May 30, 2020. </w:t>
      </w:r>
      <w:r>
        <w:rPr>
          <w:rFonts w:ascii="Arial" w:cs="Arial" w:eastAsia="Arial" w:hAnsi="Arial"/>
          <w:sz w:val="17"/>
          <w:szCs w:val="17"/>
          <w:i w:val="1"/>
          <w:iCs w:val="1"/>
          <w:color w:val="auto"/>
        </w:rPr>
        <w:t>Business transaction costs</w:t>
      </w:r>
      <w:r>
        <w:rPr>
          <w:rFonts w:ascii="Arial" w:cs="Arial" w:eastAsia="Arial" w:hAnsi="Arial"/>
          <w:sz w:val="17"/>
          <w:szCs w:val="17"/>
          <w:color w:val="auto"/>
        </w:rPr>
        <w:t xml:space="preserve"> within the Consolidated Statements of Operations and Comprehensive Income for the thirty-nine weeks ended May 30, 2020 was $26.9 million, which included $14.5 million of transaction advisory fees related to the Acquisition of Quest, $3.2 million of banker commitment fees, $6.1 million of non-deferrable debt issuance costs related to the incremental term loan, and $3.1 million of other costs, including legal, due diligence, and accounting fees.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Included in the transaction advisory fees paid for the Acquisition of Quest is $12.0 million paid to Centerview Partners LLC, an investment banking firm that served as the lead financial advisor to the Company for this transaction. Three members of the Company’s Board of Directors, Messrs. Kilts, West, and Ratzan, have business relationships with certain partners of Centerview Partners LLC (including relating to Centerview Capital Consumer, a private equity firm and affiliate of Conyers Park Sponsor LLC), but they are not themselves partners, executives or employees of Centerview Partners LLC, and Centerview Partners LLC is not a related party of the Company pursuant to applicable rules and policies. The advisory fee paid to Centerview Partners LLC represents approximately 1.2% of the total cash purchase price paid by the Company on the closing date of the Acquisition of Quest. All transaction advisory fees relating to the Acquisition of Quest were approved by the Company’s Audit Committee.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sets forth the preliminary purchase price allocation of the Acquisition of Quest to the estimated fair value of the net assets acquired at the date of acquisition, subject to finalization per the terms of the Purchase Agreement. The preliminary purchase price allocation may be adjusted as a result of the finalization of our purchase price allocation procedures related to the assets acquired and liabilities assumed. The preliminary November 7, 2019 fair value is as follows:</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34925</wp:posOffset>
            </wp:positionV>
            <wp:extent cx="6369050" cy="179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69050" cy="179705"/>
                    </a:xfrm>
                    <a:prstGeom prst="rect">
                      <a:avLst/>
                    </a:prstGeom>
                    <a:noFill/>
                  </pic:spPr>
                </pic:pic>
              </a:graphicData>
            </a:graphic>
          </wp:anchor>
        </w:drawing>
      </w:r>
    </w:p>
    <w:p>
      <w:pPr>
        <w:spacing w:after="0" w:line="8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Assets acquired:</w:t>
      </w:r>
    </w:p>
    <w:p>
      <w:pPr>
        <w:spacing w:after="0" w:line="86"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8600" w:type="dxa"/>
            <w:vAlign w:val="bottom"/>
          </w:tcPr>
          <w:p>
            <w:pPr>
              <w:ind w:left="260"/>
              <w:spacing w:after="0"/>
              <w:rPr>
                <w:sz w:val="20"/>
                <w:szCs w:val="20"/>
                <w:color w:val="auto"/>
              </w:rPr>
            </w:pPr>
            <w:r>
              <w:rPr>
                <w:rFonts w:ascii="Arial" w:cs="Arial" w:eastAsia="Arial" w:hAnsi="Arial"/>
                <w:sz w:val="16"/>
                <w:szCs w:val="16"/>
                <w:color w:val="auto"/>
              </w:rPr>
              <w:t>Cash and cash equivalents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4,745</w:t>
            </w:r>
          </w:p>
        </w:tc>
      </w:tr>
      <w:tr>
        <w:trPr>
          <w:trHeight w:val="33"/>
        </w:trPr>
        <w:tc>
          <w:tcPr>
            <w:tcW w:w="8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Accounts receivable, net</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26,537</w:t>
            </w:r>
          </w:p>
        </w:tc>
      </w:tr>
      <w:tr>
        <w:trPr>
          <w:trHeight w:val="237"/>
        </w:trPr>
        <w:tc>
          <w:tcPr>
            <w:tcW w:w="8600" w:type="dxa"/>
            <w:vAlign w:val="bottom"/>
          </w:tcPr>
          <w:p>
            <w:pPr>
              <w:ind w:left="260"/>
              <w:spacing w:after="0"/>
              <w:rPr>
                <w:sz w:val="20"/>
                <w:szCs w:val="20"/>
                <w:color w:val="auto"/>
              </w:rPr>
            </w:pPr>
            <w:r>
              <w:rPr>
                <w:rFonts w:ascii="Arial" w:cs="Arial" w:eastAsia="Arial" w:hAnsi="Arial"/>
                <w:sz w:val="16"/>
                <w:szCs w:val="16"/>
                <w:color w:val="auto"/>
              </w:rPr>
              <w:t>Inventories</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44,032</w:t>
            </w:r>
          </w:p>
        </w:tc>
      </w:tr>
      <w:tr>
        <w:trPr>
          <w:trHeight w:val="33"/>
        </w:trPr>
        <w:tc>
          <w:tcPr>
            <w:tcW w:w="8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Prepaid assets</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1,214</w:t>
            </w:r>
          </w:p>
        </w:tc>
      </w:tr>
      <w:tr>
        <w:trPr>
          <w:trHeight w:val="237"/>
        </w:trPr>
        <w:tc>
          <w:tcPr>
            <w:tcW w:w="8600" w:type="dxa"/>
            <w:vAlign w:val="bottom"/>
          </w:tcPr>
          <w:p>
            <w:pPr>
              <w:ind w:left="260"/>
              <w:spacing w:after="0"/>
              <w:rPr>
                <w:sz w:val="20"/>
                <w:szCs w:val="20"/>
                <w:color w:val="auto"/>
              </w:rPr>
            </w:pPr>
            <w:r>
              <w:rPr>
                <w:rFonts w:ascii="Arial" w:cs="Arial" w:eastAsia="Arial" w:hAnsi="Arial"/>
                <w:sz w:val="16"/>
                <w:szCs w:val="16"/>
                <w:color w:val="auto"/>
              </w:rPr>
              <w:t>Other current assets</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3,821</w:t>
            </w:r>
          </w:p>
        </w:tc>
      </w:tr>
      <w:tr>
        <w:trPr>
          <w:trHeight w:val="33"/>
        </w:trPr>
        <w:tc>
          <w:tcPr>
            <w:tcW w:w="8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6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Property and equipment, net</w:t>
            </w:r>
            <w:r>
              <w:rPr>
                <w:rFonts w:ascii="Arial" w:cs="Arial" w:eastAsia="Arial" w:hAnsi="Arial"/>
                <w:sz w:val="21"/>
                <w:szCs w:val="21"/>
                <w:color w:val="auto"/>
                <w:vertAlign w:val="superscript"/>
              </w:rPr>
              <w:t>(1)</w:t>
            </w:r>
          </w:p>
        </w:tc>
        <w:tc>
          <w:tcPr>
            <w:tcW w:w="4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10,363</w:t>
            </w:r>
          </w:p>
        </w:tc>
      </w:tr>
      <w:tr>
        <w:trPr>
          <w:trHeight w:val="270"/>
        </w:trPr>
        <w:tc>
          <w:tcPr>
            <w:tcW w:w="8600" w:type="dxa"/>
            <w:vAlign w:val="bottom"/>
          </w:tcPr>
          <w:p>
            <w:pPr>
              <w:ind w:left="260"/>
              <w:spacing w:after="0"/>
              <w:rPr>
                <w:sz w:val="20"/>
                <w:szCs w:val="20"/>
                <w:color w:val="auto"/>
              </w:rPr>
            </w:pPr>
            <w:r>
              <w:rPr>
                <w:rFonts w:ascii="Arial" w:cs="Arial" w:eastAsia="Arial" w:hAnsi="Arial"/>
                <w:sz w:val="16"/>
                <w:szCs w:val="16"/>
                <w:color w:val="auto"/>
              </w:rPr>
              <w:t>Intangible assets, net</w:t>
            </w:r>
            <w:r>
              <w:rPr>
                <w:rFonts w:ascii="Arial" w:cs="Arial" w:eastAsia="Arial" w:hAnsi="Arial"/>
                <w:sz w:val="21"/>
                <w:szCs w:val="21"/>
                <w:color w:val="auto"/>
                <w:vertAlign w:val="superscript"/>
              </w:rPr>
              <w:t>(2)</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848,375</w:t>
            </w:r>
          </w:p>
        </w:tc>
      </w:tr>
      <w:tr>
        <w:trPr>
          <w:trHeight w:val="250"/>
        </w:trPr>
        <w:tc>
          <w:tcPr>
            <w:tcW w:w="8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long-term assets</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20,997</w:t>
            </w:r>
          </w:p>
        </w:tc>
      </w:tr>
      <w:tr>
        <w:trPr>
          <w:trHeight w:val="237"/>
        </w:trPr>
        <w:tc>
          <w:tcPr>
            <w:tcW w:w="8600" w:type="dxa"/>
            <w:vAlign w:val="bottom"/>
          </w:tcPr>
          <w:p>
            <w:pPr>
              <w:ind w:left="20"/>
              <w:spacing w:after="0"/>
              <w:rPr>
                <w:sz w:val="20"/>
                <w:szCs w:val="20"/>
                <w:color w:val="auto"/>
              </w:rPr>
            </w:pPr>
            <w:r>
              <w:rPr>
                <w:rFonts w:ascii="Arial" w:cs="Arial" w:eastAsia="Arial" w:hAnsi="Arial"/>
                <w:sz w:val="16"/>
                <w:szCs w:val="16"/>
                <w:color w:val="auto"/>
              </w:rPr>
              <w:t>Liabilities assumed:</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8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Accounts payable</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25,200</w:t>
            </w:r>
          </w:p>
        </w:tc>
      </w:tr>
      <w:tr>
        <w:trPr>
          <w:trHeight w:val="237"/>
        </w:trPr>
        <w:tc>
          <w:tcPr>
            <w:tcW w:w="8600" w:type="dxa"/>
            <w:vAlign w:val="bottom"/>
          </w:tcPr>
          <w:p>
            <w:pPr>
              <w:ind w:left="260"/>
              <w:spacing w:after="0"/>
              <w:rPr>
                <w:sz w:val="20"/>
                <w:szCs w:val="20"/>
                <w:color w:val="auto"/>
              </w:rPr>
            </w:pPr>
            <w:r>
              <w:rPr>
                <w:rFonts w:ascii="Arial" w:cs="Arial" w:eastAsia="Arial" w:hAnsi="Arial"/>
                <w:sz w:val="16"/>
                <w:szCs w:val="16"/>
                <w:color w:val="auto"/>
              </w:rPr>
              <w:t>Other current liabilities</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11,237</w:t>
            </w:r>
          </w:p>
        </w:tc>
      </w:tr>
      <w:tr>
        <w:trPr>
          <w:trHeight w:val="33"/>
        </w:trPr>
        <w:tc>
          <w:tcPr>
            <w:tcW w:w="8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6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Deferred income taxes</w:t>
            </w:r>
            <w:r>
              <w:rPr>
                <w:rFonts w:ascii="Arial" w:cs="Arial" w:eastAsia="Arial" w:hAnsi="Arial"/>
                <w:sz w:val="21"/>
                <w:szCs w:val="21"/>
                <w:color w:val="auto"/>
                <w:vertAlign w:val="superscript"/>
              </w:rPr>
              <w:t>(3)</w:t>
            </w:r>
          </w:p>
        </w:tc>
        <w:tc>
          <w:tcPr>
            <w:tcW w:w="4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14,158</w:t>
            </w:r>
          </w:p>
        </w:tc>
      </w:tr>
      <w:tr>
        <w:trPr>
          <w:trHeight w:val="237"/>
        </w:trPr>
        <w:tc>
          <w:tcPr>
            <w:tcW w:w="8600" w:type="dxa"/>
            <w:vAlign w:val="bottom"/>
          </w:tcPr>
          <w:p>
            <w:pPr>
              <w:ind w:left="260"/>
              <w:spacing w:after="0"/>
              <w:rPr>
                <w:sz w:val="20"/>
                <w:szCs w:val="20"/>
                <w:color w:val="auto"/>
              </w:rPr>
            </w:pPr>
            <w:r>
              <w:rPr>
                <w:rFonts w:ascii="Arial" w:cs="Arial" w:eastAsia="Arial" w:hAnsi="Arial"/>
                <w:sz w:val="16"/>
                <w:szCs w:val="16"/>
                <w:color w:val="auto"/>
              </w:rPr>
              <w:t>Other long-term liabilities</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18,891</w:t>
            </w:r>
          </w:p>
        </w:tc>
      </w:tr>
      <w:tr>
        <w:trPr>
          <w:trHeight w:val="33"/>
        </w:trPr>
        <w:tc>
          <w:tcPr>
            <w:tcW w:w="86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identifiable net assets</w:t>
            </w:r>
          </w:p>
        </w:tc>
        <w:tc>
          <w:tcPr>
            <w:tcW w:w="4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890,598</w:t>
            </w:r>
          </w:p>
        </w:tc>
      </w:tr>
      <w:tr>
        <w:trPr>
          <w:trHeight w:val="270"/>
        </w:trPr>
        <w:tc>
          <w:tcPr>
            <w:tcW w:w="86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Goodwill</w:t>
            </w:r>
            <w:r>
              <w:rPr>
                <w:rFonts w:ascii="Arial" w:cs="Arial" w:eastAsia="Arial" w:hAnsi="Arial"/>
                <w:sz w:val="21"/>
                <w:szCs w:val="21"/>
                <w:color w:val="auto"/>
                <w:vertAlign w:val="superscript"/>
              </w:rPr>
              <w:t>(4)</w:t>
            </w:r>
          </w:p>
        </w:tc>
        <w:tc>
          <w:tcPr>
            <w:tcW w:w="4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96,231</w:t>
            </w:r>
          </w:p>
        </w:tc>
      </w:tr>
      <w:tr>
        <w:trPr>
          <w:trHeight w:val="243"/>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 acquired and liabilities assumed</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986,829</w:t>
            </w:r>
          </w:p>
        </w:tc>
      </w:tr>
      <w:tr>
        <w:trPr>
          <w:trHeight w:val="20"/>
        </w:trPr>
        <w:tc>
          <w:tcPr>
            <w:tcW w:w="86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both"/>
        <w:ind w:right="20" w:firstLine="8"/>
        <w:spacing w:after="0" w:line="261" w:lineRule="auto"/>
        <w:tabs>
          <w:tab w:leader="none" w:pos="256"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Property and equipment, net primarily consists of leasehold improvements for the Quest headquarters of $6.9 million, furniture and fixtures of $2.2 million, and equipment of $1.3 million. The Quest headquarters lease ends in April 2029. The useful lives of the leasehold improvements, furniture and fixtures, and equipment is consistent with the Company's accounting policies.</w:t>
      </w:r>
    </w:p>
    <w:p>
      <w:pPr>
        <w:spacing w:after="0" w:line="74" w:lineRule="exact"/>
        <w:rPr>
          <w:rFonts w:ascii="Arial" w:cs="Arial" w:eastAsia="Arial" w:hAnsi="Arial"/>
          <w:sz w:val="16"/>
          <w:szCs w:val="16"/>
          <w:color w:val="auto"/>
        </w:rPr>
      </w:pPr>
    </w:p>
    <w:p>
      <w:pPr>
        <w:jc w:val="both"/>
        <w:ind w:firstLine="8"/>
        <w:spacing w:after="0" w:line="253" w:lineRule="auto"/>
        <w:tabs>
          <w:tab w:leader="none" w:pos="242"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Intangible assets were recorded at fair value consistent with ASC 820 as a result of the Acquisition of Quest. Intangible assets consist of $730.0 million of indefinite brands and trademarks, $115.0 million of amortizable customer relationships, and $3.4 million of internally developed software. The useful lives of the intangible assets are disclosed in Note 5 of the consolidated financial statements. The fair value measurement of the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and market comparable data and companies.</w:t>
      </w:r>
    </w:p>
    <w:p>
      <w:pPr>
        <w:spacing w:after="0" w:line="83" w:lineRule="exact"/>
        <w:rPr>
          <w:rFonts w:ascii="Arial" w:cs="Arial" w:eastAsia="Arial" w:hAnsi="Arial"/>
          <w:sz w:val="16"/>
          <w:szCs w:val="16"/>
          <w:color w:val="auto"/>
        </w:rPr>
      </w:pPr>
    </w:p>
    <w:p>
      <w:pPr>
        <w:ind w:left="240" w:hanging="232"/>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a result of the increase in the fair value of the identifiable intangible asset, the deferred income tax liability was increased by $14.2 million.</w:t>
      </w:r>
    </w:p>
    <w:p>
      <w:pPr>
        <w:spacing w:after="0" w:line="113" w:lineRule="exact"/>
        <w:rPr>
          <w:rFonts w:ascii="Arial" w:cs="Arial" w:eastAsia="Arial" w:hAnsi="Arial"/>
          <w:sz w:val="16"/>
          <w:szCs w:val="16"/>
          <w:color w:val="auto"/>
        </w:rPr>
      </w:pPr>
    </w:p>
    <w:p>
      <w:pPr>
        <w:jc w:val="both"/>
        <w:ind w:firstLine="8"/>
        <w:spacing w:after="0" w:line="256" w:lineRule="auto"/>
        <w:tabs>
          <w:tab w:leader="none" w:pos="232" w:val="left"/>
        </w:tabs>
        <w:numPr>
          <w:ilvl w:val="0"/>
          <w:numId w:val="3"/>
        </w:numPr>
        <w:rPr>
          <w:rFonts w:ascii="Arial" w:cs="Arial" w:eastAsia="Arial" w:hAnsi="Arial"/>
          <w:sz w:val="16"/>
          <w:szCs w:val="16"/>
          <w:color w:val="auto"/>
        </w:rPr>
      </w:pPr>
      <w:r>
        <w:rPr>
          <w:rFonts w:ascii="Arial" w:cs="Arial" w:eastAsia="Arial" w:hAnsi="Arial"/>
          <w:sz w:val="16"/>
          <w:szCs w:val="16"/>
          <w:color w:val="auto"/>
        </w:rPr>
        <w:t>Goodwill was recorded at fair value consistent with ASC 820 as a result of the Acquisition of Quest. Amounts recorded for goodwill created in an acquisition structured as a stock purchase for tax are generally not expected to be deductible for tax purposes. Amounts recorded for goodwill resulting in a tax basis step-up are generally expected to be deductible for tax purposes. Tax deductible Goodwill is estimated to be $76.9 million. Goodwill represents the future economic benefits arising from other assets acquired that could not be individually identified and separately recognized.</w:t>
      </w:r>
    </w:p>
    <w:p>
      <w:pPr>
        <w:spacing w:after="0" w:line="1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purchase price is pending finalization per the terms of the Purchase Agreement. The final determination of the fair value of the assets acquired and liabilities assumed is expected to be completed as soon as practicable after completion of the Acquisition of Quest, including a period of time to finalize working capital adjustments and tax attributes, not to exceed one year from the acquisition date. Since the initial preliminary estimates reported in the first quarter of 2020, the Company has updated certain amounts reflected in the preliminary purchase price allocation, as summarized in the fair values of assets acquired and liabilities assumed as set forth above. Specifically, accounts receivable, net decreased $3.1 million and inventories increased $0.9 million due to fair value measurement period adjustments. Measurement period adjustments are recognized in the reporting period in which the adjustments are determined and calculated as if the accounting had been completed at the acquisition date. The final fair value determination of the assets acquired and liabilities assumed will be completed prior to one year from the transaction completion, consistent with ASC 805.</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results of Quest's operations have been included in the Simply Good Foods' Consolidated Financial Statements since November 7, 2019, the date of acquisition. The following table provides net sales from the acquired Quest business included in the Company's results:</w:t>
      </w:r>
    </w:p>
    <w:p>
      <w:pPr>
        <w:spacing w:after="0" w:line="337" w:lineRule="exact"/>
        <w:rPr>
          <w:sz w:val="20"/>
          <w:szCs w:val="20"/>
          <w:color w:val="auto"/>
        </w:rPr>
      </w:pPr>
    </w:p>
    <w:tbl>
      <w:tblPr>
        <w:tblLayout w:type="fixed"/>
        <w:tblInd w:w="2480" w:type="dxa"/>
        <w:tblCellMar>
          <w:top w:w="0" w:type="dxa"/>
          <w:left w:w="0" w:type="dxa"/>
          <w:bottom w:w="0" w:type="dxa"/>
          <w:right w:w="0" w:type="dxa"/>
        </w:tblCellMar>
      </w:tblPr>
      <w:tr>
        <w:trPr>
          <w:trHeight w:val="202"/>
        </w:trPr>
        <w:tc>
          <w:tcPr>
            <w:tcW w:w="3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Thirteen Weeks</w:t>
            </w:r>
          </w:p>
        </w:tc>
        <w:tc>
          <w:tcPr>
            <w:tcW w:w="1420" w:type="dxa"/>
            <w:vAlign w:val="bottom"/>
            <w:gridSpan w:val="2"/>
          </w:tcPr>
          <w:p>
            <w:pPr>
              <w:jc w:val="center"/>
              <w:spacing w:after="0"/>
              <w:rPr>
                <w:sz w:val="20"/>
                <w:szCs w:val="20"/>
                <w:color w:val="auto"/>
              </w:rPr>
            </w:pPr>
            <w:r>
              <w:rPr>
                <w:rFonts w:ascii="Arial" w:cs="Arial" w:eastAsia="Arial" w:hAnsi="Arial"/>
                <w:sz w:val="16"/>
                <w:szCs w:val="16"/>
                <w:color w:val="auto"/>
                <w:w w:val="94"/>
              </w:rPr>
              <w:t>Thirty-Nine Weeks</w:t>
            </w:r>
          </w:p>
        </w:tc>
      </w:tr>
      <w:tr>
        <w:trPr>
          <w:trHeight w:val="206"/>
        </w:trPr>
        <w:tc>
          <w:tcPr>
            <w:tcW w:w="3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color w:val="auto"/>
                <w:w w:val="86"/>
              </w:rPr>
              <w:t>Ended</w:t>
            </w:r>
          </w:p>
        </w:tc>
        <w:tc>
          <w:tcPr>
            <w:tcW w:w="180" w:type="dxa"/>
            <w:vAlign w:val="bottom"/>
          </w:tcPr>
          <w:p>
            <w:pPr>
              <w:spacing w:after="0"/>
              <w:rPr>
                <w:sz w:val="17"/>
                <w:szCs w:val="17"/>
                <w:color w:val="auto"/>
              </w:rPr>
            </w:pPr>
          </w:p>
        </w:tc>
        <w:tc>
          <w:tcPr>
            <w:tcW w:w="1240" w:type="dxa"/>
            <w:vAlign w:val="bottom"/>
          </w:tcPr>
          <w:p>
            <w:pPr>
              <w:jc w:val="center"/>
              <w:ind w:right="99"/>
              <w:spacing w:after="0"/>
              <w:rPr>
                <w:sz w:val="20"/>
                <w:szCs w:val="20"/>
                <w:color w:val="auto"/>
              </w:rPr>
            </w:pPr>
            <w:r>
              <w:rPr>
                <w:rFonts w:ascii="Arial" w:cs="Arial" w:eastAsia="Arial" w:hAnsi="Arial"/>
                <w:sz w:val="16"/>
                <w:szCs w:val="16"/>
                <w:color w:val="auto"/>
                <w:w w:val="90"/>
              </w:rPr>
              <w:t>Ended</w:t>
            </w:r>
          </w:p>
        </w:tc>
      </w:tr>
      <w:tr>
        <w:trPr>
          <w:trHeight w:val="270"/>
        </w:trPr>
        <w:tc>
          <w:tcPr>
            <w:tcW w:w="3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May 30, 2020</w:t>
            </w:r>
          </w:p>
        </w:tc>
        <w:tc>
          <w:tcPr>
            <w:tcW w:w="180" w:type="dxa"/>
            <w:vAlign w:val="bottom"/>
          </w:tcPr>
          <w:p>
            <w:pPr>
              <w:spacing w:after="0"/>
              <w:rPr>
                <w:sz w:val="23"/>
                <w:szCs w:val="23"/>
                <w:color w:val="auto"/>
              </w:rPr>
            </w:pPr>
          </w:p>
        </w:tc>
        <w:tc>
          <w:tcPr>
            <w:tcW w:w="1240" w:type="dxa"/>
            <w:vAlign w:val="bottom"/>
          </w:tcPr>
          <w:p>
            <w:pPr>
              <w:jc w:val="center"/>
              <w:ind w:right="99"/>
              <w:spacing w:after="0"/>
              <w:rPr>
                <w:sz w:val="20"/>
                <w:szCs w:val="20"/>
                <w:color w:val="auto"/>
              </w:rPr>
            </w:pPr>
            <w:r>
              <w:rPr>
                <w:rFonts w:ascii="Arial" w:cs="Arial" w:eastAsia="Arial" w:hAnsi="Arial"/>
                <w:sz w:val="16"/>
                <w:szCs w:val="16"/>
                <w:color w:val="auto"/>
                <w:w w:val="92"/>
              </w:rPr>
              <w:t>May 30, 2020</w:t>
            </w:r>
          </w:p>
        </w:tc>
      </w:tr>
      <w:tr>
        <w:trPr>
          <w:trHeight w:val="33"/>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192,621</w:t>
            </w:r>
          </w:p>
        </w:tc>
      </w:tr>
      <w:tr>
        <w:trPr>
          <w:trHeight w:val="33"/>
        </w:trPr>
        <w:tc>
          <w:tcPr>
            <w:tcW w:w="3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Pro forma financial information is not intended to represent or be indicative of the actual results of operations of the combined business that would have been reported had the Acquisition of Quest been completed at the beginning of the fiscal year 2019, nor is it representative of future operating results of the Company.</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This unaudited pro forma combined financial information is prepared based on Article 11 of Regulation S-X period end guidance. The Company and the legacy Quest entity have different fiscal year ends, with Simply Good Foods’ fiscal year being the last Saturday of August while the legacy Quest business fiscal year end was December 31. Because the year ends differ by more than 93 days, Quest's financial information is required to be adjusted to a period within 93 days of Simply Good Foods’ fiscal period end. For the purposes of preparing the unaudited pro forma combined financial information for the thirteen weeks ended May 25, 2019, the Company used Quest’s unaudited consolidated statement of operations for the three months ended March 31, 2019. For the purposes of preparing the unaudited pro forma combined financial information for the thirty-nine weeks ended May 25, 2019, the Company added Quest’s unaudited consolidated statement of operations for the three months ended March 31, 2019 to Quest's unaudited consolidated statement of operations for the six months ended December 31, 2018, which was derived by deducting the historical unaudited consolidated statement of operations for the six months ended June 30, 2018, from the unaudited consolidated statement of operations for the fiscal year ended December 31, 2018.</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to the above period end adjustments, the pro forma results include certain adjustments, as required under ASC 805, which are different than Article 11 pro forma requirements. ASC 805 requires pro forma adjustments to reflect the effects of fair value adjustments, transaction costs, capital structure changes, the tax effects of such adjustments, and also requires nonrecurring adjustments be prepared as though the Acquisition of Quest had occurred as of the beginning of the earliest period presented. The adjustments to the historical Quest financial results include the exclusion of legacy derivatives and interest expense that were settled in the execution of the Acquisition of Quest. Additional adjustments include non-recurring transaction costs and the portion of the inventory fair value adjustment recorded by the Company during the thirteen weeks ended and thirty-nine weeks ended May 30, 2020. Both periods were further adjusted to reflect a full period of (a) fair value adjustments related to inventory and incremental customer relationship amortization, (b) interest expense with the higher principal and interest rates associated with the Company's new term loan debt incurred to finance, in part, the Acquisition of Quest, and (c) the effects of the adjustments on income taxes and net income.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unaudited pro forma combined financial information presents combined results of the Company and Quest as if the Acquisition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Quest has occurred at the beginning of fiscal 2019:</w:t>
      </w:r>
    </w:p>
    <w:p>
      <w:pPr>
        <w:spacing w:after="0" w:line="175"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4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80" w:type="dxa"/>
            <w:vAlign w:val="bottom"/>
            <w:gridSpan w:val="5"/>
          </w:tcPr>
          <w:p>
            <w:pPr>
              <w:ind w:left="580"/>
              <w:spacing w:after="0"/>
              <w:rPr>
                <w:sz w:val="20"/>
                <w:szCs w:val="20"/>
                <w:color w:val="auto"/>
              </w:rPr>
            </w:pPr>
            <w:r>
              <w:rPr>
                <w:rFonts w:ascii="Arial" w:cs="Arial" w:eastAsia="Arial" w:hAnsi="Arial"/>
                <w:sz w:val="16"/>
                <w:szCs w:val="16"/>
                <w:color w:val="auto"/>
              </w:rPr>
              <w:t>Thirteen Weeks Ended</w:t>
            </w:r>
          </w:p>
        </w:tc>
        <w:tc>
          <w:tcPr>
            <w:tcW w:w="280" w:type="dxa"/>
            <w:vAlign w:val="bottom"/>
          </w:tcPr>
          <w:p>
            <w:pPr>
              <w:spacing w:after="0"/>
              <w:rPr>
                <w:sz w:val="17"/>
                <w:szCs w:val="17"/>
                <w:color w:val="auto"/>
              </w:rPr>
            </w:pPr>
          </w:p>
        </w:tc>
        <w:tc>
          <w:tcPr>
            <w:tcW w:w="2660" w:type="dxa"/>
            <w:vAlign w:val="bottom"/>
            <w:gridSpan w:val="4"/>
          </w:tcPr>
          <w:p>
            <w:pPr>
              <w:jc w:val="right"/>
              <w:ind w:right="539"/>
              <w:spacing w:after="0"/>
              <w:rPr>
                <w:sz w:val="20"/>
                <w:szCs w:val="20"/>
                <w:color w:val="auto"/>
              </w:rPr>
            </w:pPr>
            <w:r>
              <w:rPr>
                <w:rFonts w:ascii="Arial" w:cs="Arial" w:eastAsia="Arial" w:hAnsi="Arial"/>
                <w:sz w:val="16"/>
                <w:szCs w:val="16"/>
                <w:color w:val="auto"/>
              </w:rPr>
              <w:t>Thirty-Nine Weeks Ended</w:t>
            </w:r>
          </w:p>
        </w:tc>
      </w:tr>
      <w:tr>
        <w:trPr>
          <w:trHeight w:val="33"/>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color w:val="auto"/>
              </w:rPr>
              <w:t>May 30, 2020</w:t>
            </w:r>
          </w:p>
        </w:tc>
        <w:tc>
          <w:tcPr>
            <w:tcW w:w="18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color w:val="auto"/>
              </w:rPr>
              <w:t>May 25, 2019</w:t>
            </w:r>
          </w:p>
        </w:tc>
        <w:tc>
          <w:tcPr>
            <w:tcW w:w="28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color w:val="auto"/>
              </w:rPr>
              <w:t>May 30, 2020</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May 25, 2019</w:t>
            </w: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215,101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212,885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662,758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605,632</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88,626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81,451</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267,293</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218,399</w:t>
            </w: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46,034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3,679</w:t>
            </w:r>
          </w:p>
        </w:tc>
      </w:tr>
      <w:tr>
        <w:trPr>
          <w:trHeight w:val="33"/>
        </w:trPr>
        <w:tc>
          <w:tcPr>
            <w:tcW w:w="4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 The singular performance obligation of our customer contracts is determined by each individual purchase order and the products ordered, with revenue being recognized at a point-in-time when the obligation under the terms of the agreement is satisfied and product control is transferred to the customer. Specifically, control transfers to our customers when the product is delivered to or picked up by our customers based on applicable shipping terms. The performance obligations of our customer contracts are generally satisfied within 30 days.</w:t>
      </w:r>
    </w:p>
    <w:p>
      <w:pPr>
        <w:spacing w:after="0" w:line="19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Revenue is measured as the amount of consideration we expect to receive in exchange for fulfilled product orders, including estimates of variable consideration. The most common forms of variable consideration include trade programs, consumer incentives, coupon redemptions, allowances for unsaleable products, and any additional amounts where a distinct good or service cannot be identified or the value cannot be reasonably estimated. Estimates of variable consideration are made using various information including historical data on performance of similar trade promotional activities, as well as the Company’s best estimate of current activity. We review these estimates regularly and make revisions as necessary. Revisions can include changes for consideration paid to customers that lack sufficient evidence to support a distinct good or service assertion, or for which a reasonably estimable fair value cannot be determined, primarily related to our assessments of cooperative advertising programs. Uncertainties related to the estimate of variable consideration are resolved in a short time frame and do not require any additional constraint on variable consideration. Adjustments to variable consideration are recognized in the period the adjustments are identified and have historically been insignificant. Revenue is recognized net of any taxes collected from customers and subsequently remitted to governmental authorities.</w:t>
      </w:r>
    </w:p>
    <w:p>
      <w:pPr>
        <w:spacing w:after="0" w:line="16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provide standard assurance type warranties that our products will comply with all agreed-upon specifications. No services beyond an assurance type warranty are provided to our customers. While customers generally have a right to return defective or non-conforming products, past experience has demonstrated that product returns have been immaterial. Customer remedies for defective or non-conforming products may include a refund or exchange. As a result, the right of return is estimated and recorded as a reduction in revenue, if necessary.</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customer contracts identify product quantity, price and payment terms. Payment terms are granted consistent with industry standards. Although some payment terms may be more extended, the majority of our payment terms are less than 60 days. As a result, we do not adjust our revenues for the effects of a significant financing component. Amounts billed and due from our customers are classified as accounts receivable on the condensed consolidated balance sheets.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utilizes third-party contract manufacturers for the manufacture of its products. The Company has evaluated whether the Company is the principal or agent in these relationships. The Company has determined that it is the principal in all cases, as it maintains the responsibility for fulfillment, risk of loss and establishes the price.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elected the following practical expedients in accordance with ASC Topic 606:</w:t>
      </w:r>
    </w:p>
    <w:p>
      <w:pPr>
        <w:spacing w:after="0" w:line="225" w:lineRule="exact"/>
        <w:rPr>
          <w:sz w:val="20"/>
          <w:szCs w:val="20"/>
          <w:color w:val="auto"/>
        </w:rPr>
      </w:pPr>
    </w:p>
    <w:p>
      <w:pPr>
        <w:jc w:val="both"/>
        <w:ind w:left="1300" w:hanging="320"/>
        <w:spacing w:after="0" w:line="263"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Shipping and handling costs</w:t>
      </w:r>
      <w:r>
        <w:rPr>
          <w:rFonts w:ascii="Arial" w:cs="Arial" w:eastAsia="Arial" w:hAnsi="Arial"/>
          <w:sz w:val="18"/>
          <w:szCs w:val="18"/>
          <w:color w:val="auto"/>
        </w:rPr>
        <w:t>—We have elected to account for shipping and handling costs incurred to deliver products to customers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fulfillment activities, rather than a promised service. As such, fulfillment costs are included in </w:t>
      </w:r>
      <w:r>
        <w:rPr>
          <w:rFonts w:ascii="Arial" w:cs="Arial" w:eastAsia="Arial" w:hAnsi="Arial"/>
          <w:sz w:val="18"/>
          <w:szCs w:val="18"/>
          <w:i w:val="1"/>
          <w:iCs w:val="1"/>
          <w:color w:val="auto"/>
        </w:rPr>
        <w:t>Cost of goods sold</w:t>
      </w:r>
      <w:r>
        <w:rPr>
          <w:rFonts w:ascii="Arial" w:cs="Arial" w:eastAsia="Arial" w:hAnsi="Arial"/>
          <w:sz w:val="18"/>
          <w:szCs w:val="18"/>
          <w:color w:val="auto"/>
        </w:rPr>
        <w:t xml:space="preserve"> in our Condensed Consolidated Statements of Operations and Comprehensive Income.</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Costs of obtaining a contract</w:t>
      </w:r>
      <w:r>
        <w:rPr>
          <w:rFonts w:ascii="Arial" w:cs="Arial" w:eastAsia="Arial" w:hAnsi="Arial"/>
          <w:sz w:val="18"/>
          <w:szCs w:val="18"/>
          <w:color w:val="auto"/>
        </w:rPr>
        <w:t>—We have elected to expense costs of obtaining a contract because the amortization period would be less</w:t>
      </w:r>
      <w:r>
        <w:rPr>
          <w:rFonts w:ascii="Arial" w:cs="Arial" w:eastAsia="Arial" w:hAnsi="Arial"/>
          <w:sz w:val="18"/>
          <w:szCs w:val="18"/>
          <w:i w:val="1"/>
          <w:iCs w:val="1"/>
          <w:color w:val="auto"/>
        </w:rPr>
        <w:t xml:space="preserve"> </w:t>
      </w:r>
      <w:r>
        <w:rPr>
          <w:rFonts w:ascii="Arial" w:cs="Arial" w:eastAsia="Arial" w:hAnsi="Arial"/>
          <w:sz w:val="18"/>
          <w:szCs w:val="18"/>
          <w:color w:val="auto"/>
        </w:rPr>
        <w:t>than one year.</w:t>
      </w:r>
    </w:p>
    <w:p>
      <w:pPr>
        <w:spacing w:after="0" w:line="170"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Revenues from transactions with external customers for each of Simply Good Foods’ products would be impracticable to disclose and management does not view its business by product line. The following table presents our revenue disaggregated by geographic area and brand.</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80" w:type="dxa"/>
            <w:vAlign w:val="bottom"/>
            <w:gridSpan w:val="5"/>
          </w:tcPr>
          <w:p>
            <w:pPr>
              <w:ind w:left="580"/>
              <w:spacing w:after="0"/>
              <w:rPr>
                <w:sz w:val="20"/>
                <w:szCs w:val="20"/>
                <w:color w:val="auto"/>
              </w:rPr>
            </w:pPr>
            <w:r>
              <w:rPr>
                <w:rFonts w:ascii="Arial" w:cs="Arial" w:eastAsia="Arial" w:hAnsi="Arial"/>
                <w:sz w:val="16"/>
                <w:szCs w:val="16"/>
                <w:color w:val="auto"/>
              </w:rPr>
              <w:t>Thirteen Weeks Ended</w:t>
            </w:r>
          </w:p>
        </w:tc>
        <w:tc>
          <w:tcPr>
            <w:tcW w:w="180" w:type="dxa"/>
            <w:vAlign w:val="bottom"/>
          </w:tcPr>
          <w:p>
            <w:pPr>
              <w:spacing w:after="0"/>
              <w:rPr>
                <w:sz w:val="17"/>
                <w:szCs w:val="17"/>
                <w:color w:val="auto"/>
              </w:rPr>
            </w:pPr>
          </w:p>
        </w:tc>
        <w:tc>
          <w:tcPr>
            <w:tcW w:w="2760" w:type="dxa"/>
            <w:vAlign w:val="bottom"/>
            <w:gridSpan w:val="4"/>
          </w:tcPr>
          <w:p>
            <w:pPr>
              <w:jc w:val="right"/>
              <w:ind w:right="539"/>
              <w:spacing w:after="0"/>
              <w:rPr>
                <w:sz w:val="20"/>
                <w:szCs w:val="20"/>
                <w:color w:val="auto"/>
              </w:rPr>
            </w:pPr>
            <w:r>
              <w:rPr>
                <w:rFonts w:ascii="Arial" w:cs="Arial" w:eastAsia="Arial" w:hAnsi="Arial"/>
                <w:sz w:val="16"/>
                <w:szCs w:val="16"/>
                <w:color w:val="auto"/>
              </w:rPr>
              <w:t>Thirty-Nine Weeks Ended</w:t>
            </w:r>
          </w:p>
        </w:tc>
      </w:tr>
      <w:tr>
        <w:trPr>
          <w:trHeight w:val="33"/>
        </w:trPr>
        <w:tc>
          <w:tcPr>
            <w:tcW w:w="400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8"/>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98"/>
              </w:rPr>
              <w:t>May 30, 2020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98"/>
              </w:rPr>
              <w:t>May 25, 2019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98"/>
              </w:rPr>
              <w:t>May 30, 2020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98"/>
              </w:rPr>
              <w:t>May 25, 2019</w:t>
            </w: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North America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121,937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133,873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381,184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366,425</w:t>
            </w:r>
          </w:p>
        </w:tc>
      </w:tr>
      <w:tr>
        <w:trPr>
          <w:trHeight w:val="33"/>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17,774</w:t>
            </w:r>
          </w:p>
        </w:tc>
      </w:tr>
      <w:tr>
        <w:trPr>
          <w:trHeight w:val="217"/>
        </w:trPr>
        <w:tc>
          <w:tcPr>
            <w:tcW w:w="4000" w:type="dxa"/>
            <w:vAlign w:val="bottom"/>
            <w:gridSpan w:val="2"/>
          </w:tcPr>
          <w:p>
            <w:pPr>
              <w:ind w:left="280"/>
              <w:spacing w:after="0"/>
              <w:rPr>
                <w:sz w:val="20"/>
                <w:szCs w:val="20"/>
                <w:color w:val="auto"/>
              </w:rPr>
            </w:pPr>
            <w:r>
              <w:rPr>
                <w:rFonts w:ascii="Arial" w:cs="Arial" w:eastAsia="Arial" w:hAnsi="Arial"/>
                <w:sz w:val="16"/>
                <w:szCs w:val="16"/>
                <w:color w:val="auto"/>
              </w:rPr>
              <w:t>Total Atkins</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127,867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139,468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401,734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384,199</w:t>
            </w:r>
          </w:p>
        </w:tc>
      </w:tr>
      <w:tr>
        <w:trPr>
          <w:trHeight w:val="33"/>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Quest</w:t>
            </w:r>
            <w:r>
              <w:rPr>
                <w:rFonts w:ascii="Arial" w:cs="Arial" w:eastAsia="Arial" w:hAnsi="Arial"/>
                <w:sz w:val="21"/>
                <w:szCs w:val="21"/>
                <w:color w:val="auto"/>
                <w:vertAlign w:val="superscript"/>
              </w:rPr>
              <w:t>(1)</w:t>
            </w: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87,234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192,621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39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r>
      <w:tr>
        <w:trPr>
          <w:trHeight w:val="237"/>
        </w:trPr>
        <w:tc>
          <w:tcPr>
            <w:tcW w:w="400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215,101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139,468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594,355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384,199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12700</wp:posOffset>
            </wp:positionV>
            <wp:extent cx="380619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06190" cy="2540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(1) Quest net sales are primarily in North America.</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to goodwill during the thirty-nine weeks ended May 30, 2020 were as follows:</w:t>
      </w:r>
    </w:p>
    <w:p>
      <w:pPr>
        <w:spacing w:after="0" w:line="189"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8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Total</w:t>
            </w:r>
          </w:p>
        </w:tc>
      </w:tr>
      <w:tr>
        <w:trPr>
          <w:trHeight w:val="33"/>
        </w:trPr>
        <w:tc>
          <w:tcPr>
            <w:tcW w:w="8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August 31, 2019</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471,427</w:t>
            </w:r>
          </w:p>
        </w:tc>
      </w:tr>
      <w:tr>
        <w:trPr>
          <w:trHeight w:val="237"/>
        </w:trPr>
        <w:tc>
          <w:tcPr>
            <w:tcW w:w="8600" w:type="dxa"/>
            <w:vAlign w:val="bottom"/>
          </w:tcPr>
          <w:p>
            <w:pPr>
              <w:ind w:left="20"/>
              <w:spacing w:after="0"/>
              <w:rPr>
                <w:sz w:val="20"/>
                <w:szCs w:val="20"/>
                <w:color w:val="auto"/>
              </w:rPr>
            </w:pPr>
            <w:r>
              <w:rPr>
                <w:rFonts w:ascii="Arial" w:cs="Arial" w:eastAsia="Arial" w:hAnsi="Arial"/>
                <w:sz w:val="16"/>
                <w:szCs w:val="16"/>
                <w:color w:val="auto"/>
              </w:rPr>
              <w:t>Acquisition of business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96,231</w:t>
            </w:r>
          </w:p>
        </w:tc>
      </w:tr>
      <w:tr>
        <w:trPr>
          <w:trHeight w:val="33"/>
        </w:trPr>
        <w:tc>
          <w:tcPr>
            <w:tcW w:w="8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May 30, 2020</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567,658</w:t>
            </w:r>
          </w:p>
        </w:tc>
      </w:tr>
      <w:tr>
        <w:trPr>
          <w:trHeight w:val="20"/>
        </w:trPr>
        <w:tc>
          <w:tcPr>
            <w:tcW w:w="8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change in the Company's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from August 31, 2019 to May 30, 2020 is the result of the acquisition method of accounting related to the Acquisition of Quest, as described in Note 3. There were no impairment charges related to goodwill or intangible assets during this period or since the inception of the Company.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Intangible assets, net </w:t>
      </w:r>
      <w:r>
        <w:rPr>
          <w:rFonts w:ascii="Arial" w:cs="Arial" w:eastAsia="Arial" w:hAnsi="Arial"/>
          <w:sz w:val="18"/>
          <w:szCs w:val="18"/>
          <w:color w:val="auto"/>
        </w:rPr>
        <w:t>in our Condensed Consolidated Balance Sheets consist of the following:</w:t>
      </w:r>
    </w:p>
    <w:p>
      <w:pPr>
        <w:spacing w:after="0" w:line="189"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6"/>
                <w:szCs w:val="16"/>
                <w:color w:val="auto"/>
                <w:w w:val="94"/>
              </w:rPr>
              <w:t>May 30, 2020</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Gross carrying</w:t>
            </w:r>
          </w:p>
        </w:tc>
        <w:tc>
          <w:tcPr>
            <w:tcW w:w="140" w:type="dxa"/>
            <w:vAlign w:val="bottom"/>
          </w:tcPr>
          <w:p>
            <w:pPr>
              <w:spacing w:after="0"/>
              <w:rPr>
                <w:sz w:val="18"/>
                <w:szCs w:val="18"/>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6"/>
                <w:szCs w:val="16"/>
                <w:color w:val="auto"/>
                <w:w w:val="92"/>
              </w:rPr>
              <w:t>Accumulated</w:t>
            </w:r>
          </w:p>
        </w:tc>
        <w:tc>
          <w:tcPr>
            <w:tcW w:w="1420" w:type="dxa"/>
            <w:vAlign w:val="bottom"/>
            <w:gridSpan w:val="3"/>
            <w:vMerge w:val="restart"/>
          </w:tcPr>
          <w:p>
            <w:pPr>
              <w:ind w:left="20"/>
              <w:spacing w:after="0"/>
              <w:rPr>
                <w:sz w:val="20"/>
                <w:szCs w:val="20"/>
                <w:color w:val="auto"/>
              </w:rPr>
            </w:pPr>
            <w:r>
              <w:rPr>
                <w:rFonts w:ascii="Arial" w:cs="Arial" w:eastAsia="Arial" w:hAnsi="Arial"/>
                <w:sz w:val="16"/>
                <w:szCs w:val="16"/>
                <w:color w:val="auto"/>
                <w:w w:val="95"/>
              </w:rPr>
              <w:t>Net carrying amount</w:t>
            </w:r>
          </w:p>
        </w:tc>
        <w:tc>
          <w:tcPr>
            <w:tcW w:w="0" w:type="dxa"/>
            <w:vAlign w:val="bottom"/>
          </w:tcPr>
          <w:p>
            <w:pPr>
              <w:spacing w:after="0"/>
              <w:rPr>
                <w:sz w:val="1"/>
                <w:szCs w:val="1"/>
                <w:color w:val="auto"/>
              </w:rPr>
            </w:pPr>
          </w:p>
        </w:tc>
      </w:tr>
      <w:tr>
        <w:trPr>
          <w:trHeight w:val="98"/>
        </w:trPr>
        <w:tc>
          <w:tcPr>
            <w:tcW w:w="43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gridSpan w:val="2"/>
            <w:vMerge w:val="restart"/>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gridSpan w:val="2"/>
            <w:vMerge w:val="restart"/>
          </w:tcPr>
          <w:p>
            <w:pPr>
              <w:jc w:val="center"/>
              <w:ind w:right="99"/>
              <w:spacing w:after="0"/>
              <w:rPr>
                <w:sz w:val="20"/>
                <w:szCs w:val="20"/>
                <w:color w:val="auto"/>
              </w:rPr>
            </w:pPr>
            <w:r>
              <w:rPr>
                <w:rFonts w:ascii="Arial" w:cs="Arial" w:eastAsia="Arial" w:hAnsi="Arial"/>
                <w:sz w:val="16"/>
                <w:szCs w:val="16"/>
                <w:color w:val="auto"/>
                <w:w w:val="96"/>
              </w:rPr>
              <w:t>Useful life</w:t>
            </w:r>
          </w:p>
        </w:tc>
        <w:tc>
          <w:tcPr>
            <w:tcW w:w="12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vMerge w:val="restart"/>
          </w:tcPr>
          <w:p>
            <w:pPr>
              <w:jc w:val="center"/>
              <w:ind w:right="99"/>
              <w:spacing w:after="0"/>
              <w:rPr>
                <w:sz w:val="20"/>
                <w:szCs w:val="20"/>
                <w:color w:val="auto"/>
              </w:rPr>
            </w:pPr>
            <w:r>
              <w:rPr>
                <w:rFonts w:ascii="Arial" w:cs="Arial" w:eastAsia="Arial" w:hAnsi="Arial"/>
                <w:sz w:val="16"/>
                <w:szCs w:val="16"/>
                <w:color w:val="auto"/>
                <w:w w:val="93"/>
              </w:rPr>
              <w:t>amount</w:t>
            </w:r>
          </w:p>
        </w:tc>
        <w:tc>
          <w:tcPr>
            <w:tcW w:w="1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vMerge w:val="restart"/>
          </w:tcPr>
          <w:p>
            <w:pPr>
              <w:jc w:val="center"/>
              <w:ind w:right="59"/>
              <w:spacing w:after="0"/>
              <w:rPr>
                <w:sz w:val="20"/>
                <w:szCs w:val="20"/>
                <w:color w:val="auto"/>
              </w:rPr>
            </w:pPr>
            <w:r>
              <w:rPr>
                <w:rFonts w:ascii="Arial" w:cs="Arial" w:eastAsia="Arial" w:hAnsi="Arial"/>
                <w:sz w:val="16"/>
                <w:szCs w:val="16"/>
                <w:color w:val="auto"/>
                <w:w w:val="94"/>
              </w:rPr>
              <w:t>amortization</w:t>
            </w:r>
          </w:p>
        </w:tc>
        <w:tc>
          <w:tcPr>
            <w:tcW w:w="120" w:type="dxa"/>
            <w:vAlign w:val="bottom"/>
            <w:gridSpan w:val="2"/>
            <w:vMerge w:val="restart"/>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300" w:type="dxa"/>
            <w:vAlign w:val="bottom"/>
            <w:tcBorders>
              <w:bottom w:val="single" w:sz="8" w:color="auto"/>
            </w:tcBorders>
            <w:gridSpan w:val="2"/>
            <w:vMerge w:val="continue"/>
          </w:tcPr>
          <w:p>
            <w:pPr>
              <w:spacing w:after="0"/>
              <w:rPr>
                <w:sz w:val="11"/>
                <w:szCs w:val="11"/>
                <w:color w:val="auto"/>
              </w:rPr>
            </w:pPr>
          </w:p>
        </w:tc>
        <w:tc>
          <w:tcPr>
            <w:tcW w:w="100" w:type="dxa"/>
            <w:vAlign w:val="bottom"/>
            <w:tcBorders>
              <w:bottom w:val="single" w:sz="8" w:color="CCEEFF"/>
            </w:tcBorders>
            <w:gridSpan w:val="2"/>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gridSpan w:val="2"/>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Intangible assets with indefinite life:</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0" w:type="dxa"/>
            <w:vAlign w:val="bottom"/>
            <w:gridSpan w:val="4"/>
          </w:tcPr>
          <w:p>
            <w:pPr>
              <w:ind w:left="380"/>
              <w:spacing w:after="0"/>
              <w:rPr>
                <w:sz w:val="20"/>
                <w:szCs w:val="20"/>
                <w:color w:val="auto"/>
              </w:rPr>
            </w:pPr>
            <w:r>
              <w:rPr>
                <w:rFonts w:ascii="Arial" w:cs="Arial" w:eastAsia="Arial" w:hAnsi="Arial"/>
                <w:sz w:val="16"/>
                <w:szCs w:val="16"/>
                <w:color w:val="auto"/>
              </w:rPr>
              <w:t>Brands and trademarks</w:t>
            </w:r>
          </w:p>
        </w:tc>
        <w:tc>
          <w:tcPr>
            <w:tcW w:w="1140" w:type="dxa"/>
            <w:vAlign w:val="bottom"/>
            <w:gridSpan w:val="4"/>
          </w:tcPr>
          <w:p>
            <w:pPr>
              <w:jc w:val="center"/>
              <w:ind w:right="140"/>
              <w:spacing w:after="0"/>
              <w:rPr>
                <w:sz w:val="20"/>
                <w:szCs w:val="20"/>
                <w:color w:val="auto"/>
              </w:rPr>
            </w:pPr>
            <w:r>
              <w:rPr>
                <w:rFonts w:ascii="Arial" w:cs="Arial" w:eastAsia="Arial" w:hAnsi="Arial"/>
                <w:sz w:val="16"/>
                <w:szCs w:val="16"/>
                <w:color w:val="auto"/>
                <w:w w:val="97"/>
              </w:rPr>
              <w:t>Indefinite life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962,000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962,000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Intangible assets with finite lives:</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0" w:type="dxa"/>
            <w:vAlign w:val="bottom"/>
            <w:gridSpan w:val="4"/>
          </w:tcPr>
          <w:p>
            <w:pPr>
              <w:ind w:left="380"/>
              <w:spacing w:after="0"/>
              <w:rPr>
                <w:sz w:val="20"/>
                <w:szCs w:val="20"/>
                <w:color w:val="auto"/>
              </w:rPr>
            </w:pPr>
            <w:r>
              <w:rPr>
                <w:rFonts w:ascii="Arial" w:cs="Arial" w:eastAsia="Arial" w:hAnsi="Arial"/>
                <w:sz w:val="16"/>
                <w:szCs w:val="16"/>
                <w:color w:val="auto"/>
              </w:rPr>
              <w:t>Customer relationships</w:t>
            </w:r>
          </w:p>
        </w:tc>
        <w:tc>
          <w:tcPr>
            <w:tcW w:w="160" w:type="dxa"/>
            <w:vAlign w:val="bottom"/>
          </w:tcPr>
          <w:p>
            <w:pPr>
              <w:spacing w:after="0"/>
              <w:rPr>
                <w:sz w:val="20"/>
                <w:szCs w:val="20"/>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6"/>
                <w:szCs w:val="16"/>
                <w:color w:val="auto"/>
                <w:w w:val="87"/>
              </w:rPr>
              <w:t>15 years</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174,000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15,603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158,397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6"/>
                <w:szCs w:val="16"/>
                <w:color w:val="auto"/>
              </w:rPr>
              <w:t>Proprietary recipes and formulas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center"/>
              <w:ind w:right="280"/>
              <w:spacing w:after="0"/>
              <w:rPr>
                <w:sz w:val="20"/>
                <w:szCs w:val="20"/>
                <w:color w:val="auto"/>
              </w:rPr>
            </w:pPr>
            <w:r>
              <w:rPr>
                <w:rFonts w:ascii="Arial" w:cs="Arial" w:eastAsia="Arial" w:hAnsi="Arial"/>
                <w:sz w:val="16"/>
                <w:szCs w:val="16"/>
                <w:color w:val="auto"/>
                <w:w w:val="87"/>
              </w:rPr>
              <w:t>7 years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0" w:type="dxa"/>
            <w:vAlign w:val="bottom"/>
            <w:gridSpan w:val="4"/>
          </w:tcPr>
          <w:p>
            <w:pPr>
              <w:ind w:left="380"/>
              <w:spacing w:after="0"/>
              <w:rPr>
                <w:sz w:val="20"/>
                <w:szCs w:val="20"/>
                <w:color w:val="auto"/>
              </w:rPr>
            </w:pPr>
            <w:r>
              <w:rPr>
                <w:rFonts w:ascii="Arial" w:cs="Arial" w:eastAsia="Arial" w:hAnsi="Arial"/>
                <w:sz w:val="16"/>
                <w:szCs w:val="16"/>
                <w:color w:val="auto"/>
              </w:rPr>
              <w:t>Licensing agreements</w:t>
            </w:r>
          </w:p>
        </w:tc>
        <w:tc>
          <w:tcPr>
            <w:tcW w:w="160" w:type="dxa"/>
            <w:vAlign w:val="bottom"/>
          </w:tcPr>
          <w:p>
            <w:pPr>
              <w:spacing w:after="0"/>
              <w:rPr>
                <w:sz w:val="20"/>
                <w:szCs w:val="20"/>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6"/>
                <w:szCs w:val="16"/>
                <w:color w:val="auto"/>
                <w:w w:val="87"/>
              </w:rPr>
              <w:t>14 years</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4,527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17,473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6"/>
                <w:szCs w:val="16"/>
                <w:color w:val="auto"/>
              </w:rPr>
              <w:t>Software and website development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5 years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0" w:type="dxa"/>
            <w:vAlign w:val="bottom"/>
            <w:gridSpan w:val="4"/>
          </w:tcPr>
          <w:p>
            <w:pPr>
              <w:ind w:left="380"/>
              <w:spacing w:after="0"/>
              <w:rPr>
                <w:sz w:val="20"/>
                <w:szCs w:val="20"/>
                <w:color w:val="auto"/>
              </w:rPr>
            </w:pPr>
            <w:r>
              <w:rPr>
                <w:rFonts w:ascii="Arial" w:cs="Arial" w:eastAsia="Arial" w:hAnsi="Arial"/>
                <w:sz w:val="16"/>
                <w:szCs w:val="16"/>
                <w:color w:val="auto"/>
              </w:rPr>
              <w:t>Intangible assets in progress</w:t>
            </w:r>
          </w:p>
        </w:tc>
        <w:tc>
          <w:tcPr>
            <w:tcW w:w="16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ind w:left="60"/>
              <w:spacing w:after="0"/>
              <w:rPr>
                <w:sz w:val="20"/>
                <w:szCs w:val="20"/>
                <w:color w:val="auto"/>
              </w:rPr>
            </w:pPr>
            <w:r>
              <w:rPr>
                <w:rFonts w:ascii="Arial" w:cs="Arial" w:eastAsia="Arial" w:hAnsi="Arial"/>
                <w:sz w:val="16"/>
                <w:szCs w:val="16"/>
                <w:color w:val="auto"/>
              </w:rPr>
              <w:t>5 years</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1,170,818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1,145,516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6"/>
                <w:szCs w:val="16"/>
                <w:color w:val="auto"/>
                <w:w w:val="92"/>
              </w:rPr>
              <w:t>August 31, 2019</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Gross carrying</w:t>
            </w:r>
          </w:p>
        </w:tc>
        <w:tc>
          <w:tcPr>
            <w:tcW w:w="140" w:type="dxa"/>
            <w:vAlign w:val="bottom"/>
          </w:tcPr>
          <w:p>
            <w:pPr>
              <w:spacing w:after="0"/>
              <w:rPr>
                <w:sz w:val="18"/>
                <w:szCs w:val="18"/>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6"/>
                <w:szCs w:val="16"/>
                <w:color w:val="auto"/>
                <w:w w:val="92"/>
              </w:rPr>
              <w:t>Accumulated</w:t>
            </w:r>
          </w:p>
        </w:tc>
        <w:tc>
          <w:tcPr>
            <w:tcW w:w="1420" w:type="dxa"/>
            <w:vAlign w:val="bottom"/>
            <w:gridSpan w:val="3"/>
            <w:vMerge w:val="restart"/>
          </w:tcPr>
          <w:p>
            <w:pPr>
              <w:ind w:left="20"/>
              <w:spacing w:after="0"/>
              <w:rPr>
                <w:sz w:val="20"/>
                <w:szCs w:val="20"/>
                <w:color w:val="auto"/>
              </w:rPr>
            </w:pPr>
            <w:r>
              <w:rPr>
                <w:rFonts w:ascii="Arial" w:cs="Arial" w:eastAsia="Arial" w:hAnsi="Arial"/>
                <w:sz w:val="16"/>
                <w:szCs w:val="16"/>
                <w:color w:val="auto"/>
                <w:w w:val="95"/>
              </w:rPr>
              <w:t>Net carrying amount</w:t>
            </w:r>
          </w:p>
        </w:tc>
        <w:tc>
          <w:tcPr>
            <w:tcW w:w="0" w:type="dxa"/>
            <w:vAlign w:val="bottom"/>
          </w:tcPr>
          <w:p>
            <w:pPr>
              <w:spacing w:after="0"/>
              <w:rPr>
                <w:sz w:val="1"/>
                <w:szCs w:val="1"/>
                <w:color w:val="auto"/>
              </w:rPr>
            </w:pPr>
          </w:p>
        </w:tc>
      </w:tr>
      <w:tr>
        <w:trPr>
          <w:trHeight w:val="98"/>
        </w:trPr>
        <w:tc>
          <w:tcPr>
            <w:tcW w:w="428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gridSpan w:val="2"/>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gridSpan w:val="2"/>
            <w:vMerge w:val="restart"/>
          </w:tcPr>
          <w:p>
            <w:pPr>
              <w:jc w:val="center"/>
              <w:ind w:right="99"/>
              <w:spacing w:after="0"/>
              <w:rPr>
                <w:sz w:val="20"/>
                <w:szCs w:val="20"/>
                <w:color w:val="auto"/>
              </w:rPr>
            </w:pPr>
            <w:r>
              <w:rPr>
                <w:rFonts w:ascii="Arial" w:cs="Arial" w:eastAsia="Arial" w:hAnsi="Arial"/>
                <w:sz w:val="16"/>
                <w:szCs w:val="16"/>
                <w:color w:val="auto"/>
                <w:w w:val="96"/>
              </w:rPr>
              <w:t>Useful life</w:t>
            </w:r>
          </w:p>
        </w:tc>
        <w:tc>
          <w:tcPr>
            <w:tcW w:w="12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vMerge w:val="restart"/>
          </w:tcPr>
          <w:p>
            <w:pPr>
              <w:jc w:val="center"/>
              <w:ind w:right="79"/>
              <w:spacing w:after="0"/>
              <w:rPr>
                <w:sz w:val="20"/>
                <w:szCs w:val="20"/>
                <w:color w:val="auto"/>
              </w:rPr>
            </w:pPr>
            <w:r>
              <w:rPr>
                <w:rFonts w:ascii="Arial" w:cs="Arial" w:eastAsia="Arial" w:hAnsi="Arial"/>
                <w:sz w:val="16"/>
                <w:szCs w:val="16"/>
                <w:color w:val="auto"/>
                <w:w w:val="89"/>
              </w:rPr>
              <w:t>amount</w:t>
            </w:r>
          </w:p>
        </w:tc>
        <w:tc>
          <w:tcPr>
            <w:tcW w:w="1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vMerge w:val="restart"/>
          </w:tcPr>
          <w:p>
            <w:pPr>
              <w:jc w:val="center"/>
              <w:ind w:right="59"/>
              <w:spacing w:after="0"/>
              <w:rPr>
                <w:sz w:val="20"/>
                <w:szCs w:val="20"/>
                <w:color w:val="auto"/>
              </w:rPr>
            </w:pPr>
            <w:r>
              <w:rPr>
                <w:rFonts w:ascii="Arial" w:cs="Arial" w:eastAsia="Arial" w:hAnsi="Arial"/>
                <w:sz w:val="16"/>
                <w:szCs w:val="16"/>
                <w:color w:val="auto"/>
                <w:w w:val="94"/>
              </w:rPr>
              <w:t>amortization</w:t>
            </w:r>
          </w:p>
        </w:tc>
        <w:tc>
          <w:tcPr>
            <w:tcW w:w="10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2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gridSpan w:val="2"/>
            <w:vMerge w:val="continue"/>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Intangible assets with indefinite life:</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0" w:type="dxa"/>
            <w:vAlign w:val="bottom"/>
            <w:gridSpan w:val="4"/>
          </w:tcPr>
          <w:p>
            <w:pPr>
              <w:ind w:left="380"/>
              <w:spacing w:after="0"/>
              <w:rPr>
                <w:sz w:val="20"/>
                <w:szCs w:val="20"/>
                <w:color w:val="auto"/>
              </w:rPr>
            </w:pPr>
            <w:r>
              <w:rPr>
                <w:rFonts w:ascii="Arial" w:cs="Arial" w:eastAsia="Arial" w:hAnsi="Arial"/>
                <w:sz w:val="16"/>
                <w:szCs w:val="16"/>
                <w:color w:val="auto"/>
              </w:rPr>
              <w:t>Brands and trademarks</w:t>
            </w:r>
          </w:p>
        </w:tc>
        <w:tc>
          <w:tcPr>
            <w:tcW w:w="1140" w:type="dxa"/>
            <w:vAlign w:val="bottom"/>
            <w:gridSpan w:val="4"/>
          </w:tcPr>
          <w:p>
            <w:pPr>
              <w:jc w:val="center"/>
              <w:ind w:right="140"/>
              <w:spacing w:after="0"/>
              <w:rPr>
                <w:sz w:val="20"/>
                <w:szCs w:val="20"/>
                <w:color w:val="auto"/>
              </w:rPr>
            </w:pPr>
            <w:r>
              <w:rPr>
                <w:rFonts w:ascii="Arial" w:cs="Arial" w:eastAsia="Arial" w:hAnsi="Arial"/>
                <w:sz w:val="16"/>
                <w:szCs w:val="16"/>
                <w:color w:val="auto"/>
                <w:w w:val="97"/>
              </w:rPr>
              <w:t>Indefinite life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232,000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232,000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Intangible assets with finite lives:</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0" w:type="dxa"/>
            <w:vAlign w:val="bottom"/>
            <w:gridSpan w:val="4"/>
          </w:tcPr>
          <w:p>
            <w:pPr>
              <w:ind w:left="380"/>
              <w:spacing w:after="0"/>
              <w:rPr>
                <w:sz w:val="20"/>
                <w:szCs w:val="20"/>
                <w:color w:val="auto"/>
              </w:rPr>
            </w:pPr>
            <w:r>
              <w:rPr>
                <w:rFonts w:ascii="Arial" w:cs="Arial" w:eastAsia="Arial" w:hAnsi="Arial"/>
                <w:sz w:val="16"/>
                <w:szCs w:val="16"/>
                <w:color w:val="auto"/>
              </w:rPr>
              <w:t>Customer relationships</w:t>
            </w:r>
          </w:p>
        </w:tc>
        <w:tc>
          <w:tcPr>
            <w:tcW w:w="160" w:type="dxa"/>
            <w:vAlign w:val="bottom"/>
          </w:tcPr>
          <w:p>
            <w:pPr>
              <w:spacing w:after="0"/>
              <w:rPr>
                <w:sz w:val="20"/>
                <w:szCs w:val="20"/>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6"/>
                <w:szCs w:val="16"/>
                <w:color w:val="auto"/>
                <w:w w:val="87"/>
              </w:rPr>
              <w:t>15 years</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8,382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50,618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6"/>
                <w:szCs w:val="16"/>
                <w:color w:val="auto"/>
              </w:rPr>
              <w:t>Proprietary recipes and formulas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center"/>
              <w:ind w:right="280"/>
              <w:spacing w:after="0"/>
              <w:rPr>
                <w:sz w:val="20"/>
                <w:szCs w:val="20"/>
                <w:color w:val="auto"/>
              </w:rPr>
            </w:pPr>
            <w:r>
              <w:rPr>
                <w:rFonts w:ascii="Arial" w:cs="Arial" w:eastAsia="Arial" w:hAnsi="Arial"/>
                <w:sz w:val="16"/>
                <w:szCs w:val="16"/>
                <w:color w:val="auto"/>
                <w:w w:val="87"/>
              </w:rPr>
              <w:t>7 years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0" w:type="dxa"/>
            <w:vAlign w:val="bottom"/>
            <w:gridSpan w:val="4"/>
          </w:tcPr>
          <w:p>
            <w:pPr>
              <w:ind w:left="380"/>
              <w:spacing w:after="0"/>
              <w:rPr>
                <w:sz w:val="20"/>
                <w:szCs w:val="20"/>
                <w:color w:val="auto"/>
              </w:rPr>
            </w:pPr>
            <w:r>
              <w:rPr>
                <w:rFonts w:ascii="Arial" w:cs="Arial" w:eastAsia="Arial" w:hAnsi="Arial"/>
                <w:sz w:val="16"/>
                <w:szCs w:val="16"/>
                <w:color w:val="auto"/>
              </w:rPr>
              <w:t>Licensing agreements</w:t>
            </w:r>
          </w:p>
        </w:tc>
        <w:tc>
          <w:tcPr>
            <w:tcW w:w="160" w:type="dxa"/>
            <w:vAlign w:val="bottom"/>
          </w:tcPr>
          <w:p>
            <w:pPr>
              <w:spacing w:after="0"/>
              <w:rPr>
                <w:sz w:val="20"/>
                <w:szCs w:val="20"/>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6"/>
                <w:szCs w:val="16"/>
                <w:color w:val="auto"/>
                <w:w w:val="87"/>
              </w:rPr>
              <w:t>14 years</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3,348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18,652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13,861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306,139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Intangible assets, net </w:t>
      </w:r>
      <w:r>
        <w:rPr>
          <w:rFonts w:ascii="Arial" w:cs="Arial" w:eastAsia="Arial" w:hAnsi="Arial"/>
          <w:sz w:val="17"/>
          <w:szCs w:val="17"/>
          <w:color w:val="auto"/>
        </w:rPr>
        <w:t>changed due to amortization expense and the Acquisition of Quest. Amortization expense related to intangible assets during</w:t>
      </w:r>
      <w:r>
        <w:rPr>
          <w:rFonts w:ascii="Arial" w:cs="Arial" w:eastAsia="Arial" w:hAnsi="Arial"/>
          <w:sz w:val="17"/>
          <w:szCs w:val="17"/>
          <w:i w:val="1"/>
          <w:iCs w:val="1"/>
          <w:color w:val="auto"/>
        </w:rPr>
        <w:t xml:space="preserve"> </w:t>
      </w:r>
      <w:r>
        <w:rPr>
          <w:rFonts w:ascii="Arial" w:cs="Arial" w:eastAsia="Arial" w:hAnsi="Arial"/>
          <w:sz w:val="17"/>
          <w:szCs w:val="17"/>
          <w:color w:val="auto"/>
        </w:rPr>
        <w:t>the thirteen weeks ended May 30, 2020 and May 25, 2019 were $3.9 million and $1.6 million, respectively. Amortization expense related to intangible assets during the thirty-nine weeks ended May 30, 2020 and May 25, 2019 were $10.1 million and $4.9 million, respectively.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Estimated future amortization for each of the next five fiscal years and thereafter is as follows:</w:t>
      </w:r>
    </w:p>
    <w:p>
      <w:pPr>
        <w:spacing w:after="0" w:line="234" w:lineRule="exact"/>
        <w:rPr>
          <w:sz w:val="20"/>
          <w:szCs w:val="20"/>
          <w:color w:val="auto"/>
        </w:rPr>
      </w:pPr>
    </w:p>
    <w:tbl>
      <w:tblPr>
        <w:tblLayout w:type="fixed"/>
        <w:tblInd w:w="2760" w:type="dxa"/>
        <w:tblCellMar>
          <w:top w:w="0" w:type="dxa"/>
          <w:left w:w="0" w:type="dxa"/>
          <w:bottom w:w="0" w:type="dxa"/>
          <w:right w:w="0" w:type="dxa"/>
        </w:tblCellMar>
      </w:tblPr>
      <w:tr>
        <w:trPr>
          <w:trHeight w:val="188"/>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 by fiscal year)</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36"/>
        </w:trPr>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Remainder of 2020</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3,888</w:t>
            </w:r>
          </w:p>
        </w:tc>
      </w:tr>
      <w:tr>
        <w:trPr>
          <w:trHeight w:val="237"/>
        </w:trPr>
        <w:tc>
          <w:tcPr>
            <w:tcW w:w="4180" w:type="dxa"/>
            <w:vAlign w:val="bottom"/>
          </w:tcPr>
          <w:p>
            <w:pPr>
              <w:ind w:left="2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15,327</w:t>
            </w:r>
          </w:p>
        </w:tc>
      </w:tr>
      <w:tr>
        <w:trPr>
          <w:trHeight w:val="33"/>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15,094</w:t>
            </w:r>
          </w:p>
        </w:tc>
      </w:tr>
      <w:tr>
        <w:trPr>
          <w:trHeight w:val="237"/>
        </w:trPr>
        <w:tc>
          <w:tcPr>
            <w:tcW w:w="4180" w:type="dxa"/>
            <w:vAlign w:val="bottom"/>
          </w:tcPr>
          <w:p>
            <w:pPr>
              <w:ind w:left="2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14,829</w:t>
            </w:r>
          </w:p>
        </w:tc>
      </w:tr>
      <w:tr>
        <w:trPr>
          <w:trHeight w:val="33"/>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14,281</w:t>
            </w:r>
          </w:p>
        </w:tc>
      </w:tr>
      <w:tr>
        <w:trPr>
          <w:trHeight w:val="237"/>
        </w:trPr>
        <w:tc>
          <w:tcPr>
            <w:tcW w:w="4300" w:type="dxa"/>
            <w:vAlign w:val="bottom"/>
            <w:gridSpan w:val="2"/>
          </w:tcPr>
          <w:p>
            <w:pPr>
              <w:ind w:left="20"/>
              <w:spacing w:after="0"/>
              <w:rPr>
                <w:sz w:val="20"/>
                <w:szCs w:val="20"/>
                <w:color w:val="auto"/>
              </w:rPr>
            </w:pPr>
            <w:r>
              <w:rPr>
                <w:rFonts w:ascii="Arial" w:cs="Arial" w:eastAsia="Arial" w:hAnsi="Arial"/>
                <w:sz w:val="16"/>
                <w:szCs w:val="16"/>
                <w:color w:val="auto"/>
              </w:rPr>
              <w:t>2025 and thereafter</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119,891</w:t>
            </w:r>
          </w:p>
        </w:tc>
      </w:tr>
      <w:tr>
        <w:trPr>
          <w:trHeight w:val="33"/>
        </w:trPr>
        <w:tc>
          <w:tcPr>
            <w:tcW w:w="4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183,310</w:t>
            </w:r>
          </w:p>
        </w:tc>
      </w:tr>
      <w:tr>
        <w:trPr>
          <w:trHeight w:val="20"/>
        </w:trPr>
        <w:tc>
          <w:tcPr>
            <w:tcW w:w="4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 and Line of Credit</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July 7, 2017, the Company entered into a credit agreement with Barclays Bank PLC and other parties (as amended to date, the “Credit Agreement”). The Credit Agreement provides for (i) a term facility of $200.0 million (“Term Facility”) with a seven year maturity and (ii) a revolving credit facility of up to $75.0 million (the “Revolving Credit Facility”) with a five year maturity. Substantially concurrent with the consummation of the Acquisition of Atkins, the full $200.0 million of the Term Facility (the “Term Loan”) was drawn. The interest rate per annum was based on either (i) a base rate equaling the higher of (a) the “prime rate”, (b) the federal funds effective rate plus 0.50% and (c) the Euro-currency rate applicable for an interest period of one month plus 1.00% plus (x) 3.00% margin for the Term Loan or (y) 2.00% margin for the Revolving Credit Facility, or (ii) London Interbank Offered Rate (“LIBOR”) adjusted for statutory reserve requirements, plus (x) 4.00% margin for the Term Loan subject to a floor of 1.00% or (y) 3.00% margin for the Revolving Credit Facility. As security for the payment or performance of its debt, the Company has pledged certain equity interests in its subsidiaries.</w:t>
      </w:r>
    </w:p>
    <w:p>
      <w:pPr>
        <w:spacing w:after="0" w:line="19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March 16, 2018 (the “Amendment Date”), the Company entered into an amendment (the “Repricing Amendment”) to the Credit Agreement. As a result of the Repricing Amendment, the interest rate on the Term Loan was reduced and, as of the Amendment Date, such loans had an interest rate equal to, at the Company’s option, either LIBOR plus an applicable margin of 3.50% or a base rate plus an applicable margin of 2.50%. The Repricing Amendment did not change the interest rate on the Revolving Credit Facility. The Revolving Credit Facility continued to bear interest based upon the Company's consolidated net leverage ratio as of the last financial statements delivered to the administrative agent. No additional debt was incurred, or any proceeds received, by the Company in connection with the Repricing Amendment. The incremental fees paid to the administrative agent are reflected as additional debt discount and are amortized over the terms of the long-term financing agreements using the effective-interest method.</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November 7, 2019, the Company entered into an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and as of the Amendment No. 2 Effective Date (as defined in the Incremental Facility Amendment), the Initial Term Loans bear interest at a rate equal to, at the Company's option, either LIBOR plus an applicable margin of 3.75% or a base rate plus an applicable margin of 2.75%. The Incremental Facility Amendment was executed to partially finance the Acquisition of Quest. No amounts under the Term Facility were repaid as a result of the execution of the Incremental Facility Amendment.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thirteen weeks ended May 30, 2020, the Company borrowed $25.0 million under the Revolving Credit Facility. This was a precautionary measure to preserve financial flexibility and to maintain liquidity in response to the spread of COVID-19 and uncertainty around consumer behavior. The Company used the proceeds of the Revolving Credit Facility to meet initial elevated customer orders in response to COVID-19, build finished goods inventory of some of its high velocity items, support working capital and support general corporate purposes. Subsequent to the end of the third quarter 2020, the Company repaid the $25.0 million borrowing under the Revolving Credit Facility. The Company may repay borrowings under the Revolving Credit Facility at any time without penalty.</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Credit Agreement contains certain financial and other covenants that limit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6.25:1.00 (with a reduction to 6.00:1.00 on and after the third anniversary of the closing date of the Credit Agreement) contingent on credit extensions in excess of 30% of the total amount of commitments available under the Revolving Credit Facility. Any failure to comply with the restrictions of the Credit Agreement may result in an event of default. The Company was in compliance with all financial covenants under the Credit Agreement as of May 30, 2020 and August 31, 2019.</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consists of the following:</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247"/>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96"/>
              </w:rPr>
              <w:t>May 30, 2020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2"/>
              </w:rPr>
              <w:t>August 31, 2019</w:t>
            </w:r>
          </w:p>
        </w:tc>
      </w:tr>
      <w:tr>
        <w:trPr>
          <w:trHeight w:val="236"/>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Term Facility (effective rate of 4.8% at May 30, 2020)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635,500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196,500</w:t>
            </w:r>
          </w:p>
        </w:tc>
      </w:tr>
      <w:tr>
        <w:trPr>
          <w:trHeight w:val="237"/>
        </w:trPr>
        <w:tc>
          <w:tcPr>
            <w:tcW w:w="6960" w:type="dxa"/>
            <w:vAlign w:val="bottom"/>
            <w:gridSpan w:val="2"/>
          </w:tcPr>
          <w:p>
            <w:pPr>
              <w:ind w:left="20"/>
              <w:spacing w:after="0"/>
              <w:rPr>
                <w:sz w:val="20"/>
                <w:szCs w:val="20"/>
                <w:color w:val="auto"/>
              </w:rPr>
            </w:pPr>
            <w:r>
              <w:rPr>
                <w:rFonts w:ascii="Arial" w:cs="Arial" w:eastAsia="Arial" w:hAnsi="Arial"/>
                <w:sz w:val="16"/>
                <w:szCs w:val="16"/>
                <w:color w:val="auto"/>
              </w:rPr>
              <w:t>Revolving Credit Facility (effective rate of 4.2% at May 30, 2020)</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Finance lease liabilities (effective rate of 5.6% at May 30, 2020)</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960" w:type="dxa"/>
            <w:vAlign w:val="bottom"/>
            <w:gridSpan w:val="2"/>
          </w:tcPr>
          <w:p>
            <w:pPr>
              <w:ind w:left="20"/>
              <w:spacing w:after="0"/>
              <w:rPr>
                <w:sz w:val="20"/>
                <w:szCs w:val="20"/>
                <w:color w:val="auto"/>
              </w:rPr>
            </w:pPr>
            <w:r>
              <w:rPr>
                <w:rFonts w:ascii="Arial" w:cs="Arial" w:eastAsia="Arial" w:hAnsi="Arial"/>
                <w:sz w:val="16"/>
                <w:szCs w:val="16"/>
                <w:color w:val="auto"/>
              </w:rPr>
              <w:t>Less: Deferred financing fees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11,467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5,565</w:t>
            </w:r>
          </w:p>
        </w:tc>
      </w:tr>
      <w:tr>
        <w:trPr>
          <w:trHeight w:val="33"/>
        </w:trPr>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debt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650,020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190,935</w:t>
            </w:r>
          </w:p>
        </w:tc>
      </w:tr>
      <w:tr>
        <w:trPr>
          <w:trHeight w:val="220"/>
        </w:trPr>
        <w:tc>
          <w:tcPr>
            <w:tcW w:w="6960" w:type="dxa"/>
            <w:vAlign w:val="bottom"/>
            <w:gridSpan w:val="2"/>
          </w:tcPr>
          <w:p>
            <w:pPr>
              <w:ind w:left="20"/>
              <w:spacing w:after="0"/>
              <w:rPr>
                <w:sz w:val="20"/>
                <w:szCs w:val="20"/>
                <w:color w:val="auto"/>
              </w:rPr>
            </w:pPr>
            <w:r>
              <w:rPr>
                <w:rFonts w:ascii="Arial" w:cs="Arial" w:eastAsia="Arial" w:hAnsi="Arial"/>
                <w:sz w:val="16"/>
                <w:szCs w:val="16"/>
                <w:color w:val="auto"/>
                <w:w w:val="95"/>
              </w:rPr>
              <w:t>Less: Current maturities, net of deferred financing fees of $0.0 million at May 30, 2020 and $1.3 million</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06"/>
        </w:trPr>
        <w:tc>
          <w:tcPr>
            <w:tcW w:w="6960" w:type="dxa"/>
            <w:vAlign w:val="bottom"/>
            <w:gridSpan w:val="2"/>
          </w:tcPr>
          <w:p>
            <w:pPr>
              <w:ind w:left="180"/>
              <w:spacing w:after="0"/>
              <w:rPr>
                <w:sz w:val="20"/>
                <w:szCs w:val="20"/>
                <w:color w:val="auto"/>
              </w:rPr>
            </w:pPr>
            <w:r>
              <w:rPr>
                <w:rFonts w:ascii="Arial" w:cs="Arial" w:eastAsia="Arial" w:hAnsi="Arial"/>
                <w:sz w:val="16"/>
                <w:szCs w:val="16"/>
                <w:color w:val="auto"/>
              </w:rPr>
              <w:t>at August 31, 2019</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676</w:t>
            </w:r>
          </w:p>
        </w:tc>
      </w:tr>
      <w:tr>
        <w:trPr>
          <w:trHeight w:val="33"/>
        </w:trPr>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Less: Current finance lease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6960" w:type="dxa"/>
            <w:vAlign w:val="bottom"/>
            <w:gridSpan w:val="2"/>
          </w:tcPr>
          <w:p>
            <w:pPr>
              <w:ind w:left="20"/>
              <w:spacing w:after="0"/>
              <w:rPr>
                <w:sz w:val="20"/>
                <w:szCs w:val="20"/>
                <w:color w:val="auto"/>
              </w:rPr>
            </w:pPr>
            <w:r>
              <w:rPr>
                <w:rFonts w:ascii="Arial" w:cs="Arial" w:eastAsia="Arial" w:hAnsi="Arial"/>
                <w:sz w:val="16"/>
                <w:szCs w:val="16"/>
                <w:color w:val="auto"/>
              </w:rPr>
              <w:t>Long-term debt, net of deferred financing fees</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624,752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190,259</w:t>
            </w:r>
          </w:p>
        </w:tc>
      </w:tr>
      <w:tr>
        <w:trPr>
          <w:trHeight w:val="20"/>
        </w:trPr>
        <w:tc>
          <w:tcPr>
            <w:tcW w:w="6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is not required to make principal payments on the Term Facility over the twelve months following the period ended May 30, 2020.</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May 30, 2020, the Company had letters of credit in the amount of $5.0 million outstanding. Our letters of credit offset against the availability of the Revolving Credit Facility. These letters of credit exist to support two of the Company's leased buildings and insurance programs relating to workers' compensation. No amounts were drawn against these letters of credit at May 30, 2020.</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utilizes market approaches to estimate the fair value of certain outstanding borrowings by discounting anticipated future cash flows derived from the contractual terms of the obligations and observable market interest and foreign exchange rates. The Company carries debt at historical cost and discloses fair value. As of May 30, 2020 and August 31, 2019, the book value of the Company’s debt approximated fair value. The estimated fair value of the Term Loan is based on observable inputs and classified as Level 2 in the fair value hierarchy. The amount outstanding on the Revolving Credit Facility approximates fair value due to its short maturity and was repaid subsequent to period end.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of Financial Instruments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measurements, a three-tier fair value hierarchy, which prioritizes the inputs used in the valuation methodologies, is as follows: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Valuations based on quoted prices for identical assets and liabilities in active markets.</w:t>
      </w:r>
    </w:p>
    <w:p>
      <w:pPr>
        <w:spacing w:after="0" w:line="22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Level 2 – Valuations based on observable inputs other than quoted prices included in Level 1, such as quoted prices for similar assets or liabilities in active markets, quoted prices for identical or similar assets and liabilities in markets that are not active, or other inputs that are observable or can be corroborated by observable market data.</w:t>
      </w:r>
    </w:p>
    <w:p>
      <w:pPr>
        <w:spacing w:after="0" w:line="18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Level 3 – Valuations based on unobservable inputs reflecting the Company’s own assumptions, consistent with reasonably available assumptions made by other market participants. These valuations require significant judgment.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A loss of $0.5 million was charged to the </w:t>
      </w:r>
      <w:r>
        <w:rPr>
          <w:rFonts w:ascii="Arial" w:cs="Arial" w:eastAsia="Arial" w:hAnsi="Arial"/>
          <w:sz w:val="17"/>
          <w:szCs w:val="17"/>
          <w:i w:val="1"/>
          <w:iCs w:val="1"/>
          <w:color w:val="auto"/>
        </w:rPr>
        <w:t>Loss in fair value change of contingent consideration - TRA liability</w:t>
      </w:r>
      <w:r>
        <w:rPr>
          <w:rFonts w:ascii="Arial" w:cs="Arial" w:eastAsia="Arial" w:hAnsi="Arial"/>
          <w:sz w:val="17"/>
          <w:szCs w:val="17"/>
          <w:color w:val="auto"/>
        </w:rPr>
        <w:t xml:space="preserve"> for the thirty-nine weeks ended May 25, 2019. The Company settled the Income Tax Receivable Agreement (the “TRA”) during the thirty-nine weeks ended May 25, 2019, which resulted in a $1.5 million gain. Following the settlement of the TRA liability, the Company did not have any Level 3 financial assets or liabilities.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carrying amounts of cash and cash equivalents, accounts receivable and accounts payable approximated fair value as of May 30, 2020 and August 31, 2019 due to the relatively short maturity of these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tax expense and the effective tax rate for the thirty-nine weeks ended May 30, 2020 and May 25, 2019 resulting from operations:</w:t>
      </w:r>
    </w:p>
    <w:p>
      <w:pPr>
        <w:spacing w:after="0" w:line="134"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6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gridSpan w:val="4"/>
          </w:tcPr>
          <w:p>
            <w:pPr>
              <w:jc w:val="right"/>
              <w:spacing w:after="0"/>
              <w:rPr>
                <w:sz w:val="20"/>
                <w:szCs w:val="20"/>
                <w:color w:val="auto"/>
              </w:rPr>
            </w:pPr>
            <w:r>
              <w:rPr>
                <w:rFonts w:ascii="Arial" w:cs="Arial" w:eastAsia="Arial" w:hAnsi="Arial"/>
                <w:sz w:val="16"/>
                <w:szCs w:val="16"/>
                <w:color w:val="auto"/>
              </w:rPr>
              <w:t>Thirty-Nine Weeks Ended</w:t>
            </w:r>
          </w:p>
        </w:tc>
        <w:tc>
          <w:tcPr>
            <w:tcW w:w="640" w:type="dxa"/>
            <w:vAlign w:val="bottom"/>
          </w:tcPr>
          <w:p>
            <w:pPr>
              <w:spacing w:after="0"/>
              <w:rPr>
                <w:sz w:val="17"/>
                <w:szCs w:val="17"/>
                <w:color w:val="auto"/>
              </w:rPr>
            </w:pPr>
          </w:p>
        </w:tc>
      </w:tr>
      <w:tr>
        <w:trPr>
          <w:trHeight w:val="33"/>
        </w:trPr>
        <w:tc>
          <w:tcPr>
            <w:tcW w:w="70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8"/>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98"/>
              </w:rPr>
              <w:t>May 30, 2020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May 25,</w:t>
            </w: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95"/>
              </w:rPr>
              <w:t>2019</w:t>
            </w:r>
          </w:p>
        </w:tc>
      </w:tr>
      <w:tr>
        <w:trPr>
          <w:trHeight w:val="236"/>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30,511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3"/>
              </w:rPr>
              <w:t>54,681</w:t>
            </w:r>
          </w:p>
        </w:tc>
      </w:tr>
      <w:tr>
        <w:trPr>
          <w:trHeight w:val="237"/>
        </w:trPr>
        <w:tc>
          <w:tcPr>
            <w:tcW w:w="7000" w:type="dxa"/>
            <w:vAlign w:val="bottom"/>
            <w:gridSpan w:val="2"/>
          </w:tcPr>
          <w:p>
            <w:pPr>
              <w:ind w:left="20"/>
              <w:spacing w:after="0"/>
              <w:rPr>
                <w:sz w:val="20"/>
                <w:szCs w:val="20"/>
                <w:color w:val="auto"/>
              </w:rPr>
            </w:pPr>
            <w:r>
              <w:rPr>
                <w:rFonts w:ascii="Arial" w:cs="Arial" w:eastAsia="Arial" w:hAnsi="Arial"/>
                <w:sz w:val="16"/>
                <w:szCs w:val="16"/>
                <w:color w:val="auto"/>
              </w:rPr>
              <w:t>Provision for income taxes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8,238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spacing w:after="0"/>
              <w:rPr>
                <w:sz w:val="20"/>
                <w:szCs w:val="20"/>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w w:val="93"/>
              </w:rPr>
              <w:t>13,236</w:t>
            </w:r>
          </w:p>
        </w:tc>
      </w:tr>
      <w:tr>
        <w:trPr>
          <w:trHeight w:val="33"/>
        </w:trPr>
        <w:tc>
          <w:tcPr>
            <w:tcW w:w="6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33"/>
        </w:trPr>
        <w:tc>
          <w:tcPr>
            <w:tcW w:w="6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effective tax rate for the thirty-nine week period ended May 30, 2020 is higher than the effective tax rate for the thirty-nine week period ended May 25, 2019 by 2.8%, which is primarily driven by non-deductible transaction costs, the one-time tax impact of the settlement of the TRA liability during the thirty-nine week period ended May 25, 2019, and other permanent differences.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September 1, 2019, we adopted ASU No. 2016-02, Leases (“Topic 842”) using the modified retrospective approach under ASU No. 2018-11, which permits application of the new guidance at the beginning of the period of adoption, with comparative periods continuing to be reported under Topic 840.</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Leases are classified as either finance leases or operating leases based on criteria in ASC 842. The Company’s operating leases are generally comprised of real estate and certain equipment used in warehousing our products. The Company’s finance leases are generally comprised of warehouse equipment.</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Right-of-use assets and lease liabilities are recognized at the lease commencement date based on the present value of lease payments over the lease term. The majority of the Company's leases do not provide an implicit rate; therefore, the Company uses its secured incremental borrowing rate based on the information available at the lease commencement date in determining the present value of future payments for those leases. Our incremental borrowing rate for a lease is the rate of interest we would pay to borrow on a collateralized basis over a similar term to the lease in a similar economic environment. The Company applied incremental borrowing rates using a portfolio approach. Right-of-use assets also include any lease payments made and exclude lease incentives. Lease terms may include options to extend or terminate the lease when it is reasonably certain that the Company will exercise that option. The Company has elected not to recognize right-of-use assets and lease liabilities for short-term operating leases that have a term of 1 year or less.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Thirteen Weeks</w:t>
            </w:r>
          </w:p>
        </w:tc>
        <w:tc>
          <w:tcPr>
            <w:tcW w:w="1420" w:type="dxa"/>
            <w:vAlign w:val="bottom"/>
            <w:gridSpan w:val="2"/>
          </w:tcPr>
          <w:p>
            <w:pPr>
              <w:jc w:val="center"/>
              <w:spacing w:after="0"/>
              <w:rPr>
                <w:sz w:val="20"/>
                <w:szCs w:val="20"/>
                <w:color w:val="auto"/>
              </w:rPr>
            </w:pPr>
            <w:r>
              <w:rPr>
                <w:rFonts w:ascii="Arial" w:cs="Arial" w:eastAsia="Arial" w:hAnsi="Arial"/>
                <w:sz w:val="16"/>
                <w:szCs w:val="16"/>
                <w:color w:val="auto"/>
                <w:w w:val="94"/>
              </w:rPr>
              <w:t>Thirty-Nine Weeks</w:t>
            </w: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color w:val="auto"/>
                <w:w w:val="90"/>
              </w:rPr>
              <w:t>Ended</w:t>
            </w:r>
          </w:p>
        </w:tc>
        <w:tc>
          <w:tcPr>
            <w:tcW w:w="180" w:type="dxa"/>
            <w:vAlign w:val="bottom"/>
          </w:tcPr>
          <w:p>
            <w:pPr>
              <w:spacing w:after="0"/>
              <w:rPr>
                <w:sz w:val="17"/>
                <w:szCs w:val="17"/>
                <w:color w:val="auto"/>
              </w:rPr>
            </w:pPr>
          </w:p>
        </w:tc>
        <w:tc>
          <w:tcPr>
            <w:tcW w:w="1240" w:type="dxa"/>
            <w:vAlign w:val="bottom"/>
          </w:tcPr>
          <w:p>
            <w:pPr>
              <w:jc w:val="center"/>
              <w:ind w:right="119"/>
              <w:spacing w:after="0"/>
              <w:rPr>
                <w:sz w:val="20"/>
                <w:szCs w:val="20"/>
                <w:color w:val="auto"/>
              </w:rPr>
            </w:pPr>
            <w:r>
              <w:rPr>
                <w:rFonts w:ascii="Arial" w:cs="Arial" w:eastAsia="Arial" w:hAnsi="Arial"/>
                <w:sz w:val="16"/>
                <w:szCs w:val="16"/>
                <w:color w:val="auto"/>
                <w:w w:val="86"/>
              </w:rPr>
              <w:t>Ended</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31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900" w:type="dxa"/>
            <w:vAlign w:val="bottom"/>
            <w:gridSpan w:val="4"/>
          </w:tcPr>
          <w:p>
            <w:pPr>
              <w:ind w:left="20"/>
              <w:spacing w:after="0"/>
              <w:rPr>
                <w:sz w:val="20"/>
                <w:szCs w:val="20"/>
                <w:color w:val="auto"/>
              </w:rPr>
            </w:pPr>
            <w:r>
              <w:rPr>
                <w:rFonts w:ascii="Arial" w:cs="Arial" w:eastAsia="Arial" w:hAnsi="Arial"/>
                <w:sz w:val="16"/>
                <w:szCs w:val="16"/>
                <w:color w:val="auto"/>
              </w:rPr>
              <w:t>Statement of Operations Caption</w:t>
            </w:r>
          </w:p>
        </w:tc>
        <w:tc>
          <w:tcPr>
            <w:tcW w:w="160" w:type="dxa"/>
            <w:vAlign w:val="bottom"/>
          </w:tcPr>
          <w:p>
            <w:pPr>
              <w:spacing w:after="0"/>
              <w:rPr>
                <w:sz w:val="23"/>
                <w:szCs w:val="23"/>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May 30, 2020</w:t>
            </w:r>
          </w:p>
        </w:tc>
        <w:tc>
          <w:tcPr>
            <w:tcW w:w="180" w:type="dxa"/>
            <w:vAlign w:val="bottom"/>
          </w:tcPr>
          <w:p>
            <w:pPr>
              <w:spacing w:after="0"/>
              <w:rPr>
                <w:sz w:val="23"/>
                <w:szCs w:val="23"/>
                <w:color w:val="auto"/>
              </w:rPr>
            </w:pPr>
          </w:p>
        </w:tc>
        <w:tc>
          <w:tcPr>
            <w:tcW w:w="1240" w:type="dxa"/>
            <w:vAlign w:val="bottom"/>
          </w:tcPr>
          <w:p>
            <w:pPr>
              <w:jc w:val="center"/>
              <w:ind w:right="139"/>
              <w:spacing w:after="0"/>
              <w:rPr>
                <w:sz w:val="20"/>
                <w:szCs w:val="20"/>
                <w:color w:val="auto"/>
              </w:rPr>
            </w:pPr>
            <w:r>
              <w:rPr>
                <w:rFonts w:ascii="Arial" w:cs="Arial" w:eastAsia="Arial" w:hAnsi="Arial"/>
                <w:sz w:val="16"/>
                <w:szCs w:val="16"/>
                <w:color w:val="auto"/>
                <w:w w:val="92"/>
              </w:rPr>
              <w:t>May 30, 2020</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6"/>
                <w:szCs w:val="16"/>
                <w:color w:val="auto"/>
              </w:rPr>
              <w:t>Lease cost</w:t>
            </w:r>
          </w:p>
        </w:tc>
        <w:tc>
          <w:tcPr>
            <w:tcW w:w="3900" w:type="dxa"/>
            <w:vAlign w:val="bottom"/>
            <w:gridSpan w:val="4"/>
          </w:tcPr>
          <w:p>
            <w:pPr>
              <w:ind w:left="20"/>
              <w:spacing w:after="0"/>
              <w:rPr>
                <w:sz w:val="20"/>
                <w:szCs w:val="20"/>
                <w:color w:val="auto"/>
              </w:rPr>
            </w:pPr>
            <w:r>
              <w:rPr>
                <w:rFonts w:ascii="Arial" w:cs="Arial" w:eastAsia="Arial" w:hAnsi="Arial"/>
                <w:sz w:val="16"/>
                <w:szCs w:val="16"/>
                <w:color w:val="auto"/>
              </w:rPr>
              <w:t>Cost of goods sold and General and administrative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1,479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3,726</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Pr>
          <w:p>
            <w:pPr>
              <w:spacing w:after="0"/>
              <w:rPr>
                <w:sz w:val="23"/>
                <w:szCs w:val="23"/>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 xml:space="preserve">Variable lease cost </w:t>
            </w:r>
            <w:r>
              <w:rPr>
                <w:rFonts w:ascii="Arial" w:cs="Arial" w:eastAsia="Arial" w:hAnsi="Arial"/>
                <w:sz w:val="21"/>
                <w:szCs w:val="21"/>
                <w:color w:val="auto"/>
                <w:vertAlign w:val="superscript"/>
              </w:rPr>
              <w:t>(1)</w:t>
            </w:r>
          </w:p>
        </w:tc>
        <w:tc>
          <w:tcPr>
            <w:tcW w:w="390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Cost of goods sold and General and administrative</w:t>
            </w: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3160" w:type="dxa"/>
            <w:vAlign w:val="bottom"/>
            <w:gridSpan w:val="2"/>
          </w:tcPr>
          <w:p>
            <w:pPr>
              <w:ind w:left="280"/>
              <w:spacing w:after="0"/>
              <w:rPr>
                <w:sz w:val="20"/>
                <w:szCs w:val="20"/>
                <w:color w:val="auto"/>
              </w:rPr>
            </w:pPr>
            <w:r>
              <w:rPr>
                <w:rFonts w:ascii="Arial" w:cs="Arial" w:eastAsia="Arial" w:hAnsi="Arial"/>
                <w:sz w:val="16"/>
                <w:szCs w:val="16"/>
                <w:color w:val="auto"/>
              </w:rPr>
              <w:t>Operating lease cost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4,910</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20" w:type="dxa"/>
            <w:vAlign w:val="bottom"/>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Short term lease cost</w:t>
            </w:r>
          </w:p>
        </w:tc>
        <w:tc>
          <w:tcPr>
            <w:tcW w:w="3900" w:type="dxa"/>
            <w:vAlign w:val="bottom"/>
            <w:gridSpan w:val="4"/>
          </w:tcPr>
          <w:p>
            <w:pPr>
              <w:ind w:left="2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20" w:type="dxa"/>
            <w:vAlign w:val="bottom"/>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Finance lease cost:</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Amortization of right-of use assets</w:t>
            </w:r>
          </w:p>
        </w:tc>
        <w:tc>
          <w:tcPr>
            <w:tcW w:w="39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6"/>
                <w:szCs w:val="16"/>
                <w:color w:val="auto"/>
              </w:rPr>
              <w:t>Interest on lease liabilities</w:t>
            </w:r>
          </w:p>
        </w:tc>
        <w:tc>
          <w:tcPr>
            <w:tcW w:w="3900" w:type="dxa"/>
            <w:vAlign w:val="bottom"/>
            <w:gridSpan w:val="4"/>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3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finance lease cost</w:t>
            </w: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97"/>
        </w:trPr>
        <w:tc>
          <w:tcPr>
            <w:tcW w:w="620" w:type="dxa"/>
            <w:vAlign w:val="bottom"/>
          </w:tcPr>
          <w:p>
            <w:pPr>
              <w:spacing w:after="0"/>
              <w:rPr>
                <w:sz w:val="24"/>
                <w:szCs w:val="24"/>
                <w:color w:val="auto"/>
              </w:rPr>
            </w:pPr>
          </w:p>
        </w:tc>
        <w:tc>
          <w:tcPr>
            <w:tcW w:w="30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lease cost</w:t>
            </w: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5,191</w:t>
            </w:r>
          </w:p>
        </w:tc>
        <w:tc>
          <w:tcPr>
            <w:tcW w:w="0" w:type="dxa"/>
            <w:vAlign w:val="bottom"/>
          </w:tcPr>
          <w:p>
            <w:pPr>
              <w:spacing w:after="0"/>
              <w:rPr>
                <w:sz w:val="1"/>
                <w:szCs w:val="1"/>
                <w:color w:val="auto"/>
              </w:rPr>
            </w:pPr>
          </w:p>
        </w:tc>
      </w:tr>
      <w:tr>
        <w:trPr>
          <w:trHeight w:val="20"/>
        </w:trPr>
        <w:tc>
          <w:tcPr>
            <w:tcW w:w="7680" w:type="dxa"/>
            <w:vAlign w:val="bottom"/>
            <w:gridSpan w:val="7"/>
            <w:vMerge w:val="restart"/>
          </w:tcPr>
          <w:p>
            <w:pPr>
              <w:spacing w:after="0"/>
              <w:rPr>
                <w:sz w:val="20"/>
                <w:szCs w:val="20"/>
                <w:color w:val="auto"/>
              </w:rPr>
            </w:pPr>
            <w:r>
              <w:rPr>
                <w:rFonts w:ascii="Arial" w:cs="Arial" w:eastAsia="Arial" w:hAnsi="Arial"/>
                <w:sz w:val="16"/>
                <w:szCs w:val="16"/>
                <w:color w:val="auto"/>
              </w:rPr>
              <w:t>(1) Variable lease cost primarily consists of common area maintenance, such as cleaning and repairs.</w:t>
            </w: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gridSpan w:val="7"/>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620" w:type="dxa"/>
            <w:vAlign w:val="bottom"/>
          </w:tcPr>
          <w:p>
            <w:pPr>
              <w:spacing w:after="0"/>
              <w:rPr>
                <w:sz w:val="24"/>
                <w:szCs w:val="24"/>
                <w:color w:val="auto"/>
              </w:rPr>
            </w:pPr>
          </w:p>
        </w:tc>
        <w:tc>
          <w:tcPr>
            <w:tcW w:w="8600" w:type="dxa"/>
            <w:vAlign w:val="bottom"/>
            <w:gridSpan w:val="9"/>
          </w:tcPr>
          <w:p>
            <w:pPr>
              <w:ind w:left="40"/>
              <w:spacing w:after="0"/>
              <w:rPr>
                <w:sz w:val="20"/>
                <w:szCs w:val="20"/>
                <w:color w:val="auto"/>
              </w:rPr>
            </w:pPr>
            <w:r>
              <w:rPr>
                <w:rFonts w:ascii="Arial" w:cs="Arial" w:eastAsia="Arial" w:hAnsi="Arial"/>
                <w:sz w:val="18"/>
                <w:szCs w:val="18"/>
                <w:color w:val="auto"/>
              </w:rPr>
              <w:t>The gross amounts of assets and liabilities related to both operating and finance leases are as follows: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20" w:type="dxa"/>
            <w:vAlign w:val="bottom"/>
          </w:tcPr>
          <w:p>
            <w:pPr>
              <w:spacing w:after="0"/>
              <w:rPr>
                <w:sz w:val="24"/>
                <w:szCs w:val="24"/>
                <w:color w:val="auto"/>
              </w:rPr>
            </w:pPr>
          </w:p>
        </w:tc>
        <w:tc>
          <w:tcPr>
            <w:tcW w:w="31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gridSpan w:val="2"/>
          </w:tcPr>
          <w:p>
            <w:pPr>
              <w:ind w:left="40"/>
              <w:spacing w:after="0"/>
              <w:rPr>
                <w:sz w:val="20"/>
                <w:szCs w:val="20"/>
                <w:color w:val="auto"/>
              </w:rPr>
            </w:pPr>
            <w:r>
              <w:rPr>
                <w:rFonts w:ascii="Arial" w:cs="Arial" w:eastAsia="Arial" w:hAnsi="Arial"/>
                <w:sz w:val="16"/>
                <w:szCs w:val="16"/>
                <w:color w:val="auto"/>
              </w:rPr>
              <w:t>Balance Sheet Caption</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center"/>
              <w:ind w:right="99"/>
              <w:spacing w:after="0"/>
              <w:rPr>
                <w:sz w:val="20"/>
                <w:szCs w:val="20"/>
                <w:color w:val="auto"/>
              </w:rPr>
            </w:pPr>
            <w:r>
              <w:rPr>
                <w:rFonts w:ascii="Arial" w:cs="Arial" w:eastAsia="Arial" w:hAnsi="Arial"/>
                <w:sz w:val="16"/>
                <w:szCs w:val="16"/>
                <w:color w:val="auto"/>
                <w:w w:val="92"/>
              </w:rPr>
              <w:t>May 30, 2020</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1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Operating lease right of use assets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2"/>
          </w:tcPr>
          <w:p>
            <w:pPr>
              <w:ind w:left="40"/>
              <w:spacing w:after="0"/>
              <w:rPr>
                <w:sz w:val="20"/>
                <w:szCs w:val="20"/>
                <w:color w:val="auto"/>
              </w:rPr>
            </w:pPr>
            <w:r>
              <w:rPr>
                <w:rFonts w:ascii="Arial" w:cs="Arial" w:eastAsia="Arial" w:hAnsi="Arial"/>
                <w:sz w:val="16"/>
                <w:szCs w:val="16"/>
                <w:color w:val="auto"/>
              </w:rPr>
              <w:t>Other long-term assets</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26,998</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Pr>
          <w:p>
            <w:pPr>
              <w:spacing w:after="0"/>
              <w:rPr>
                <w:sz w:val="23"/>
                <w:szCs w:val="23"/>
                <w:color w:val="auto"/>
              </w:rPr>
            </w:pPr>
          </w:p>
        </w:tc>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Finance lease right of use assets</w:t>
            </w:r>
          </w:p>
        </w:tc>
        <w:tc>
          <w:tcPr>
            <w:tcW w:w="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0" w:type="dxa"/>
            <w:vAlign w:val="bottom"/>
          </w:tcPr>
          <w:p>
            <w:pPr>
              <w:spacing w:after="0"/>
              <w:rPr>
                <w:sz w:val="1"/>
                <w:szCs w:val="1"/>
                <w:color w:val="auto"/>
              </w:rPr>
            </w:pPr>
          </w:p>
        </w:tc>
      </w:tr>
      <w:tr>
        <w:trPr>
          <w:trHeight w:val="283"/>
        </w:trPr>
        <w:tc>
          <w:tcPr>
            <w:tcW w:w="620" w:type="dxa"/>
            <w:vAlign w:val="bottom"/>
          </w:tcPr>
          <w:p>
            <w:pPr>
              <w:spacing w:after="0"/>
              <w:rPr>
                <w:sz w:val="24"/>
                <w:szCs w:val="24"/>
                <w:color w:val="auto"/>
              </w:rPr>
            </w:pPr>
          </w:p>
        </w:tc>
        <w:tc>
          <w:tcPr>
            <w:tcW w:w="316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Total lease assets</w:t>
            </w:r>
          </w:p>
        </w:tc>
        <w:tc>
          <w:tcPr>
            <w:tcW w:w="6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27,978</w:t>
            </w:r>
          </w:p>
        </w:tc>
        <w:tc>
          <w:tcPr>
            <w:tcW w:w="0" w:type="dxa"/>
            <w:vAlign w:val="bottom"/>
          </w:tcPr>
          <w:p>
            <w:pPr>
              <w:spacing w:after="0"/>
              <w:rPr>
                <w:sz w:val="1"/>
                <w:szCs w:val="1"/>
                <w:color w:val="auto"/>
              </w:rPr>
            </w:pPr>
          </w:p>
        </w:tc>
      </w:tr>
      <w:tr>
        <w:trPr>
          <w:trHeight w:val="284"/>
        </w:trPr>
        <w:tc>
          <w:tcPr>
            <w:tcW w:w="620" w:type="dxa"/>
            <w:vAlign w:val="bottom"/>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316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6"/>
                <w:szCs w:val="16"/>
                <w:color w:val="auto"/>
              </w:rPr>
              <w:t>Operating lease liabilities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2"/>
          </w:tcPr>
          <w:p>
            <w:pPr>
              <w:ind w:left="40"/>
              <w:spacing w:after="0"/>
              <w:rPr>
                <w:sz w:val="20"/>
                <w:szCs w:val="20"/>
                <w:color w:val="auto"/>
              </w:rPr>
            </w:pPr>
            <w:r>
              <w:rPr>
                <w:rFonts w:ascii="Arial" w:cs="Arial" w:eastAsia="Arial" w:hAnsi="Arial"/>
                <w:sz w:val="16"/>
                <w:szCs w:val="16"/>
                <w:color w:val="auto"/>
                <w:w w:val="97"/>
              </w:rPr>
              <w:t>Accrued expenses and other current liabilities</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3,566</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Finance lease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Current maturities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Long-term:</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Operating lease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24,216</w:t>
            </w: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6"/>
                <w:szCs w:val="16"/>
                <w:color w:val="auto"/>
              </w:rPr>
              <w:t>Finance lease liabilities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2"/>
          </w:tcPr>
          <w:p>
            <w:pPr>
              <w:ind w:left="40"/>
              <w:spacing w:after="0"/>
              <w:rPr>
                <w:sz w:val="20"/>
                <w:szCs w:val="20"/>
                <w:color w:val="auto"/>
              </w:rPr>
            </w:pPr>
            <w:r>
              <w:rPr>
                <w:rFonts w:ascii="Arial" w:cs="Arial" w:eastAsia="Arial" w:hAnsi="Arial"/>
                <w:sz w:val="16"/>
                <w:szCs w:val="16"/>
                <w:color w:val="auto"/>
              </w:rPr>
              <w:t>Long-term debt, less current maturities</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719</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160" w:type="dxa"/>
            <w:vAlign w:val="bottom"/>
            <w:tcBorders>
              <w:bottom w:val="single" w:sz="8" w:color="CCEEFF"/>
            </w:tcBorders>
            <w:gridSpan w:val="2"/>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 w:type="dxa"/>
            <w:vAlign w:val="bottom"/>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 lease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28,769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maturities of lease liabilities were as follows:</w:t>
      </w:r>
    </w:p>
    <w:p>
      <w:pPr>
        <w:spacing w:after="0" w:line="189" w:lineRule="exact"/>
        <w:rPr>
          <w:sz w:val="20"/>
          <w:szCs w:val="20"/>
          <w:color w:val="auto"/>
        </w:rPr>
      </w:pPr>
    </w:p>
    <w:tbl>
      <w:tblPr>
        <w:tblLayout w:type="fixed"/>
        <w:tblInd w:w="2320" w:type="dxa"/>
        <w:tblCellMar>
          <w:top w:w="0" w:type="dxa"/>
          <w:left w:w="0" w:type="dxa"/>
          <w:bottom w:w="0" w:type="dxa"/>
          <w:right w:w="0" w:type="dxa"/>
        </w:tblCellMar>
      </w:tblPr>
      <w:tr>
        <w:trPr>
          <w:trHeight w:val="206"/>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Arial" w:cs="Arial" w:eastAsia="Arial" w:hAnsi="Arial"/>
                <w:sz w:val="16"/>
                <w:szCs w:val="16"/>
                <w:color w:val="auto"/>
              </w:rPr>
              <w:t>Operating Leases</w:t>
            </w:r>
          </w:p>
        </w:tc>
        <w:tc>
          <w:tcPr>
            <w:tcW w:w="160" w:type="dxa"/>
            <w:vAlign w:val="bottom"/>
          </w:tcPr>
          <w:p>
            <w:pPr>
              <w:spacing w:after="0"/>
              <w:rPr>
                <w:sz w:val="17"/>
                <w:szCs w:val="17"/>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color w:val="auto"/>
                <w:w w:val="92"/>
              </w:rPr>
              <w:t>Finance Leases</w:t>
            </w:r>
          </w:p>
        </w:tc>
      </w:tr>
      <w:tr>
        <w:trPr>
          <w:trHeight w:val="33"/>
        </w:trPr>
        <w:tc>
          <w:tcPr>
            <w:tcW w:w="3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 ending:</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6"/>
                <w:szCs w:val="16"/>
                <w:color w:val="auto"/>
              </w:rPr>
              <w:t>Remainder of 2020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844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78</w:t>
            </w: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w:t>
            </w:r>
          </w:p>
        </w:tc>
      </w:tr>
      <w:tr>
        <w:trPr>
          <w:trHeight w:val="237"/>
        </w:trPr>
        <w:tc>
          <w:tcPr>
            <w:tcW w:w="3620" w:type="dxa"/>
            <w:vAlign w:val="bottom"/>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313</w:t>
            </w: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w:t>
            </w:r>
          </w:p>
        </w:tc>
      </w:tr>
      <w:tr>
        <w:trPr>
          <w:trHeight w:val="237"/>
        </w:trPr>
        <w:tc>
          <w:tcPr>
            <w:tcW w:w="3620" w:type="dxa"/>
            <w:vAlign w:val="bottom"/>
          </w:tcPr>
          <w:p>
            <w:pPr>
              <w:ind w:left="40"/>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145</w:t>
            </w: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Thereafter</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3620" w:type="dxa"/>
            <w:vAlign w:val="bottom"/>
          </w:tcPr>
          <w:p>
            <w:pPr>
              <w:ind w:left="40"/>
              <w:spacing w:after="0"/>
              <w:rPr>
                <w:sz w:val="20"/>
                <w:szCs w:val="20"/>
                <w:color w:val="auto"/>
              </w:rPr>
            </w:pPr>
            <w:r>
              <w:rPr>
                <w:rFonts w:ascii="Arial" w:cs="Arial" w:eastAsia="Arial" w:hAnsi="Arial"/>
                <w:sz w:val="16"/>
                <w:szCs w:val="16"/>
                <w:color w:val="auto"/>
              </w:rPr>
              <w:t>Total lease payments</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34,610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1,127</w:t>
            </w: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Interest</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44"/>
        </w:trPr>
        <w:tc>
          <w:tcPr>
            <w:tcW w:w="3620" w:type="dxa"/>
            <w:vAlign w:val="bottom"/>
          </w:tcPr>
          <w:p>
            <w:pPr>
              <w:ind w:left="40"/>
              <w:spacing w:after="0"/>
              <w:rPr>
                <w:sz w:val="20"/>
                <w:szCs w:val="20"/>
                <w:color w:val="auto"/>
              </w:rPr>
            </w:pPr>
            <w:r>
              <w:rPr>
                <w:rFonts w:ascii="Arial" w:cs="Arial" w:eastAsia="Arial" w:hAnsi="Arial"/>
                <w:sz w:val="16"/>
                <w:szCs w:val="16"/>
                <w:color w:val="auto"/>
              </w:rPr>
              <w:t>Present value of lease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27,782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987</w:t>
            </w:r>
          </w:p>
        </w:tc>
      </w:tr>
      <w:tr>
        <w:trPr>
          <w:trHeight w:val="20"/>
        </w:trPr>
        <w:tc>
          <w:tcPr>
            <w:tcW w:w="3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weighted-average remaining lease term and weighted-average discount rate for operating and finance leases at May 30, 2020 is as follows:</w:t>
      </w:r>
    </w:p>
    <w:p>
      <w:pPr>
        <w:spacing w:after="0" w:line="212" w:lineRule="exact"/>
        <w:rPr>
          <w:sz w:val="20"/>
          <w:szCs w:val="20"/>
          <w:color w:val="auto"/>
        </w:rPr>
      </w:pPr>
    </w:p>
    <w:tbl>
      <w:tblPr>
        <w:tblLayout w:type="fixed"/>
        <w:tblInd w:w="600" w:type="dxa"/>
        <w:tblCellMar>
          <w:top w:w="0" w:type="dxa"/>
          <w:left w:w="0" w:type="dxa"/>
          <w:bottom w:w="0" w:type="dxa"/>
          <w:right w:w="0" w:type="dxa"/>
        </w:tblCellMar>
      </w:tblPr>
      <w:tr>
        <w:trPr>
          <w:trHeight w:val="206"/>
        </w:trPr>
        <w:tc>
          <w:tcPr>
            <w:tcW w:w="7020" w:type="dxa"/>
            <w:vAlign w:val="bottom"/>
          </w:tcPr>
          <w:p>
            <w:pPr>
              <w:spacing w:after="0"/>
              <w:rPr>
                <w:sz w:val="17"/>
                <w:szCs w:val="17"/>
                <w:color w:val="auto"/>
              </w:rPr>
            </w:pPr>
          </w:p>
        </w:tc>
        <w:tc>
          <w:tcPr>
            <w:tcW w:w="1560" w:type="dxa"/>
            <w:vAlign w:val="bottom"/>
            <w:gridSpan w:val="2"/>
          </w:tcPr>
          <w:p>
            <w:pPr>
              <w:ind w:left="160"/>
              <w:spacing w:after="0"/>
              <w:rPr>
                <w:sz w:val="20"/>
                <w:szCs w:val="20"/>
                <w:color w:val="auto"/>
              </w:rPr>
            </w:pPr>
            <w:r>
              <w:rPr>
                <w:rFonts w:ascii="Arial" w:cs="Arial" w:eastAsia="Arial" w:hAnsi="Arial"/>
                <w:sz w:val="16"/>
                <w:szCs w:val="16"/>
                <w:color w:val="auto"/>
              </w:rPr>
              <w:t>Operating Leases</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Finance Leases</w:t>
            </w:r>
          </w:p>
        </w:tc>
      </w:tr>
      <w:tr>
        <w:trPr>
          <w:trHeight w:val="33"/>
        </w:trPr>
        <w:tc>
          <w:tcPr>
            <w:tcW w:w="70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(in years)</w:t>
            </w: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7.03</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3.66</w:t>
            </w:r>
          </w:p>
        </w:tc>
      </w:tr>
      <w:tr>
        <w:trPr>
          <w:trHeight w:val="237"/>
        </w:trPr>
        <w:tc>
          <w:tcPr>
            <w:tcW w:w="702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146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5.6%</w:t>
            </w:r>
          </w:p>
        </w:tc>
      </w:tr>
    </w:tbl>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and other information related to leases was as follows:</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202"/>
        </w:trPr>
        <w:tc>
          <w:tcPr>
            <w:tcW w:w="8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color w:val="auto"/>
                <w:w w:val="94"/>
              </w:rPr>
              <w:t>Thirty-Nine Weeks</w:t>
            </w:r>
          </w:p>
        </w:tc>
      </w:tr>
      <w:tr>
        <w:trPr>
          <w:trHeight w:val="206"/>
        </w:trPr>
        <w:tc>
          <w:tcPr>
            <w:tcW w:w="8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99"/>
              <w:spacing w:after="0"/>
              <w:rPr>
                <w:sz w:val="20"/>
                <w:szCs w:val="20"/>
                <w:color w:val="auto"/>
              </w:rPr>
            </w:pPr>
            <w:r>
              <w:rPr>
                <w:rFonts w:ascii="Arial" w:cs="Arial" w:eastAsia="Arial" w:hAnsi="Arial"/>
                <w:sz w:val="16"/>
                <w:szCs w:val="16"/>
                <w:color w:val="auto"/>
                <w:w w:val="90"/>
              </w:rPr>
              <w:t>Ended</w:t>
            </w:r>
          </w:p>
        </w:tc>
      </w:tr>
      <w:tr>
        <w:trPr>
          <w:trHeight w:val="270"/>
        </w:trPr>
        <w:tc>
          <w:tcPr>
            <w:tcW w:w="8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center"/>
              <w:ind w:right="99"/>
              <w:spacing w:after="0"/>
              <w:rPr>
                <w:sz w:val="20"/>
                <w:szCs w:val="20"/>
                <w:color w:val="auto"/>
              </w:rPr>
            </w:pPr>
            <w:r>
              <w:rPr>
                <w:rFonts w:ascii="Arial" w:cs="Arial" w:eastAsia="Arial" w:hAnsi="Arial"/>
                <w:sz w:val="16"/>
                <w:szCs w:val="16"/>
                <w:color w:val="auto"/>
                <w:w w:val="92"/>
              </w:rPr>
              <w:t>May 30, 2020</w:t>
            </w:r>
          </w:p>
        </w:tc>
      </w:tr>
      <w:tr>
        <w:trPr>
          <w:trHeight w:val="33"/>
        </w:trPr>
        <w:tc>
          <w:tcPr>
            <w:tcW w:w="8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8600" w:type="dxa"/>
            <w:vAlign w:val="bottom"/>
            <w:gridSpan w:val="2"/>
          </w:tcPr>
          <w:p>
            <w:pPr>
              <w:ind w:left="160"/>
              <w:spacing w:after="0"/>
              <w:rPr>
                <w:sz w:val="20"/>
                <w:szCs w:val="20"/>
                <w:color w:val="auto"/>
              </w:rPr>
            </w:pPr>
            <w:r>
              <w:rPr>
                <w:rFonts w:ascii="Arial" w:cs="Arial" w:eastAsia="Arial" w:hAnsi="Arial"/>
                <w:sz w:val="16"/>
                <w:szCs w:val="16"/>
                <w:color w:val="auto"/>
              </w:rPr>
              <w:t>Operating cash flows from operating leases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4,655</w:t>
            </w:r>
          </w:p>
        </w:tc>
      </w:tr>
      <w:tr>
        <w:trPr>
          <w:trHeight w:val="33"/>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Operating cash flows from finance leases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37"/>
        </w:trPr>
        <w:tc>
          <w:tcPr>
            <w:tcW w:w="8600" w:type="dxa"/>
            <w:vAlign w:val="bottom"/>
            <w:gridSpan w:val="2"/>
          </w:tcPr>
          <w:p>
            <w:pPr>
              <w:ind w:left="160"/>
              <w:spacing w:after="0"/>
              <w:rPr>
                <w:sz w:val="20"/>
                <w:szCs w:val="20"/>
                <w:color w:val="auto"/>
              </w:rPr>
            </w:pPr>
            <w:r>
              <w:rPr>
                <w:rFonts w:ascii="Arial" w:cs="Arial" w:eastAsia="Arial" w:hAnsi="Arial"/>
                <w:sz w:val="16"/>
                <w:szCs w:val="16"/>
                <w:color w:val="auto"/>
              </w:rPr>
              <w:t>Financing cash flows from finance leases</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247</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Comparative Information as Reported Under Previous Accounting Standards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comparative information is reported based upon previous accounting standards in effect for the periods presented.</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Future minimum payments under lease arrangements with a remaining term in excess of one year were as follows as of August 31, 2019:</w:t>
      </w:r>
    </w:p>
    <w:p>
      <w:pPr>
        <w:spacing w:after="0" w:line="189" w:lineRule="exact"/>
        <w:rPr>
          <w:sz w:val="20"/>
          <w:szCs w:val="20"/>
          <w:color w:val="auto"/>
        </w:rPr>
      </w:pPr>
    </w:p>
    <w:tbl>
      <w:tblPr>
        <w:tblLayout w:type="fixed"/>
        <w:tblInd w:w="3080" w:type="dxa"/>
        <w:tblCellMar>
          <w:top w:w="0" w:type="dxa"/>
          <w:left w:w="0" w:type="dxa"/>
          <w:bottom w:w="0" w:type="dxa"/>
          <w:right w:w="0" w:type="dxa"/>
        </w:tblCellMar>
      </w:tblPr>
      <w:tr>
        <w:trPr>
          <w:trHeight w:val="206"/>
        </w:trPr>
        <w:tc>
          <w:tcPr>
            <w:tcW w:w="36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7"/>
                <w:szCs w:val="17"/>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w w:val="94"/>
              </w:rPr>
              <w:t>August 31, 2019</w:t>
            </w:r>
          </w:p>
        </w:tc>
      </w:tr>
      <w:tr>
        <w:trPr>
          <w:trHeight w:val="33"/>
        </w:trPr>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2,546</w:t>
            </w:r>
          </w:p>
        </w:tc>
      </w:tr>
      <w:tr>
        <w:trPr>
          <w:trHeight w:val="237"/>
        </w:trPr>
        <w:tc>
          <w:tcPr>
            <w:tcW w:w="3560" w:type="dxa"/>
            <w:vAlign w:val="bottom"/>
          </w:tcPr>
          <w:p>
            <w:pPr>
              <w:ind w:left="2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1,947</w:t>
            </w: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1,677</w:t>
            </w:r>
          </w:p>
        </w:tc>
      </w:tr>
      <w:tr>
        <w:trPr>
          <w:trHeight w:val="237"/>
        </w:trPr>
        <w:tc>
          <w:tcPr>
            <w:tcW w:w="3560" w:type="dxa"/>
            <w:vAlign w:val="bottom"/>
          </w:tcPr>
          <w:p>
            <w:pPr>
              <w:ind w:left="20"/>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1,093</w:t>
            </w: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37"/>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Thereafter</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33"/>
        </w:trPr>
        <w:tc>
          <w:tcPr>
            <w:tcW w:w="3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7,406</w:t>
            </w:r>
          </w:p>
        </w:tc>
      </w:tr>
      <w:tr>
        <w:trPr>
          <w:trHeight w:val="20"/>
        </w:trPr>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the thirteen weeks ended May 25, 2019 rent expenses for operating leases were $0.5 million. For the thirty-nine weeks ended May 25, 2019 rent expenses for operating leases were $1.6 million.</w:t>
      </w:r>
    </w:p>
    <w:p>
      <w:pPr>
        <w:sectPr>
          <w:pgSz w:w="11900" w:h="16838" w:orient="portrait"/>
          <w:cols w:equalWidth="0" w:num="1">
            <w:col w:w="11240"/>
          </w:cols>
          <w:pgMar w:left="320" w:top="125"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a party to certain litigation and claims that are considered normal to the operations of the business. 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of our business, operating result, financial condition or cash flows.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During the fifty-three week period ended August 31, 2019, the Company reserved $3.5 million for the potential settlement of class action litigation concerning certain product label claims. During the thirty-nine weeks ended May 30, 2020, the Company reserved an additional $0.3 million. The reserve is included within </w:t>
      </w:r>
      <w:r>
        <w:rPr>
          <w:rFonts w:ascii="Arial" w:cs="Arial" w:eastAsia="Arial" w:hAnsi="Arial"/>
          <w:sz w:val="17"/>
          <w:szCs w:val="17"/>
          <w:i w:val="1"/>
          <w:iCs w:val="1"/>
          <w:color w:val="auto"/>
        </w:rPr>
        <w:t>General and administrative</w:t>
      </w:r>
      <w:r>
        <w:rPr>
          <w:rFonts w:ascii="Arial" w:cs="Arial" w:eastAsia="Arial" w:hAnsi="Arial"/>
          <w:sz w:val="17"/>
          <w:szCs w:val="17"/>
          <w:color w:val="auto"/>
        </w:rPr>
        <w:t xml:space="preserve"> in the Consolidated Statements of Operations and Comprehensive Income and the reserve was fully paid into escrow during the thirty-nine weeks ended May 30, 2020. The action was settled subsequent to period end.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entered into endorsement contracts with certain celebrity figures and social media influencers to promote and endorse the Atkins and Quest brands and product lines. These contracts contain endorsement fees, which are expensed ratably over the life of the contract, and performance fees, that are recognized at the time of achievement. Based on the terms of the contracts in place and achievement of performance conditions as of May 30, 2020, the Company will be required to make payments of $2.9 million over the next twelve months.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Equity Offering</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October 9, 2019, we completed an underwritten public offering of 13,379,205 shares of our common stock at a price to the public of $26.35 per share. The Company paid underwriting discounts and commissions of $0.19 per share resulting in net proceeds to us of $26.16 per share, or approximately $350.0 million (the “Offering”). The Company paid $0.8 million for legal, accounting and registrations fees related to the Offering. The net proceeds were used to pay a portion of the purchase price and related fees and expenses for the Acquisition of Quest.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Warrants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Prior to the Acquisition of Atkins, Conyers Park issued 6,700,000 private placement warrants. The Company assumed these private placement warrants in connection with the Acquisition of Atkins. As a result of the Acquisition of Atkins, the warrants issued by Conyers Park were no longer exercisable for shares of Conyers Park common stock, but were instead exercisable for common stock of the Company. All other features of the warrants were unchanged. The private placement warrants to purchase 6,700,000 shares of the Company’s common stock remain outstanding.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November 13, 2018, the Company announced that its Board of Directors had adopted a $50.0 million stock repurchase program.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thirty-nine weeks ended May 30, 2020, the Company did not repurchase any shares of common stock. As of May 30, 2020, approximately $47.9 million remained available under the stock repurchase program.</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Basic earnings per share is based on the weighted average number of common shares issued and outstanding. In periods in which the Company has net income, diluted earnings per share is based on the weighted average number of common shares issued and outstanding and the effect of all dilutive common stock equivalents outstanding during each period.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periods in which the Company has a net loss, diluted earnings per share is based on the weighted average number of common shares issued and outstanding. The effect of including common stock equivalents outstanding is considered anti-dilutive.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reconciles the numerators and denominators used in the computations of both basic and diluted earnings per share:</w:t>
      </w:r>
    </w:p>
    <w:p>
      <w:pPr>
        <w:spacing w:after="0" w:line="187" w:lineRule="exact"/>
        <w:rPr>
          <w:sz w:val="20"/>
          <w:szCs w:val="20"/>
          <w:color w:val="auto"/>
        </w:rPr>
      </w:pPr>
    </w:p>
    <w:tbl>
      <w:tblPr>
        <w:tblLayout w:type="fixed"/>
        <w:tblInd w:w="620" w:type="dxa"/>
        <w:tblCellMar>
          <w:top w:w="0" w:type="dxa"/>
          <w:left w:w="0" w:type="dxa"/>
          <w:bottom w:w="0" w:type="dxa"/>
          <w:right w:w="0" w:type="dxa"/>
        </w:tblCellMar>
      </w:tblPr>
      <w:tr>
        <w:trPr>
          <w:trHeight w:val="220"/>
        </w:trPr>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80" w:type="dxa"/>
            <w:vAlign w:val="bottom"/>
            <w:gridSpan w:val="5"/>
          </w:tcPr>
          <w:p>
            <w:pPr>
              <w:ind w:left="580"/>
              <w:spacing w:after="0"/>
              <w:rPr>
                <w:sz w:val="20"/>
                <w:szCs w:val="20"/>
                <w:color w:val="auto"/>
              </w:rPr>
            </w:pPr>
            <w:r>
              <w:rPr>
                <w:rFonts w:ascii="Arial" w:cs="Arial" w:eastAsia="Arial" w:hAnsi="Arial"/>
                <w:sz w:val="16"/>
                <w:szCs w:val="16"/>
                <w:color w:val="auto"/>
              </w:rPr>
              <w:t>Thirteen Weeks Ended</w:t>
            </w:r>
          </w:p>
        </w:tc>
        <w:tc>
          <w:tcPr>
            <w:tcW w:w="300" w:type="dxa"/>
            <w:vAlign w:val="bottom"/>
          </w:tcPr>
          <w:p>
            <w:pPr>
              <w:spacing w:after="0"/>
              <w:rPr>
                <w:sz w:val="19"/>
                <w:szCs w:val="19"/>
                <w:color w:val="auto"/>
              </w:rPr>
            </w:pPr>
          </w:p>
        </w:tc>
        <w:tc>
          <w:tcPr>
            <w:tcW w:w="2680" w:type="dxa"/>
            <w:vAlign w:val="bottom"/>
            <w:gridSpan w:val="4"/>
          </w:tcPr>
          <w:p>
            <w:pPr>
              <w:jc w:val="right"/>
              <w:ind w:right="539"/>
              <w:spacing w:after="0"/>
              <w:rPr>
                <w:sz w:val="20"/>
                <w:szCs w:val="20"/>
                <w:color w:val="auto"/>
              </w:rPr>
            </w:pPr>
            <w:r>
              <w:rPr>
                <w:rFonts w:ascii="Arial" w:cs="Arial" w:eastAsia="Arial" w:hAnsi="Arial"/>
                <w:sz w:val="16"/>
                <w:szCs w:val="16"/>
                <w:color w:val="auto"/>
              </w:rPr>
              <w:t>Thirty-Nine Weeks Ended</w:t>
            </w:r>
          </w:p>
        </w:tc>
      </w:tr>
      <w:tr>
        <w:trPr>
          <w:trHeight w:val="33"/>
        </w:trPr>
        <w:tc>
          <w:tcPr>
            <w:tcW w:w="396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98"/>
              </w:rPr>
              <w:t>May 30, 2020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98"/>
              </w:rPr>
              <w:t>May 25, 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May 30, 2020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May 25, 2019</w:t>
            </w:r>
          </w:p>
        </w:tc>
      </w:tr>
      <w:tr>
        <w:trPr>
          <w:trHeight w:val="25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Basic earnings per share computation:</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3960" w:type="dxa"/>
            <w:vAlign w:val="bottom"/>
            <w:gridSpan w:val="2"/>
          </w:tcPr>
          <w:p>
            <w:pPr>
              <w:ind w:left="280"/>
              <w:spacing w:after="0"/>
              <w:rPr>
                <w:sz w:val="20"/>
                <w:szCs w:val="20"/>
                <w:color w:val="auto"/>
              </w:rPr>
            </w:pPr>
            <w:r>
              <w:rPr>
                <w:rFonts w:ascii="Arial" w:cs="Arial" w:eastAsia="Arial" w:hAnsi="Arial"/>
                <w:sz w:val="16"/>
                <w:szCs w:val="16"/>
                <w:color w:val="auto"/>
              </w:rPr>
              <w:t>Numerator:</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41,445</w:t>
            </w:r>
          </w:p>
        </w:tc>
      </w:tr>
      <w:tr>
        <w:trPr>
          <w:trHeight w:val="237"/>
        </w:trPr>
        <w:tc>
          <w:tcPr>
            <w:tcW w:w="3960" w:type="dxa"/>
            <w:vAlign w:val="bottom"/>
            <w:gridSpan w:val="2"/>
          </w:tcPr>
          <w:p>
            <w:pPr>
              <w:ind w:left="280"/>
              <w:spacing w:after="0"/>
              <w:rPr>
                <w:sz w:val="20"/>
                <w:szCs w:val="20"/>
                <w:color w:val="auto"/>
              </w:rPr>
            </w:pPr>
            <w:r>
              <w:rPr>
                <w:rFonts w:ascii="Arial" w:cs="Arial" w:eastAsia="Arial" w:hAnsi="Arial"/>
                <w:sz w:val="16"/>
                <w:szCs w:val="16"/>
                <w:color w:val="auto"/>
              </w:rPr>
              <w:t>Denominator:</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Weighted average common shares - basic</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95,378,495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81,898,276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93,475,539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80,362,978</w:t>
            </w:r>
          </w:p>
        </w:tc>
      </w:tr>
      <w:tr>
        <w:trPr>
          <w:trHeight w:val="290"/>
        </w:trPr>
        <w:tc>
          <w:tcPr>
            <w:tcW w:w="396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Basic earnings per share from 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0.52</w:t>
            </w:r>
          </w:p>
        </w:tc>
      </w:tr>
      <w:tr>
        <w:trPr>
          <w:trHeight w:val="237"/>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Diluted earnings per share computation:</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7"/>
        </w:trPr>
        <w:tc>
          <w:tcPr>
            <w:tcW w:w="3960" w:type="dxa"/>
            <w:vAlign w:val="bottom"/>
            <w:gridSpan w:val="2"/>
          </w:tcPr>
          <w:p>
            <w:pPr>
              <w:ind w:left="280"/>
              <w:spacing w:after="0"/>
              <w:rPr>
                <w:sz w:val="20"/>
                <w:szCs w:val="20"/>
                <w:color w:val="auto"/>
              </w:rPr>
            </w:pPr>
            <w:r>
              <w:rPr>
                <w:rFonts w:ascii="Arial" w:cs="Arial" w:eastAsia="Arial" w:hAnsi="Arial"/>
                <w:sz w:val="16"/>
                <w:szCs w:val="16"/>
                <w:color w:val="auto"/>
              </w:rPr>
              <w:t>Numerator:</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41,445</w:t>
            </w:r>
          </w:p>
        </w:tc>
      </w:tr>
      <w:tr>
        <w:trPr>
          <w:trHeight w:val="237"/>
        </w:trPr>
        <w:tc>
          <w:tcPr>
            <w:tcW w:w="3960" w:type="dxa"/>
            <w:vAlign w:val="bottom"/>
            <w:gridSpan w:val="2"/>
          </w:tcPr>
          <w:p>
            <w:pPr>
              <w:ind w:left="280"/>
              <w:spacing w:after="0"/>
              <w:rPr>
                <w:sz w:val="20"/>
                <w:szCs w:val="20"/>
                <w:color w:val="auto"/>
              </w:rPr>
            </w:pPr>
            <w:r>
              <w:rPr>
                <w:rFonts w:ascii="Arial" w:cs="Arial" w:eastAsia="Arial" w:hAnsi="Arial"/>
                <w:sz w:val="16"/>
                <w:szCs w:val="16"/>
                <w:color w:val="auto"/>
              </w:rPr>
              <w:t>Denominator:</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0"/>
        </w:trPr>
        <w:tc>
          <w:tcPr>
            <w:tcW w:w="39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w w:val="93"/>
              </w:rPr>
              <w:t>Weighted average common shares outstanding -</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39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1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95,378,495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81,898,276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93,475,539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80,362,978</w:t>
            </w:r>
          </w:p>
        </w:tc>
      </w:tr>
      <w:tr>
        <w:trPr>
          <w:trHeight w:val="237"/>
        </w:trPr>
        <w:tc>
          <w:tcPr>
            <w:tcW w:w="3960" w:type="dxa"/>
            <w:vAlign w:val="bottom"/>
            <w:gridSpan w:val="2"/>
          </w:tcPr>
          <w:p>
            <w:pPr>
              <w:ind w:left="720"/>
              <w:spacing w:after="0"/>
              <w:rPr>
                <w:sz w:val="20"/>
                <w:szCs w:val="20"/>
                <w:color w:val="auto"/>
              </w:rPr>
            </w:pPr>
            <w:r>
              <w:rPr>
                <w:rFonts w:ascii="Arial" w:cs="Arial" w:eastAsia="Arial" w:hAnsi="Arial"/>
                <w:sz w:val="16"/>
                <w:szCs w:val="16"/>
                <w:color w:val="auto"/>
              </w:rPr>
              <w:t>Public and Private Warrants</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2,285,110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3,110,645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3,392,317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3,582,795</w:t>
            </w:r>
          </w:p>
        </w:tc>
      </w:tr>
      <w:tr>
        <w:trPr>
          <w:trHeight w:val="33"/>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Employee 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630,408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844,937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1,028,218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689,849</w:t>
            </w:r>
          </w:p>
        </w:tc>
      </w:tr>
      <w:tr>
        <w:trPr>
          <w:trHeight w:val="237"/>
        </w:trPr>
        <w:tc>
          <w:tcPr>
            <w:tcW w:w="3960" w:type="dxa"/>
            <w:vAlign w:val="bottom"/>
            <w:gridSpan w:val="2"/>
          </w:tcPr>
          <w:p>
            <w:pPr>
              <w:ind w:left="720"/>
              <w:spacing w:after="0"/>
              <w:rPr>
                <w:sz w:val="20"/>
                <w:szCs w:val="20"/>
                <w:color w:val="auto"/>
              </w:rPr>
            </w:pPr>
            <w:r>
              <w:rPr>
                <w:rFonts w:ascii="Arial" w:cs="Arial" w:eastAsia="Arial" w:hAnsi="Arial"/>
                <w:sz w:val="16"/>
                <w:szCs w:val="16"/>
                <w:color w:val="auto"/>
              </w:rPr>
              <w:t>Non-vested shares</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28,303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108,293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37,476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60,081</w:t>
            </w:r>
          </w:p>
        </w:tc>
      </w:tr>
      <w:tr>
        <w:trPr>
          <w:trHeight w:val="33"/>
        </w:trPr>
        <w:tc>
          <w:tcPr>
            <w:tcW w:w="3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39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Weighted average common shares - diluted</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98,322,316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85,962,151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97,933,550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84,695,703</w:t>
            </w:r>
          </w:p>
        </w:tc>
      </w:tr>
      <w:tr>
        <w:trPr>
          <w:trHeight w:val="250"/>
        </w:trPr>
        <w:tc>
          <w:tcPr>
            <w:tcW w:w="3960" w:type="dxa"/>
            <w:vAlign w:val="bottom"/>
            <w:gridSpan w:val="2"/>
          </w:tcPr>
          <w:p>
            <w:pPr>
              <w:ind w:left="280"/>
              <w:spacing w:after="0"/>
              <w:rPr>
                <w:sz w:val="20"/>
                <w:szCs w:val="20"/>
                <w:color w:val="auto"/>
              </w:rPr>
            </w:pPr>
            <w:r>
              <w:rPr>
                <w:rFonts w:ascii="Arial" w:cs="Arial" w:eastAsia="Arial" w:hAnsi="Arial"/>
                <w:sz w:val="16"/>
                <w:szCs w:val="16"/>
                <w:color w:val="auto"/>
              </w:rPr>
              <w:t>Diluted earnings per share from 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0.49</w:t>
            </w:r>
          </w:p>
        </w:tc>
      </w:tr>
      <w:tr>
        <w:trPr>
          <w:trHeight w:val="20"/>
        </w:trPr>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Earnings per share calculations for the thirteen weeks ended May 30, 2020 and May 25, 2019 excluded 0.8 million and 0.3 million shares of stock options issuable upon exercise, respectively, that would have been anti-dilutive. Earnings per share calculations for the thirteen weeks ended May 30, 2020 excluded 0.1 million non-vested shares that would have been anti-dilutive. An immaterial number of non-vested shares were excluded from earnings per share calculation for the thirteen weeks ended May 25, 2019.</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Earnings per share calculations for the thirty-nine weeks ended May 30, 2020 and May 25, 2019 excluded 0.6 million and 0.3 million shares of stock options issuable upon exercise, respectively, that would have been anti-dilutive. An immaterial number of non-vested shares were excluded from earnings per share calculations for the thirty-nine weeks ended May 30, 2020 and May 25,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Omnibus Incentive Plan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Stock-based compensation includes stock options, restricted stock unit, performance stock unit awards and stock appreciation rights, which are awarded to employees, directors, and consultants of the Company. Stock-based compensation expense is recognized on a straight-line basis over the requisite service period of the award based on their grant date fair value. Stock-based compensation expense is included within </w:t>
      </w:r>
      <w:r>
        <w:rPr>
          <w:rFonts w:ascii="Arial" w:cs="Arial" w:eastAsia="Arial" w:hAnsi="Arial"/>
          <w:sz w:val="17"/>
          <w:szCs w:val="17"/>
          <w:i w:val="1"/>
          <w:iCs w:val="1"/>
          <w:color w:val="auto"/>
        </w:rPr>
        <w:t>General and administrative</w:t>
      </w:r>
      <w:r>
        <w:rPr>
          <w:rFonts w:ascii="Arial" w:cs="Arial" w:eastAsia="Arial" w:hAnsi="Arial"/>
          <w:sz w:val="17"/>
          <w:szCs w:val="17"/>
          <w:color w:val="auto"/>
        </w:rPr>
        <w:t xml:space="preserve"> expense, which is the same financial statement caption where the recipient’s other compensation is reported.</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recorded $2.2 million and $1.4 million of stock-based compensation expense in the thirteen weeks ended May 30, 2020 and May 25, 2019, respectively. The Company recorded $5.9 million and $3.9 million of stock-based compensation expense in the thirty-nine weeks ended May 30, 2020 and May 25, 2019,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the thirty-nine weeks ended May 30, 2020:</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right"/>
              <w:ind w:right="219"/>
              <w:spacing w:after="0"/>
              <w:rPr>
                <w:sz w:val="20"/>
                <w:szCs w:val="20"/>
                <w:color w:val="auto"/>
              </w:rPr>
            </w:pPr>
            <w:r>
              <w:rPr>
                <w:rFonts w:ascii="Arial" w:cs="Arial" w:eastAsia="Arial" w:hAnsi="Arial"/>
                <w:sz w:val="16"/>
                <w:szCs w:val="16"/>
                <w:color w:val="auto"/>
              </w:rPr>
              <w:t>Weighted average</w:t>
            </w:r>
          </w:p>
        </w:tc>
      </w:tr>
      <w:tr>
        <w:trPr>
          <w:trHeight w:val="203"/>
        </w:trPr>
        <w:tc>
          <w:tcPr>
            <w:tcW w:w="5180" w:type="dxa"/>
            <w:vAlign w:val="bottom"/>
          </w:tcPr>
          <w:p>
            <w:pPr>
              <w:spacing w:after="0"/>
              <w:rPr>
                <w:sz w:val="17"/>
                <w:szCs w:val="17"/>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w w:val="98"/>
              </w:rPr>
              <w:t>Shares Underlying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Weighted average</w:t>
            </w:r>
          </w:p>
        </w:tc>
        <w:tc>
          <w:tcPr>
            <w:tcW w:w="1740" w:type="dxa"/>
            <w:vAlign w:val="bottom"/>
          </w:tcPr>
          <w:p>
            <w:pPr>
              <w:jc w:val="right"/>
              <w:spacing w:after="0"/>
              <w:rPr>
                <w:sz w:val="20"/>
                <w:szCs w:val="20"/>
                <w:color w:val="auto"/>
              </w:rPr>
            </w:pPr>
            <w:r>
              <w:rPr>
                <w:rFonts w:ascii="Arial" w:cs="Arial" w:eastAsia="Arial" w:hAnsi="Arial"/>
                <w:sz w:val="16"/>
                <w:szCs w:val="16"/>
                <w:color w:val="auto"/>
                <w:w w:val="94"/>
              </w:rPr>
              <w:t>remaining contractual life</w:t>
            </w:r>
          </w:p>
        </w:tc>
      </w:tr>
      <w:tr>
        <w:trPr>
          <w:trHeight w:val="206"/>
        </w:trPr>
        <w:tc>
          <w:tcPr>
            <w:tcW w:w="5180" w:type="dxa"/>
            <w:vAlign w:val="bottom"/>
          </w:tcPr>
          <w:p>
            <w:pPr>
              <w:spacing w:after="0"/>
              <w:rPr>
                <w:sz w:val="17"/>
                <w:szCs w:val="17"/>
                <w:color w:val="auto"/>
              </w:rPr>
            </w:pPr>
          </w:p>
        </w:tc>
        <w:tc>
          <w:tcPr>
            <w:tcW w:w="1460" w:type="dxa"/>
            <w:vAlign w:val="bottom"/>
          </w:tcPr>
          <w:p>
            <w:pPr>
              <w:jc w:val="right"/>
              <w:ind w:right="399"/>
              <w:spacing w:after="0"/>
              <w:rPr>
                <w:sz w:val="20"/>
                <w:szCs w:val="20"/>
                <w:color w:val="auto"/>
              </w:rPr>
            </w:pPr>
            <w:r>
              <w:rPr>
                <w:rFonts w:ascii="Arial" w:cs="Arial" w:eastAsia="Arial" w:hAnsi="Arial"/>
                <w:sz w:val="16"/>
                <w:szCs w:val="16"/>
                <w:color w:val="auto"/>
              </w:rPr>
              <w:t>Options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exercise price</w:t>
            </w:r>
          </w:p>
        </w:tc>
        <w:tc>
          <w:tcPr>
            <w:tcW w:w="1740" w:type="dxa"/>
            <w:vAlign w:val="bottom"/>
          </w:tcPr>
          <w:p>
            <w:pPr>
              <w:jc w:val="right"/>
              <w:ind w:right="479"/>
              <w:spacing w:after="0"/>
              <w:rPr>
                <w:sz w:val="20"/>
                <w:szCs w:val="20"/>
                <w:color w:val="auto"/>
              </w:rPr>
            </w:pPr>
            <w:r>
              <w:rPr>
                <w:rFonts w:ascii="Arial" w:cs="Arial" w:eastAsia="Arial" w:hAnsi="Arial"/>
                <w:sz w:val="16"/>
                <w:szCs w:val="16"/>
                <w:color w:val="auto"/>
              </w:rPr>
              <w:t>(in years)</w:t>
            </w:r>
          </w:p>
        </w:tc>
      </w:tr>
      <w:tr>
        <w:trPr>
          <w:trHeight w:val="33"/>
        </w:trPr>
        <w:tc>
          <w:tcPr>
            <w:tcW w:w="51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4"/>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August 31, 2019</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2,748,735</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13.35</w:t>
            </w:r>
          </w:p>
        </w:tc>
        <w:tc>
          <w:tcPr>
            <w:tcW w:w="1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r>
      <w:tr>
        <w:trPr>
          <w:trHeight w:val="217"/>
        </w:trPr>
        <w:tc>
          <w:tcPr>
            <w:tcW w:w="5180" w:type="dxa"/>
            <w:vAlign w:val="bottom"/>
          </w:tcPr>
          <w:p>
            <w:pPr>
              <w:ind w:left="160"/>
              <w:spacing w:after="0"/>
              <w:rPr>
                <w:sz w:val="20"/>
                <w:szCs w:val="20"/>
                <w:color w:val="auto"/>
              </w:rPr>
            </w:pPr>
            <w:r>
              <w:rPr>
                <w:rFonts w:ascii="Arial" w:cs="Arial" w:eastAsia="Arial" w:hAnsi="Arial"/>
                <w:sz w:val="16"/>
                <w:szCs w:val="16"/>
                <w:color w:val="auto"/>
              </w:rPr>
              <w:t>Granted</w:t>
            </w: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194,014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24.20</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3"/>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shd w:val="clear" w:color="auto" w:fill="CCEEFF"/>
              </w:rPr>
              <w:t>Exercised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(76,366)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37"/>
        </w:trPr>
        <w:tc>
          <w:tcPr>
            <w:tcW w:w="5180" w:type="dxa"/>
            <w:vAlign w:val="bottom"/>
          </w:tcPr>
          <w:p>
            <w:pPr>
              <w:ind w:left="160"/>
              <w:spacing w:after="0"/>
              <w:rPr>
                <w:sz w:val="20"/>
                <w:szCs w:val="20"/>
                <w:color w:val="auto"/>
              </w:rPr>
            </w:pPr>
            <w:r>
              <w:rPr>
                <w:rFonts w:ascii="Arial" w:cs="Arial" w:eastAsia="Arial" w:hAnsi="Arial"/>
                <w:sz w:val="16"/>
                <w:szCs w:val="16"/>
                <w:color w:val="auto"/>
              </w:rPr>
              <w:t>Forfeited</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tcPr>
          <w:p>
            <w:pPr>
              <w:spacing w:after="0"/>
              <w:rPr>
                <w:sz w:val="20"/>
                <w:szCs w:val="20"/>
                <w:color w:val="auto"/>
              </w:rPr>
            </w:pPr>
          </w:p>
        </w:tc>
      </w:tr>
      <w:tr>
        <w:trPr>
          <w:trHeight w:val="33"/>
        </w:trPr>
        <w:tc>
          <w:tcPr>
            <w:tcW w:w="51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May 30, 2020</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2,866,383</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14.12</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7.52</w:t>
            </w:r>
          </w:p>
        </w:tc>
      </w:tr>
      <w:tr>
        <w:trPr>
          <w:trHeight w:val="290"/>
        </w:trPr>
        <w:tc>
          <w:tcPr>
            <w:tcW w:w="518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7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May 30, 2020</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2,866,383</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14.12</w:t>
            </w:r>
          </w:p>
        </w:tc>
        <w:tc>
          <w:tcPr>
            <w:tcW w:w="1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7.52</w:t>
            </w:r>
          </w:p>
        </w:tc>
      </w:tr>
      <w:tr>
        <w:trPr>
          <w:trHeight w:val="291"/>
        </w:trPr>
        <w:tc>
          <w:tcPr>
            <w:tcW w:w="518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Exercisable as of May 30, 2020</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1,551,838</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7.27</w:t>
            </w:r>
          </w:p>
        </w:tc>
      </w:tr>
      <w:tr>
        <w:trPr>
          <w:trHeight w:val="20"/>
        </w:trPr>
        <w:tc>
          <w:tcPr>
            <w:tcW w:w="51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May 30, 2020, the Company had $3.2 million of total unrecognized compensation cost related to stock option plans that will be recognized over a weighted average period of 0.82 years. During the thirty-nine week period ended May 30, 2020, the Company received $0.9 million in cash from stock option exercises.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restricted stock unit activity for the thirty-nine weeks ended May 30, 2020:</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7020" w:type="dxa"/>
            <w:vAlign w:val="bottom"/>
          </w:tcPr>
          <w:p>
            <w:pPr>
              <w:spacing w:after="0"/>
              <w:rPr>
                <w:sz w:val="17"/>
                <w:szCs w:val="17"/>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Restricted Stock</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w w:val="89"/>
              </w:rPr>
              <w:t>Weighted average</w:t>
            </w:r>
          </w:p>
        </w:tc>
      </w:tr>
      <w:tr>
        <w:trPr>
          <w:trHeight w:val="206"/>
        </w:trPr>
        <w:tc>
          <w:tcPr>
            <w:tcW w:w="7020" w:type="dxa"/>
            <w:vAlign w:val="bottom"/>
          </w:tcPr>
          <w:p>
            <w:pPr>
              <w:spacing w:after="0"/>
              <w:rPr>
                <w:sz w:val="17"/>
                <w:szCs w:val="17"/>
                <w:color w:val="auto"/>
              </w:rPr>
            </w:pPr>
          </w:p>
        </w:tc>
        <w:tc>
          <w:tcPr>
            <w:tcW w:w="1460" w:type="dxa"/>
            <w:vAlign w:val="bottom"/>
          </w:tcPr>
          <w:p>
            <w:pPr>
              <w:jc w:val="right"/>
              <w:ind w:right="479"/>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w w:val="94"/>
              </w:rPr>
              <w:t>grant-date fair value</w:t>
            </w:r>
          </w:p>
        </w:tc>
      </w:tr>
      <w:tr>
        <w:trPr>
          <w:trHeight w:val="33"/>
        </w:trPr>
        <w:tc>
          <w:tcPr>
            <w:tcW w:w="70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as of August 31, 2019</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92,400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17.50</w:t>
            </w:r>
          </w:p>
        </w:tc>
      </w:tr>
      <w:tr>
        <w:trPr>
          <w:trHeight w:val="217"/>
        </w:trPr>
        <w:tc>
          <w:tcPr>
            <w:tcW w:w="7020" w:type="dxa"/>
            <w:vAlign w:val="bottom"/>
          </w:tcPr>
          <w:p>
            <w:pPr>
              <w:ind w:left="20"/>
              <w:spacing w:after="0"/>
              <w:rPr>
                <w:sz w:val="20"/>
                <w:szCs w:val="20"/>
                <w:color w:val="auto"/>
              </w:rPr>
            </w:pPr>
            <w:r>
              <w:rPr>
                <w:rFonts w:ascii="Arial" w:cs="Arial" w:eastAsia="Arial" w:hAnsi="Arial"/>
                <w:sz w:val="16"/>
                <w:szCs w:val="16"/>
                <w:color w:val="auto"/>
              </w:rPr>
              <w:t>Granted</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158,512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24.01</w:t>
            </w:r>
          </w:p>
        </w:tc>
      </w:tr>
      <w:tr>
        <w:trPr>
          <w:trHeight w:val="33"/>
        </w:trPr>
        <w:tc>
          <w:tcPr>
            <w:tcW w:w="7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Vested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18.17</w:t>
            </w:r>
          </w:p>
        </w:tc>
      </w:tr>
      <w:tr>
        <w:trPr>
          <w:trHeight w:val="237"/>
        </w:trPr>
        <w:tc>
          <w:tcPr>
            <w:tcW w:w="702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460" w:type="dxa"/>
            <w:vAlign w:val="bottom"/>
          </w:tcPr>
          <w:p>
            <w:pPr>
              <w:jc w:val="right"/>
              <w:spacing w:after="0"/>
              <w:rPr>
                <w:sz w:val="20"/>
                <w:szCs w:val="20"/>
                <w:color w:val="auto"/>
              </w:rPr>
            </w:pPr>
            <w:r>
              <w:rPr>
                <w:rFonts w:ascii="Arial" w:cs="Arial" w:eastAsia="Arial" w:hAnsi="Arial"/>
                <w:sz w:val="16"/>
                <w:szCs w:val="16"/>
                <w:color w:val="auto"/>
              </w:rPr>
              <w:t>(4,923)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16.36</w:t>
            </w:r>
          </w:p>
        </w:tc>
      </w:tr>
      <w:tr>
        <w:trPr>
          <w:trHeight w:val="33"/>
        </w:trPr>
        <w:tc>
          <w:tcPr>
            <w:tcW w:w="70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3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as of May 30, 2020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194,471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22.66</w:t>
            </w:r>
          </w:p>
        </w:tc>
      </w:tr>
      <w:tr>
        <w:trPr>
          <w:trHeight w:val="20"/>
        </w:trPr>
        <w:tc>
          <w:tcPr>
            <w:tcW w:w="70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As of May 30, 2020, the Company had $3.0 million of total unrecognized compensation cost related to restricted stock units that will be recognized over a weighted average period of 1.87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Stock Units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thirty-nine weeks ended May 30, 2020, the Board of Directors granted performance stock units under the Company’s equity compensation plan. Performance stock units vest in a range between 0% and 200% based upon certain performance criteria in a three-year period. Performance stock units were valued using a Monte-Carlo simulation.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performance stock unit activity for the thirty-nine weeks ended May 30, 2020:</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7020" w:type="dxa"/>
            <w:vAlign w:val="bottom"/>
          </w:tcPr>
          <w:p>
            <w:pPr>
              <w:spacing w:after="0"/>
              <w:rPr>
                <w:sz w:val="17"/>
                <w:szCs w:val="17"/>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w w:val="98"/>
              </w:rPr>
              <w:t>Performance Stock</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w w:val="89"/>
              </w:rPr>
              <w:t>Weighted average</w:t>
            </w:r>
          </w:p>
        </w:tc>
      </w:tr>
      <w:tr>
        <w:trPr>
          <w:trHeight w:val="206"/>
        </w:trPr>
        <w:tc>
          <w:tcPr>
            <w:tcW w:w="7020" w:type="dxa"/>
            <w:vAlign w:val="bottom"/>
          </w:tcPr>
          <w:p>
            <w:pPr>
              <w:spacing w:after="0"/>
              <w:rPr>
                <w:sz w:val="17"/>
                <w:szCs w:val="17"/>
                <w:color w:val="auto"/>
              </w:rPr>
            </w:pPr>
          </w:p>
        </w:tc>
        <w:tc>
          <w:tcPr>
            <w:tcW w:w="1460" w:type="dxa"/>
            <w:vAlign w:val="bottom"/>
          </w:tcPr>
          <w:p>
            <w:pPr>
              <w:jc w:val="right"/>
              <w:ind w:right="479"/>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w w:val="94"/>
              </w:rPr>
              <w:t>grant-date fair value</w:t>
            </w:r>
          </w:p>
        </w:tc>
      </w:tr>
      <w:tr>
        <w:trPr>
          <w:trHeight w:val="33"/>
        </w:trPr>
        <w:tc>
          <w:tcPr>
            <w:tcW w:w="70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as of August 31, 2019</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192,389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11.93</w:t>
            </w:r>
          </w:p>
        </w:tc>
      </w:tr>
      <w:tr>
        <w:trPr>
          <w:trHeight w:val="217"/>
        </w:trPr>
        <w:tc>
          <w:tcPr>
            <w:tcW w:w="7020" w:type="dxa"/>
            <w:vAlign w:val="bottom"/>
          </w:tcPr>
          <w:p>
            <w:pPr>
              <w:ind w:left="20"/>
              <w:spacing w:after="0"/>
              <w:rPr>
                <w:sz w:val="20"/>
                <w:szCs w:val="20"/>
                <w:color w:val="auto"/>
              </w:rPr>
            </w:pPr>
            <w:r>
              <w:rPr>
                <w:rFonts w:ascii="Arial" w:cs="Arial" w:eastAsia="Arial" w:hAnsi="Arial"/>
                <w:sz w:val="16"/>
                <w:szCs w:val="16"/>
                <w:color w:val="auto"/>
              </w:rPr>
              <w:t>Granted</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121,288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27.39</w:t>
            </w:r>
          </w:p>
        </w:tc>
      </w:tr>
      <w:tr>
        <w:trPr>
          <w:trHeight w:val="33"/>
        </w:trPr>
        <w:tc>
          <w:tcPr>
            <w:tcW w:w="7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02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460" w:type="dxa"/>
            <w:vAlign w:val="bottom"/>
          </w:tcPr>
          <w:p>
            <w:pPr>
              <w:jc w:val="right"/>
              <w:spacing w:after="0"/>
              <w:rPr>
                <w:sz w:val="20"/>
                <w:szCs w:val="20"/>
                <w:color w:val="auto"/>
              </w:rPr>
            </w:pPr>
            <w:r>
              <w:rPr>
                <w:rFonts w:ascii="Arial" w:cs="Arial" w:eastAsia="Arial" w:hAnsi="Arial"/>
                <w:sz w:val="16"/>
                <w:szCs w:val="16"/>
                <w:color w:val="auto"/>
              </w:rPr>
              <w:t>(3,142)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16.67</w:t>
            </w:r>
          </w:p>
        </w:tc>
      </w:tr>
      <w:tr>
        <w:trPr>
          <w:trHeight w:val="33"/>
        </w:trPr>
        <w:tc>
          <w:tcPr>
            <w:tcW w:w="70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3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as of May 30, 2020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310,535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17.92</w:t>
            </w:r>
          </w:p>
        </w:tc>
      </w:tr>
      <w:tr>
        <w:trPr>
          <w:trHeight w:val="20"/>
        </w:trPr>
        <w:tc>
          <w:tcPr>
            <w:tcW w:w="70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May 30, 2020, the Company had $3.8 million of total unrecognized compensation cost related to performance stock units that will be recognized over a weighted average period of 1.83 years.</w:t>
      </w:r>
    </w:p>
    <w:p>
      <w:pPr>
        <w:sectPr>
          <w:pgSz w:w="11900" w:h="16838" w:orient="portrait"/>
          <w:cols w:equalWidth="0" w:num="1">
            <w:col w:w="11240"/>
          </w:cols>
          <w:pgMar w:left="320" w:top="125"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Appreciation Rights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Stock appreciation rights ("SARs") permit the holder to participate in the appreciation of the Company's common stock price. The Company's SARs settle in shares of its common stock once the applicable vesting criteria has been met. SARs cliff vest 3 years from the date of grant and must be exercised within 10 years.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SARs activity for the thirty-nine weeks ended May 30, 2020:</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89"/>
              </w:rPr>
              <w:t>Weighted average</w:t>
            </w:r>
          </w:p>
        </w:tc>
      </w:tr>
      <w:tr>
        <w:trPr>
          <w:trHeight w:val="203"/>
        </w:trPr>
        <w:tc>
          <w:tcPr>
            <w:tcW w:w="518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w w:val="98"/>
              </w:rPr>
              <w:t>Shares Underlying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color w:val="auto"/>
                <w:w w:val="89"/>
              </w:rPr>
              <w:t>Weighted average</w:t>
            </w:r>
          </w:p>
        </w:tc>
        <w:tc>
          <w:tcPr>
            <w:tcW w:w="1760" w:type="dxa"/>
            <w:vAlign w:val="bottom"/>
          </w:tcPr>
          <w:p>
            <w:pPr>
              <w:jc w:val="center"/>
              <w:spacing w:after="0"/>
              <w:rPr>
                <w:sz w:val="20"/>
                <w:szCs w:val="20"/>
                <w:color w:val="auto"/>
              </w:rPr>
            </w:pPr>
            <w:r>
              <w:rPr>
                <w:rFonts w:ascii="Arial" w:cs="Arial" w:eastAsia="Arial" w:hAnsi="Arial"/>
                <w:sz w:val="16"/>
                <w:szCs w:val="16"/>
                <w:color w:val="auto"/>
                <w:w w:val="94"/>
              </w:rPr>
              <w:t>remaining contractual life</w:t>
            </w:r>
          </w:p>
        </w:tc>
      </w:tr>
      <w:tr>
        <w:trPr>
          <w:trHeight w:val="206"/>
        </w:trPr>
        <w:tc>
          <w:tcPr>
            <w:tcW w:w="5180" w:type="dxa"/>
            <w:vAlign w:val="bottom"/>
          </w:tcPr>
          <w:p>
            <w:pPr>
              <w:spacing w:after="0"/>
              <w:rPr>
                <w:sz w:val="17"/>
                <w:szCs w:val="17"/>
                <w:color w:val="auto"/>
              </w:rPr>
            </w:pPr>
          </w:p>
        </w:tc>
        <w:tc>
          <w:tcPr>
            <w:tcW w:w="1440" w:type="dxa"/>
            <w:vAlign w:val="bottom"/>
          </w:tcPr>
          <w:p>
            <w:pPr>
              <w:jc w:val="right"/>
              <w:ind w:right="459"/>
              <w:spacing w:after="0"/>
              <w:rPr>
                <w:sz w:val="20"/>
                <w:szCs w:val="20"/>
                <w:color w:val="auto"/>
              </w:rPr>
            </w:pPr>
            <w:r>
              <w:rPr>
                <w:rFonts w:ascii="Arial" w:cs="Arial" w:eastAsia="Arial" w:hAnsi="Arial"/>
                <w:sz w:val="16"/>
                <w:szCs w:val="16"/>
                <w:color w:val="auto"/>
              </w:rPr>
              <w:t>SARs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exercise price</w:t>
            </w:r>
          </w:p>
        </w:tc>
        <w:tc>
          <w:tcPr>
            <w:tcW w:w="1760" w:type="dxa"/>
            <w:vAlign w:val="bottom"/>
          </w:tcPr>
          <w:p>
            <w:pPr>
              <w:jc w:val="center"/>
              <w:spacing w:after="0"/>
              <w:rPr>
                <w:sz w:val="20"/>
                <w:szCs w:val="20"/>
                <w:color w:val="auto"/>
              </w:rPr>
            </w:pPr>
            <w:r>
              <w:rPr>
                <w:rFonts w:ascii="Arial" w:cs="Arial" w:eastAsia="Arial" w:hAnsi="Arial"/>
                <w:sz w:val="16"/>
                <w:szCs w:val="16"/>
                <w:color w:val="auto"/>
                <w:w w:val="92"/>
              </w:rPr>
              <w:t>(in years)</w:t>
            </w:r>
          </w:p>
        </w:tc>
      </w:tr>
      <w:tr>
        <w:trPr>
          <w:trHeight w:val="33"/>
        </w:trPr>
        <w:tc>
          <w:tcPr>
            <w:tcW w:w="51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August 31, 2019</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spacing w:after="0"/>
              <w:rPr>
                <w:sz w:val="22"/>
                <w:szCs w:val="22"/>
                <w:color w:val="auto"/>
              </w:rPr>
            </w:pPr>
          </w:p>
        </w:tc>
      </w:tr>
      <w:tr>
        <w:trPr>
          <w:trHeight w:val="217"/>
        </w:trPr>
        <w:tc>
          <w:tcPr>
            <w:tcW w:w="5180" w:type="dxa"/>
            <w:vAlign w:val="bottom"/>
          </w:tcPr>
          <w:p>
            <w:pPr>
              <w:ind w:left="20"/>
              <w:spacing w:after="0"/>
              <w:rPr>
                <w:sz w:val="20"/>
                <w:szCs w:val="20"/>
                <w:color w:val="auto"/>
              </w:rPr>
            </w:pPr>
            <w:r>
              <w:rPr>
                <w:rFonts w:ascii="Arial" w:cs="Arial" w:eastAsia="Arial" w:hAnsi="Arial"/>
                <w:sz w:val="16"/>
                <w:szCs w:val="16"/>
                <w:color w:val="auto"/>
              </w:rPr>
              <w:t>Granted</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24.20</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33"/>
        </w:trPr>
        <w:tc>
          <w:tcPr>
            <w:tcW w:w="5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spacing w:after="0"/>
              <w:rPr>
                <w:sz w:val="21"/>
                <w:szCs w:val="21"/>
                <w:color w:val="auto"/>
              </w:rPr>
            </w:pPr>
          </w:p>
        </w:tc>
      </w:tr>
      <w:tr>
        <w:trPr>
          <w:trHeight w:val="237"/>
        </w:trPr>
        <w:tc>
          <w:tcPr>
            <w:tcW w:w="518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760" w:type="dxa"/>
            <w:vAlign w:val="bottom"/>
          </w:tcPr>
          <w:p>
            <w:pPr>
              <w:spacing w:after="0"/>
              <w:rPr>
                <w:sz w:val="20"/>
                <w:szCs w:val="20"/>
                <w:color w:val="auto"/>
              </w:rPr>
            </w:pPr>
          </w:p>
        </w:tc>
      </w:tr>
      <w:tr>
        <w:trPr>
          <w:trHeight w:val="33"/>
        </w:trPr>
        <w:tc>
          <w:tcPr>
            <w:tcW w:w="51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May 30, 2020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w:t>
            </w:r>
          </w:p>
        </w:tc>
      </w:tr>
      <w:tr>
        <w:trPr>
          <w:trHeight w:val="318"/>
        </w:trPr>
        <w:tc>
          <w:tcPr>
            <w:tcW w:w="518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May 30, 2020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w:t>
            </w:r>
          </w:p>
        </w:tc>
      </w:tr>
      <w:tr>
        <w:trPr>
          <w:trHeight w:val="324"/>
        </w:trPr>
        <w:tc>
          <w:tcPr>
            <w:tcW w:w="5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Exercisable as of May 30, 2020</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r>
      <w:tr>
        <w:trPr>
          <w:trHeight w:val="33"/>
        </w:trPr>
        <w:tc>
          <w:tcPr>
            <w:tcW w:w="5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As of May 30, 2020, the Company had $0.3 million of total unrecognized compensation cost related to its SARs that will be recognized over a weighted average period of 2.42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Customer Information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Following the Acquisition of Quest, the Company's operations are organized into two operating segments; Atkins and Quest, which are aggregated into one reporting segment, due to similar financial, economic and operating characteristics. The operating segments are also similar in the following areas:</w:t>
      </w:r>
    </w:p>
    <w:p>
      <w:pPr>
        <w:ind w:firstLine="8"/>
        <w:spacing w:after="0" w:line="260"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nature of the products; (b) the nature of the production processes; (c) the methods used to distribute products to customers, (d) the type of customer for the products, and (e) the nature of the regulatory environment.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Restructuring and Related Charges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May 2020, the Company announced certain restructuring activities in conjunction with the implementation of the Company’s future-state organization design, which creates a fully integrated organization with its completed Acquisition of Quest. The new organization design becomes effective on August 31, 2020. These restructuring plans primarily include workforce reductions and changes in management structure.</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one-time termination benefits and employee severance costs to be incurred in relation to these restructuring activities are accounted for in accordance with ASC Topic 420, Exit or Disposal Cost Obligations, and ASC Topic 712, Compensation-Nonretirement Postemployment Benefits, respectively. The Company recognizes a liability and the related expense for these restructuring costs when the liability is incurred and can be measured. Restructuring accruals are based upon management estimates at the time and can change depending upon changes in facts and circumstances subsequent to the date the original liability was recorded.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For the thirteen and thirty-nine weeks ended May 30, 2020, the Company incurred $1.4 million of costs for these restructuring activities which have been included within </w:t>
      </w:r>
      <w:r>
        <w:rPr>
          <w:rFonts w:ascii="Arial" w:cs="Arial" w:eastAsia="Arial" w:hAnsi="Arial"/>
          <w:sz w:val="18"/>
          <w:szCs w:val="18"/>
          <w:i w:val="1"/>
          <w:iCs w:val="1"/>
          <w:color w:val="auto"/>
        </w:rPr>
        <w:t>General and administrative</w:t>
      </w:r>
      <w:r>
        <w:rPr>
          <w:rFonts w:ascii="Arial" w:cs="Arial" w:eastAsia="Arial" w:hAnsi="Arial"/>
          <w:sz w:val="18"/>
          <w:szCs w:val="18"/>
          <w:color w:val="auto"/>
        </w:rPr>
        <w:t xml:space="preserve"> on the Consolidated Statements of Operations and Comprehensive Income. Overall, the Company expects to incur a total of approximately $6.3 million (including the $1.4 million referenced above) in one-time termination benefits and employee severance costs, which are to be paid throughout fiscal 2021 and the first quarter of fiscal 2022.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to the restructuring liability during the thirty-nine weeks ended May 30, 2020 were as follows:</w:t>
      </w:r>
    </w:p>
    <w:p>
      <w:pPr>
        <w:spacing w:after="0" w:line="234" w:lineRule="exact"/>
        <w:rPr>
          <w:sz w:val="20"/>
          <w:szCs w:val="20"/>
          <w:color w:val="auto"/>
        </w:rPr>
      </w:pPr>
    </w:p>
    <w:tbl>
      <w:tblPr>
        <w:tblLayout w:type="fixed"/>
        <w:tblInd w:w="620" w:type="dxa"/>
        <w:tblCellMar>
          <w:top w:w="0" w:type="dxa"/>
          <w:left w:w="0" w:type="dxa"/>
          <w:bottom w:w="0" w:type="dxa"/>
          <w:right w:w="0" w:type="dxa"/>
        </w:tblCellMar>
      </w:tblPr>
      <w:tr>
        <w:trPr>
          <w:trHeight w:val="188"/>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Restructuring Liability</w:t>
            </w:r>
          </w:p>
        </w:tc>
      </w:tr>
      <w:tr>
        <w:trPr>
          <w:trHeight w:val="236"/>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 as of August 31, 2019</w:t>
            </w:r>
          </w:p>
        </w:tc>
        <w:tc>
          <w:tcPr>
            <w:tcW w:w="540" w:type="dxa"/>
            <w:vAlign w:val="bottom"/>
            <w:tcBorders>
              <w:bottom w:val="single" w:sz="8" w:color="CCEEFF"/>
            </w:tcBorders>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600" w:type="dxa"/>
            <w:vAlign w:val="bottom"/>
            <w:gridSpan w:val="2"/>
          </w:tcPr>
          <w:p>
            <w:pPr>
              <w:ind w:left="20"/>
              <w:spacing w:after="0"/>
              <w:rPr>
                <w:sz w:val="20"/>
                <w:szCs w:val="20"/>
                <w:color w:val="auto"/>
              </w:rPr>
            </w:pPr>
            <w:r>
              <w:rPr>
                <w:rFonts w:ascii="Arial" w:cs="Arial" w:eastAsia="Arial" w:hAnsi="Arial"/>
                <w:sz w:val="16"/>
                <w:szCs w:val="16"/>
                <w:color w:val="auto"/>
              </w:rPr>
              <w:t>Charges</w:t>
            </w: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1,386</w:t>
            </w:r>
          </w:p>
        </w:tc>
      </w:tr>
      <w:tr>
        <w:trPr>
          <w:trHeight w:val="33"/>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payments</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600" w:type="dxa"/>
            <w:vAlign w:val="bottom"/>
            <w:gridSpan w:val="2"/>
          </w:tcPr>
          <w:p>
            <w:pPr>
              <w:ind w:left="20"/>
              <w:spacing w:after="0"/>
              <w:rPr>
                <w:sz w:val="20"/>
                <w:szCs w:val="20"/>
                <w:color w:val="auto"/>
              </w:rPr>
            </w:pPr>
            <w:r>
              <w:rPr>
                <w:rFonts w:ascii="Arial" w:cs="Arial" w:eastAsia="Arial" w:hAnsi="Arial"/>
                <w:sz w:val="16"/>
                <w:szCs w:val="16"/>
                <w:color w:val="auto"/>
              </w:rPr>
              <w:t>Non-cash settlements or adjustments</w:t>
            </w: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 as of May 30, 2020</w:t>
            </w:r>
          </w:p>
        </w:tc>
        <w:tc>
          <w:tcPr>
            <w:tcW w:w="54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1,386</w:t>
            </w:r>
          </w:p>
        </w:tc>
      </w:tr>
      <w:tr>
        <w:trPr>
          <w:trHeight w:val="20"/>
        </w:trPr>
        <w:tc>
          <w:tcPr>
            <w:tcW w:w="8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This Quarterly Report on Form 10-Q (this “Report”) contains forward-looking statements.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include, but are not limited to, the effect of the novel coronavirus ("COVID-19") on our business, financial condition and results of operations. We disclaim any undertaking to publicly update or revise any forward-looking statements contained herein to reflect any change in our expectations with regard thereto or any change in events, conditions or circumstances on which any such statement is based. These statements reflect our current views with respect to future events and are based on assumptions subject to risks and uncertainties. Such risks and uncertainties include those related to our ability to sell our products.</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included in our Annual Report on Form 10-K for the fiscal year ended August 31, 2019 (“Annual Report”) and our unaudited condensed consolidated financial statements and the related notes appearing elsewhere in this Report. In addition to historical information, the following discussion contains forward-looking statements, such as statements regarding the Company’s expectation for future performance, liquidity and capital resources that involve risks, uncertainties and assumptions that could cause actual results to differ materially from the Company’s expectations. The Company’s actual results may differ materially from those contained in or implied by any forward-looking statements. Factors that could cause such differences include those identified in Item 1A. “Risk Factors” of this Report and in Item 1A. “Risk Factors” of our Annual Report. The Company assumes no obligation to update any of these forward-looking statements.</w:t>
      </w:r>
    </w:p>
    <w:p>
      <w:pPr>
        <w:spacing w:after="0" w:line="17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Unless the context requires otherwise in this Report, the terms “we,” “us,” “our,” the “Company” and “Simply Good Foods” refer to The Simply Good Foods Company and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Simply Good Foods Company is a consumer packaged food and beverage company that aims to lead the nutritious snacking movement with trusted brands that offer a variety of convenient, innovative, great-tasting, better-for-you snacks and meal replacements. The Company’s nutritious snacking platform consists of brands that specialize in providing products for consumers that follow certain nutritional philosophies, dietary approaches and/or health-and-wellness trends: Atkins® for those following a low-carb lifestyle; Quest® for consumers seeking to partner with a brand that makes the foods they crave work for them, not against them, through a variety of protein-rich foods and beverages that also limit sugars and simple carbs; and SimplyProtein® for consumers looking for protein-enhanced snacks made with fewer, simple ingredients.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 Our platform also positions us to continue to selectively pursue acquisition opportunities of brands in the nutritious snacking.</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that end, in November 2019, we completed the acquisition of Quest Nutrition, LLC (“Quest”), a healthy lifestyle food company, for a cash purchase price of approximately $1.0 billion (subject to customary adjustments) (the “Acquisition of Quest”). For more information, please see “Liquidity and Capital Resources-Acquisition of Quest.”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COVID-19</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December 2019, a novel coronavirus disease (“COVID-19”) was reported and in January 2020, the World Health Organization (“WHO”) declared it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 On March 27, 2020, the Coronavirus Aid, Relief, and Economic Security (“CARES”) Act was signed into law. The CARES Act provides a substantial stimulus and assistance package intended to address the impact of the COVID-19 pandemic, including tax relief and government loans, grants and investments. Additionally, various federal, state and local government-imposed movement restrictions and initiatives have been implemented to reduce the global transmission of COVID-19, including reduced or eliminated food services, the closure of retailing establishments, the promotion of social distancing and the adoption of remote working policies.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third quarter of 2020, we actively engaged with the various elements of our value chain, including our customers, contract manufacturers, and logistics and transportation providers, to meet demand for our products and to remain informed of any challenges within our value chain. Given the unpredictable nature of the COVID-19 pandemic and the initial surge in consumption, we increased finished goods inventory of some of our high velocity products. Based on information available to us as of the date of this Report, we believe we will be able to deliver our products to meet customer orders on a timely basis, and therefore, we expect our products will continue to be available for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337" w:right="339" w:bottom="1440" w:gutter="0" w:footer="0" w:header="0"/>
        </w:sectPr>
      </w:pPr>
    </w:p>
    <w:bookmarkStart w:id="26" w:name="page27"/>
    <w:bookmarkEnd w:id="26"/>
    <w:p>
      <w:pPr>
        <w:jc w:val="both"/>
        <w:spacing w:after="0" w:line="308" w:lineRule="auto"/>
        <w:rPr>
          <w:sz w:val="20"/>
          <w:szCs w:val="20"/>
          <w:color w:val="auto"/>
        </w:rPr>
      </w:pPr>
      <w:r>
        <w:rPr>
          <w:rFonts w:ascii="Arial" w:cs="Arial" w:eastAsia="Arial" w:hAnsi="Arial"/>
          <w:sz w:val="17"/>
          <w:szCs w:val="17"/>
          <w:color w:val="auto"/>
        </w:rPr>
        <w:t>purchase to meet consumer meal replacement and snacking needs for the foreseeable future. We continue to monitor customer and consumer demand, and intend to adapt our plans as needed to continue to drive our business and meet our obligations during the evolving COVID-19 situation.</w:t>
      </w:r>
    </w:p>
    <w:p>
      <w:pPr>
        <w:spacing w:after="0" w:line="1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Additionally, in March 2020, we borrowed $25.0 million under our $75.0 million revolving credit facility, as a precautionary measure to ensure ample financial flexibility in light of the spread of COVID-19 and the initial surge in consumption. The Company used the proceeds of the Revolving Credit Facility to meet initial elevated customer orders, build finished goods inventory of some of our high velocity items, to support working capital and to support general corporate purposes. With approximately $111.1 million of cash and cash equivalents as of May 30, 2020, including the $25.0 million of proceeds from the revolving credit facility borrowing, realized strong cash flow from operations in the third quarter and no material collectability concerns regarding our customers' ability to pay, we believe our sources of liquidity and capital will be sufficient to finance our continued operations, growth strategy and additional expenses we expect to incur for at least the next twelve months. Based on that assessment of our source of liquidity and capital, the $25.0 million borrowing under the revolving credit facility was fully repaid in June 2020.</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implemented remote work arrangements and restricted business travel in mid-March, and to date, these arrangements have not materially affected our ability to maintain our business operations, including the operation of financial reporting systems, internal control over financial reporting, and disclosure controls and procedures.</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consolidated results of operations for the thirteen week period ended May 30, 2020 was significantly effected by changes in consumer shopping and consumption behavior due to COVID-19. At the beginning of the third quarter of 2020, retail takeaway for our products increased significantly in connection with a surge in consumer demand for shelf stable food products. Following a three week period of pantry loading by consumers in early March, subsequent movement restrictions and to stay-at-home orders resulted in fewer on-the-go and away-from-home usage occasions for some of our products. Atkins brand third quarter net sales declined 8.3% as solid e-commerce growth was more than offset by softness in measured channels. However, lower trade promotions and management's decision to reduce marketing, advertising and general and administrative spend resulted in Atkins brand margin expansion and Adjusted EBITDA growth.</w:t>
      </w:r>
    </w:p>
    <w:p>
      <w:pPr>
        <w:spacing w:after="0" w:line="11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12529"/>
        </w:rPr>
        <w:t xml:space="preserve">Based on the duration and severity of economic effects from the COVID-19 pandemic, including but not limited to stock market volatility, the potential for (i) a return to increased rates of reported cases of COVID-19 (which has been referred to as a "second wave"), (ii) unexpected supply chain disruptions, (iii) changes to customer operations, (iv) changes in consumer purchasing and consumption behavior, and (v) the closure of retail establishments, we remain uncertain of the ultimate effect COVID-19 could have on our business. </w:t>
      </w:r>
      <w:r>
        <w:rPr>
          <w:rFonts w:ascii="Arial" w:cs="Arial" w:eastAsia="Arial" w:hAnsi="Arial"/>
          <w:sz w:val="18"/>
          <w:szCs w:val="18"/>
          <w:color w:val="000000"/>
        </w:rPr>
        <w:t>We believe the severity and duration of the COVID-19</w:t>
      </w:r>
      <w:r>
        <w:rPr>
          <w:rFonts w:ascii="Arial" w:cs="Arial" w:eastAsia="Arial" w:hAnsi="Arial"/>
          <w:sz w:val="18"/>
          <w:szCs w:val="18"/>
          <w:color w:val="212529"/>
        </w:rPr>
        <w:t xml:space="preserve"> </w:t>
      </w:r>
      <w:r>
        <w:rPr>
          <w:rFonts w:ascii="Arial" w:cs="Arial" w:eastAsia="Arial" w:hAnsi="Arial"/>
          <w:sz w:val="18"/>
          <w:szCs w:val="18"/>
          <w:color w:val="000000"/>
        </w:rPr>
        <w:t>pandemic is uncertain and such uncertainty will likely continue through the end of our fiscal year. We also believe there will likely continue to be volatility in third party reported retail takeaway data for our products due to the ongoing COVID-19 outbreak. Refer to Item 1A. “Risk Factors” of this Report for additional information regarding the risks of the pandemics, such as COVID-19.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Related Charges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May 2020, we announced certain restructuring activities in conjunction with the implementation of our future-state organization design, which creates a fully integrated organization with our completed Acquisition of Quest. The new organization design becomes effective on August 31, 2020. These restructuring plans primarily include workforce reductions and changes in management structure.</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For the thirteen and thirty-nine weeks ended May 30, 2020, we incurred $1.4 million of costs for these restructuring activities which have been included within </w:t>
      </w:r>
      <w:r>
        <w:rPr>
          <w:rFonts w:ascii="Arial" w:cs="Arial" w:eastAsia="Arial" w:hAnsi="Arial"/>
          <w:sz w:val="18"/>
          <w:szCs w:val="18"/>
          <w:i w:val="1"/>
          <w:iCs w:val="1"/>
          <w:color w:val="auto"/>
        </w:rPr>
        <w:t>General and administrative</w:t>
      </w:r>
      <w:r>
        <w:rPr>
          <w:rFonts w:ascii="Arial" w:cs="Arial" w:eastAsia="Arial" w:hAnsi="Arial"/>
          <w:sz w:val="18"/>
          <w:szCs w:val="18"/>
          <w:color w:val="auto"/>
        </w:rPr>
        <w:t xml:space="preserve"> on the Consolidated Statements of Operations and Comprehensive Income. Overall, we expect to incur a total of approximately $6.3 million (including the $1.4 million referenced above) in one-time termination benefits and employee severance costs, which are to be paid throughout fiscal 2021 and the first quarter of fiscal 2022. As of May 30, 2020, the outstanding restructuring liability was $1.4 million. Refer to Note 15, Restructuring and Related Charged, of our Notes to Unaudited Condensed Consolidated Financial Statements in this Report for additional information regarding restructuring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Reportable Segment</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Following the Acquisition of Quest, the Company's operations are organized into two operating segments; Atkins and Quest, which are aggregated into one reporting segment, due to similar financial, economic and operating characteristics. The operating segments are also similar in the following areas:</w:t>
      </w:r>
    </w:p>
    <w:p>
      <w:pPr>
        <w:jc w:val="both"/>
        <w:ind w:firstLine="8"/>
        <w:spacing w:after="0" w:line="277" w:lineRule="auto"/>
        <w:tabs>
          <w:tab w:leader="none" w:pos="249"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nature of the products; (b) the nature of the production processes; (c) the methods used to distribute products to customers, (d) the type of customer for the products, and (e) the nature of the regulatory environment. The recently announced restructuring and new organization design will create an efficient and fully integrated organization that will continue to support and build multi-category nutritional snacking brands.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34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Key Financial Definitions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Net sales. </w:t>
      </w:r>
      <w:r>
        <w:rPr>
          <w:rFonts w:ascii="Arial" w:cs="Arial" w:eastAsia="Arial" w:hAnsi="Arial"/>
          <w:sz w:val="18"/>
          <w:szCs w:val="18"/>
          <w:color w:val="auto"/>
        </w:rPr>
        <w:t>Net sales consists primarily of product sales less the cost of promotional activities, slotting fees and other sales credits and adjustments,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product returns. We also include licensing revenue from the frozen meals business in net sales.</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Cost of goods sold. </w:t>
      </w:r>
      <w:r>
        <w:rPr>
          <w:rFonts w:ascii="Arial" w:cs="Arial" w:eastAsia="Arial" w:hAnsi="Arial"/>
          <w:sz w:val="18"/>
          <w:szCs w:val="18"/>
          <w:color w:val="auto"/>
        </w:rPr>
        <w:t>Cost of goods sold consists primarily of the costs we pay to our contract manufacturing partners to produce the products sold.</w:t>
      </w:r>
      <w:r>
        <w:rPr>
          <w:rFonts w:ascii="Arial" w:cs="Arial" w:eastAsia="Arial" w:hAnsi="Arial"/>
          <w:sz w:val="18"/>
          <w:szCs w:val="18"/>
          <w:b w:val="1"/>
          <w:bCs w:val="1"/>
          <w:color w:val="auto"/>
        </w:rPr>
        <w:t xml:space="preserve"> </w:t>
      </w:r>
      <w:r>
        <w:rPr>
          <w:rFonts w:ascii="Arial" w:cs="Arial" w:eastAsia="Arial" w:hAnsi="Arial"/>
          <w:sz w:val="18"/>
          <w:szCs w:val="18"/>
          <w:color w:val="auto"/>
        </w:rPr>
        <w:t>These costs include the purchase of raw ingredients, packaging, shipping and handling, warehousing, depreciation of warehouse equipment, and a tolling charge for the contract manufacturer. Cost of goods sold includes products provided at no charge as part of promotions and the non-food materials provided with customer orders.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Operating expenses consist primarily of selling and marketing, general and administrative, depreciation and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business transaction costs. The following is a brief description of the components of operating expenses:</w:t>
      </w:r>
    </w:p>
    <w:p>
      <w:pPr>
        <w:spacing w:after="0" w:line="166" w:lineRule="exact"/>
        <w:rPr>
          <w:sz w:val="20"/>
          <w:szCs w:val="20"/>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Selling and marketing. </w:t>
      </w:r>
      <w:r>
        <w:rPr>
          <w:rFonts w:ascii="Arial" w:cs="Arial" w:eastAsia="Arial" w:hAnsi="Arial"/>
          <w:sz w:val="18"/>
          <w:szCs w:val="18"/>
          <w:color w:val="auto"/>
        </w:rPr>
        <w:t>Selling and marketing expenses are comprised of broker commissions, customer marketing, media and other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are comprised of expenses associated with corporate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functions that support our business, including fees for employee salaries, professional services, integration costs, restructuring costs, insurance and other general corporate expenses.</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costs consist of costs associated with the depreciation of fixed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leasehold improvements and amortization of intangible assets.</w:t>
      </w:r>
    </w:p>
    <w:p>
      <w:pPr>
        <w:spacing w:after="0" w:line="170" w:lineRule="exact"/>
        <w:rPr>
          <w:rFonts w:ascii="Arial" w:cs="Arial" w:eastAsia="Arial" w:hAnsi="Arial"/>
          <w:sz w:val="18"/>
          <w:szCs w:val="18"/>
          <w:i w:val="1"/>
          <w:iCs w:val="1"/>
          <w:color w:val="auto"/>
        </w:rPr>
      </w:pPr>
    </w:p>
    <w:p>
      <w:pPr>
        <w:ind w:left="660" w:right="20" w:hanging="328"/>
        <w:spacing w:after="0" w:line="308" w:lineRule="auto"/>
        <w:tabs>
          <w:tab w:leader="none" w:pos="66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Business transaction costs. </w:t>
      </w:r>
      <w:r>
        <w:rPr>
          <w:rFonts w:ascii="Arial" w:cs="Arial" w:eastAsia="Arial" w:hAnsi="Arial"/>
          <w:sz w:val="17"/>
          <w:szCs w:val="17"/>
          <w:color w:val="auto"/>
        </w:rPr>
        <w:t>Business transaction costs are comprised of legal, due diligence, consulting and accounting firm expenses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process of actively pursuing potential and completed business combinations, including the Acquisition of Quest.</w:t>
      </w:r>
    </w:p>
    <w:p>
      <w:pPr>
        <w:spacing w:after="0" w:line="146" w:lineRule="exact"/>
        <w:rPr>
          <w:rFonts w:ascii="Arial" w:cs="Arial" w:eastAsia="Arial" w:hAnsi="Arial"/>
          <w:sz w:val="17"/>
          <w:szCs w:val="17"/>
          <w:i w:val="1"/>
          <w:iCs w:val="1"/>
          <w:color w:val="auto"/>
        </w:rPr>
      </w:pPr>
    </w:p>
    <w:p>
      <w:pPr>
        <w:ind w:left="660" w:hanging="328"/>
        <w:spacing w:after="0" w:line="277"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Loss in fair value change of contingent consideration - TRA liability</w:t>
      </w:r>
      <w:r>
        <w:rPr>
          <w:rFonts w:ascii="Arial" w:cs="Arial" w:eastAsia="Arial" w:hAnsi="Arial"/>
          <w:sz w:val="18"/>
          <w:szCs w:val="18"/>
          <w:color w:val="auto"/>
        </w:rPr>
        <w:t>. Loss in fair value change of contingent consideration - TRA liability charges</w:t>
      </w:r>
      <w:r>
        <w:rPr>
          <w:rFonts w:ascii="Arial" w:cs="Arial" w:eastAsia="Arial" w:hAnsi="Arial"/>
          <w:sz w:val="18"/>
          <w:szCs w:val="18"/>
          <w:i w:val="1"/>
          <w:iCs w:val="1"/>
          <w:color w:val="auto"/>
        </w:rPr>
        <w:t xml:space="preserve"> </w:t>
      </w:r>
      <w:r>
        <w:rPr>
          <w:rFonts w:ascii="Arial" w:cs="Arial" w:eastAsia="Arial" w:hAnsi="Arial"/>
          <w:sz w:val="18"/>
          <w:szCs w:val="18"/>
          <w:color w:val="auto"/>
        </w:rPr>
        <w:t>relate to fair value adjustments of the Income Tax Receivable Agreement (the “TRA”) liability.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effect of COVID-19 during our fiscal third quarter was unprecedented. Third quarter performance was significantly effected by COVID-19 factors that resulted in changes in consumer shopping and consumption behavior. Following a three week period of pantry loading by consumers in early March, subsequent movement restrictions resulted in lower on-the-go and away-from-home usage occasions for some of our products. Consolidated Simply Good Foods third quarter net sales increased by 54.2% driven by the Acquisition of Quest. Atkins brand third quarter net sales declined 8.3% as solid e-commerce growth, an increase of 125% as compared to the same prior year period, was offset by softness in measured channels. Net income improved by $2.9 million compared to the same prior year period. Adjusted EBITDA increased 74.2% primarily due to the Acquisition of Quest. Atkins brand third quarter profitability improved as compared to the same prior year period as a result of a reduction in trade promotion, favorable supply chain costs, and lower Selling and marketing and lower incentive compensation.</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marketplace trends of our products have improved sequentially as movement restrictions eased during our fiscal third quarter and into the early part of the fiscal fourth quarter of 2020. We believe the increase in consumption is due to increasing brand relevance among consumers, increased shopping trips and more on-the-go consumption. As retail takeaway trends improve, we are increasing marketing and merchandising investments in our brands in anticipation that the benefits of our products will become increasingly more relevant to our target consumers. We believe that as home confinement continues to ease in the United States, snacking and meal replacement usage occasions will increase, our brand benefits of weight management and active nutrition will grow, and consumer shopping behavior will return to more normal patterns.</w:t>
      </w:r>
    </w:p>
    <w:p>
      <w:pPr>
        <w:spacing w:after="0" w:line="17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Overall, the results in the first-half of fiscal 2020 exceeded our expectations with strong performance from both the Atkins and Quest brands, however the COVID-19 situation effected consumer demand for nutritional snacking category products in the fiscal third quarter of 2020. Over the remainder of the fiscal fourth quarter and into fiscal 2021, we intend to position our business for long-term growth.</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assessing the performance of our business, we consider a number of key performance indicators used by management and typically used by our competitors, including the non-GAAP measures of Adjusted EBITDA and Adjusted Diluted Earnings Per Share. Because not all companies use identical calculations, this presentation of Adjusted EBITDA and Adjusted Diluted Earnings Per Share may not be comparable to other similarly titled measures of other companies. See “Reconciliation of Adjusted EBITDA” below for a reconciliation of Adjusted EBITDA to net income for each applicable period. See “Reconciliation of Adjusted Diluted Earnings Per Share” below for a reconciliation of Adjusted Diluted Earnings Per Share to diluted earnings per share for each applicable period.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Unaudited Results for the Thirteen Weeks Ended May 30, 2020 and the Thirteen Weeks Ended May 25,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unaudited table presents, for the periods indicated, selected information from our Condensed Consolidated Statements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Operations and Comprehensive Income, including information presented as a percentage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91440</wp:posOffset>
            </wp:positionV>
            <wp:extent cx="30861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55" w:lineRule="exact"/>
        <w:rPr>
          <w:sz w:val="20"/>
          <w:szCs w:val="20"/>
          <w:color w:val="auto"/>
        </w:rPr>
      </w:pPr>
    </w:p>
    <w:tbl>
      <w:tblPr>
        <w:tblLayout w:type="fixed"/>
        <w:tblInd w:w="70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Thirteen Weeks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Thirteen Weeks</w:t>
            </w:r>
          </w:p>
        </w:tc>
        <w:tc>
          <w:tcPr>
            <w:tcW w:w="840" w:type="dxa"/>
            <w:vAlign w:val="bottom"/>
          </w:tcPr>
          <w:p>
            <w:pPr>
              <w:spacing w:after="0"/>
              <w:rPr>
                <w:sz w:val="17"/>
                <w:szCs w:val="17"/>
                <w:color w:val="auto"/>
              </w:rPr>
            </w:pPr>
          </w:p>
        </w:tc>
      </w:tr>
      <w:tr>
        <w:trPr>
          <w:trHeight w:val="206"/>
        </w:trPr>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color w:val="auto"/>
                <w:w w:val="90"/>
              </w:rPr>
              <w:t>Ended</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color w:val="auto"/>
                <w:w w:val="86"/>
              </w:rPr>
              <w:t>Ended</w:t>
            </w:r>
          </w:p>
        </w:tc>
        <w:tc>
          <w:tcPr>
            <w:tcW w:w="840" w:type="dxa"/>
            <w:vAlign w:val="bottom"/>
          </w:tcPr>
          <w:p>
            <w:pPr>
              <w:spacing w:after="0"/>
              <w:rPr>
                <w:sz w:val="17"/>
                <w:szCs w:val="17"/>
                <w:color w:val="auto"/>
              </w:rPr>
            </w:pPr>
          </w:p>
        </w:tc>
      </w:tr>
      <w:tr>
        <w:trPr>
          <w:trHeight w:val="297"/>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2"/>
              </w:rPr>
              <w:t>May 30, 2020</w:t>
            </w:r>
          </w:p>
        </w:tc>
        <w:tc>
          <w:tcPr>
            <w:tcW w:w="12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 of Sales</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2"/>
              </w:rPr>
              <w:t>May 25, 2019</w:t>
            </w: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 of Sales</w:t>
            </w:r>
          </w:p>
        </w:tc>
      </w:tr>
      <w:tr>
        <w:trPr>
          <w:trHeight w:val="236"/>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215,101</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139,468</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37"/>
        </w:trPr>
        <w:tc>
          <w:tcPr>
            <w:tcW w:w="4980" w:type="dxa"/>
            <w:vAlign w:val="bottom"/>
            <w:gridSpan w:val="2"/>
          </w:tcPr>
          <w:p>
            <w:pPr>
              <w:ind w:left="40"/>
              <w:spacing w:after="0"/>
              <w:rPr>
                <w:sz w:val="20"/>
                <w:szCs w:val="20"/>
                <w:color w:val="auto"/>
              </w:rPr>
            </w:pPr>
            <w:r>
              <w:rPr>
                <w:rFonts w:ascii="Arial" w:cs="Arial" w:eastAsia="Arial" w:hAnsi="Arial"/>
                <w:sz w:val="16"/>
                <w:szCs w:val="16"/>
                <w:color w:val="auto"/>
              </w:rPr>
              <w:t>Cost of goods sold</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126,475</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58.8 %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82,811</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59.4 %</w:t>
            </w:r>
          </w:p>
        </w:tc>
      </w:tr>
      <w:tr>
        <w:trPr>
          <w:trHeight w:val="33"/>
        </w:trPr>
        <w:tc>
          <w:tcPr>
            <w:tcW w:w="4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88,626</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56,657</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40.6 %</w:t>
            </w:r>
          </w:p>
        </w:tc>
      </w:tr>
      <w:tr>
        <w:trPr>
          <w:trHeight w:val="297"/>
        </w:trPr>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4980" w:type="dxa"/>
            <w:vAlign w:val="bottom"/>
            <w:gridSpan w:val="2"/>
          </w:tcPr>
          <w:p>
            <w:pPr>
              <w:ind w:left="280"/>
              <w:spacing w:after="0"/>
              <w:rPr>
                <w:sz w:val="20"/>
                <w:szCs w:val="20"/>
                <w:color w:val="auto"/>
              </w:rPr>
            </w:pPr>
            <w:r>
              <w:rPr>
                <w:rFonts w:ascii="Arial" w:cs="Arial" w:eastAsia="Arial" w:hAnsi="Arial"/>
                <w:sz w:val="16"/>
                <w:szCs w:val="16"/>
                <w:color w:val="auto"/>
              </w:rPr>
              <w:t>Selling and marketing</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24,510</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11.4 %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17,550</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12.6 %</w:t>
            </w:r>
          </w:p>
        </w:tc>
      </w:tr>
      <w:tr>
        <w:trPr>
          <w:trHeight w:val="33"/>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28,713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15,947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11.4 %</w:t>
            </w:r>
          </w:p>
        </w:tc>
      </w:tr>
      <w:tr>
        <w:trPr>
          <w:trHeight w:val="237"/>
        </w:trPr>
        <w:tc>
          <w:tcPr>
            <w:tcW w:w="4980" w:type="dxa"/>
            <w:vAlign w:val="bottom"/>
            <w:gridSpan w:val="2"/>
          </w:tcPr>
          <w:p>
            <w:pPr>
              <w:ind w:left="28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4,248</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1,892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33"/>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Business transaction costs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17"/>
        </w:trPr>
        <w:tc>
          <w:tcPr>
            <w:tcW w:w="4980" w:type="dxa"/>
            <w:vAlign w:val="bottom"/>
            <w:gridSpan w:val="2"/>
          </w:tcPr>
          <w:p>
            <w:pPr>
              <w:ind w:left="4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57,518</w:t>
            </w:r>
          </w:p>
        </w:tc>
        <w:tc>
          <w:tcPr>
            <w:tcW w:w="12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26.7 %</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36,147</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25.9 %</w:t>
            </w:r>
          </w:p>
        </w:tc>
      </w:tr>
      <w:tr>
        <w:trPr>
          <w:trHeight w:val="33"/>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97"/>
        </w:trPr>
        <w:tc>
          <w:tcPr>
            <w:tcW w:w="4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37"/>
        </w:trPr>
        <w:tc>
          <w:tcPr>
            <w:tcW w:w="4980" w:type="dxa"/>
            <w:vAlign w:val="bottom"/>
            <w:gridSpan w:val="2"/>
          </w:tcPr>
          <w:p>
            <w:pPr>
              <w:ind w:left="40"/>
              <w:spacing w:after="0"/>
              <w:rPr>
                <w:sz w:val="20"/>
                <w:szCs w:val="20"/>
                <w:color w:val="auto"/>
              </w:rPr>
            </w:pPr>
            <w:r>
              <w:rPr>
                <w:rFonts w:ascii="Arial" w:cs="Arial" w:eastAsia="Arial" w:hAnsi="Arial"/>
                <w:sz w:val="16"/>
                <w:szCs w:val="16"/>
                <w:color w:val="auto"/>
              </w:rPr>
              <w:t>Income from operations</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31,108</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14.5 %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20,510</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14.7 %</w:t>
            </w:r>
          </w:p>
        </w:tc>
      </w:tr>
      <w:tr>
        <w:trPr>
          <w:trHeight w:val="33"/>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97"/>
        </w:trPr>
        <w:tc>
          <w:tcPr>
            <w:tcW w:w="4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37"/>
        </w:trPr>
        <w:tc>
          <w:tcPr>
            <w:tcW w:w="4980" w:type="dxa"/>
            <w:vAlign w:val="bottom"/>
            <w:gridSpan w:val="2"/>
          </w:tcPr>
          <w:p>
            <w:pPr>
              <w:ind w:left="40"/>
              <w:spacing w:after="0"/>
              <w:rPr>
                <w:sz w:val="20"/>
                <w:szCs w:val="20"/>
                <w:color w:val="auto"/>
              </w:rPr>
            </w:pPr>
            <w:r>
              <w:rPr>
                <w:rFonts w:ascii="Arial" w:cs="Arial" w:eastAsia="Arial" w:hAnsi="Arial"/>
                <w:sz w:val="16"/>
                <w:szCs w:val="16"/>
                <w:color w:val="auto"/>
              </w:rPr>
              <w:t>Other (expense) income:</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0.8 %</w:t>
            </w:r>
          </w:p>
        </w:tc>
      </w:tr>
      <w:tr>
        <w:trPr>
          <w:trHeight w:val="237"/>
        </w:trPr>
        <w:tc>
          <w:tcPr>
            <w:tcW w:w="4980" w:type="dxa"/>
            <w:vAlign w:val="bottom"/>
            <w:gridSpan w:val="2"/>
          </w:tcPr>
          <w:p>
            <w:pPr>
              <w:ind w:left="28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(8,324)</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(3,428)</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Loss on foreign currency transactions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7"/>
        </w:trPr>
        <w:tc>
          <w:tcPr>
            <w:tcW w:w="4980" w:type="dxa"/>
            <w:vAlign w:val="bottom"/>
            <w:gridSpan w:val="2"/>
          </w:tcPr>
          <w:p>
            <w:pPr>
              <w:ind w:left="280"/>
              <w:spacing w:after="0"/>
              <w:rPr>
                <w:sz w:val="20"/>
                <w:szCs w:val="20"/>
                <w:color w:val="auto"/>
              </w:rPr>
            </w:pPr>
            <w:r>
              <w:rPr>
                <w:rFonts w:ascii="Arial" w:cs="Arial" w:eastAsia="Arial" w:hAnsi="Arial"/>
                <w:sz w:val="16"/>
                <w:szCs w:val="16"/>
                <w:color w:val="auto"/>
              </w:rPr>
              <w:t>Other income</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4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other expense</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(8,654)</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(2,460)</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97"/>
        </w:trPr>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22,454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18,050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12.9 %</w:t>
            </w:r>
          </w:p>
        </w:tc>
      </w:tr>
      <w:tr>
        <w:trPr>
          <w:trHeight w:val="237"/>
        </w:trPr>
        <w:tc>
          <w:tcPr>
            <w:tcW w:w="4980" w:type="dxa"/>
            <w:vAlign w:val="bottom"/>
            <w:gridSpan w:val="2"/>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6,045</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4,584</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3.3 %</w:t>
            </w:r>
          </w:p>
        </w:tc>
      </w:tr>
      <w:tr>
        <w:trPr>
          <w:trHeight w:val="33"/>
        </w:trPr>
        <w:tc>
          <w:tcPr>
            <w:tcW w:w="4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13,466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9.7 %</w:t>
            </w: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84"/>
        </w:trPr>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financial data:</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56"/>
        </w:trPr>
        <w:tc>
          <w:tcPr>
            <w:tcW w:w="4980" w:type="dxa"/>
            <w:vAlign w:val="bottom"/>
            <w:gridSpan w:val="2"/>
          </w:tcPr>
          <w:p>
            <w:pPr>
              <w:ind w:left="280"/>
              <w:spacing w:after="0"/>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43,363</w:t>
            </w:r>
          </w:p>
        </w:tc>
        <w:tc>
          <w:tcPr>
            <w:tcW w:w="12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20.2 %</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24,893</w:t>
            </w:r>
          </w:p>
        </w:tc>
        <w:tc>
          <w:tcPr>
            <w:tcW w:w="10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17.8 %</w:t>
            </w: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firstLine="8"/>
        <w:spacing w:after="0" w:line="275" w:lineRule="auto"/>
        <w:tabs>
          <w:tab w:leader="none" w:pos="236"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EBITDA is a non-GAAP financial metric. See “Reconciliation of Adjusted EBITDA” below for a reconciliation of Adjusted EBITDA to net income for each applicable period.</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of $215.1 million represented an increase of $75.6 million, or 54.2%, for the thirteen weeks ended May 30, 2020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thirteen weeks ended May 25, 2019. The net sales increase of 54.2% was primarily attributable to the Acquisition of Quest, which drove 62.5% of the increase. Atkins brand net sales decreased 8.3% primarily due to COVID-19 related movement restrictions and stay-at-home orders which resulted in lower on-the-go and away-from-home usage occasions for our products. The Atkins brand benefited from solid e-commerce sales growth and lower levels of trade promotion during the quarter.</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Cost of goods sold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 of goods sold increased $43.7 million, or 52.7%, for the thirteen weeks ended May 30, 2020 compared to the thirteen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weeks ended May 25, 2019. The cost of goods sold increase was driven by sales volume growth attributable to the Acquisition of Quest.</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increased $32.0 million, or 56.4%, for the thirteen weeks ended May 30, 2020 compared to the thirteen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25, 2019. Gross profit of $88.6 million, or 41.2% of net sales, for the thirteen weeks ended May 30, 2020 increased 60 basis points from 40.6% of net sales for the thirteen weeks ended May 25, 2019. The increase in gross profit was primarily the result of the Acquisition of Quest, partially offset by the decrease in Atkins brand sales.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color w:val="auto"/>
        </w:rPr>
        <w:t>. Operating expenses increased $21.4 million, or 59.1%, for the thirteen weeks ended May 30, 2020 compared to the thirteen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weeks ended May 25, 2019 due to the following:</w:t>
      </w:r>
    </w:p>
    <w:p>
      <w:pPr>
        <w:spacing w:after="0" w:line="197" w:lineRule="exact"/>
        <w:rPr>
          <w:sz w:val="20"/>
          <w:szCs w:val="20"/>
          <w:color w:val="auto"/>
        </w:rPr>
      </w:pPr>
    </w:p>
    <w:p>
      <w:pPr>
        <w:jc w:val="both"/>
        <w:ind w:left="1300" w:hanging="239"/>
        <w:spacing w:after="0" w:line="275" w:lineRule="auto"/>
        <w:tabs>
          <w:tab w:leader="none" w:pos="130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Selling and marketing. </w:t>
      </w:r>
      <w:r>
        <w:rPr>
          <w:rFonts w:ascii="Arial" w:cs="Arial" w:eastAsia="Arial" w:hAnsi="Arial"/>
          <w:sz w:val="18"/>
          <w:szCs w:val="18"/>
          <w:color w:val="auto"/>
        </w:rPr>
        <w:t>Selling and marketing expenses increased $7.0 million, or 39.7%, for the thirteen weeks ended May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thirteen weeks ended May 25, 2019. The increase was primarily related to the Acquisition of Quest of $8.2 million. This increase was partially offset by the Company's actions to reduce television media and marketing spend for Atkins brand due to the effects of COVID-19.</w:t>
      </w:r>
    </w:p>
    <w:p>
      <w:pPr>
        <w:spacing w:after="0" w:line="198" w:lineRule="exact"/>
        <w:rPr>
          <w:rFonts w:ascii="Arial" w:cs="Arial" w:eastAsia="Arial" w:hAnsi="Arial"/>
          <w:sz w:val="18"/>
          <w:szCs w:val="18"/>
          <w:i w:val="1"/>
          <w:iCs w:val="1"/>
          <w:color w:val="auto"/>
        </w:rPr>
      </w:pPr>
    </w:p>
    <w:p>
      <w:pPr>
        <w:jc w:val="both"/>
        <w:ind w:left="1300" w:hanging="239"/>
        <w:spacing w:after="0" w:line="272" w:lineRule="auto"/>
        <w:tabs>
          <w:tab w:leader="none" w:pos="130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$12.8 million, or 80.1%, for the thirteen weeks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May 30, 2020 compared to the thirteen weeks ended May 25, 2019. The increase was primarily attributable to the Acquisition of Quest of $10.2 million, Quest integration related costs of $4.1 million, restructuring charges of $1.4 million, and increased stock based compensation expense of $0.7 million. These increases were partially offset by reduced Atkins General and administrative costs primarily due to lower incentive compensation.</w:t>
      </w:r>
    </w:p>
    <w:p>
      <w:pPr>
        <w:spacing w:after="0" w:line="204" w:lineRule="exact"/>
        <w:rPr>
          <w:rFonts w:ascii="Arial" w:cs="Arial" w:eastAsia="Arial" w:hAnsi="Arial"/>
          <w:sz w:val="18"/>
          <w:szCs w:val="18"/>
          <w:i w:val="1"/>
          <w:iCs w:val="1"/>
          <w:color w:val="auto"/>
        </w:rPr>
      </w:pPr>
    </w:p>
    <w:p>
      <w:pPr>
        <w:jc w:val="both"/>
        <w:ind w:left="1300" w:hanging="239"/>
        <w:spacing w:after="0" w:line="279"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increased $2.4 million, or 124.5%, for the thirteen weeks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May 30, 2020 compared to the thirteen weeks ended May 25, 2019. The increase was primarily due to amortization for the intangible assets recognized in the Acquisition of Quest of $2.1 million.</w:t>
      </w:r>
    </w:p>
    <w:p>
      <w:pPr>
        <w:spacing w:after="0" w:line="196" w:lineRule="exact"/>
        <w:rPr>
          <w:rFonts w:ascii="Arial" w:cs="Arial" w:eastAsia="Arial" w:hAnsi="Arial"/>
          <w:sz w:val="18"/>
          <w:szCs w:val="18"/>
          <w:color w:val="auto"/>
        </w:rPr>
      </w:pPr>
    </w:p>
    <w:p>
      <w:pPr>
        <w:jc w:val="both"/>
        <w:ind w:left="1300" w:hanging="239"/>
        <w:spacing w:after="0" w:line="275"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Business transaction costs</w:t>
      </w:r>
      <w:r>
        <w:rPr>
          <w:rFonts w:ascii="Arial" w:cs="Arial" w:eastAsia="Arial" w:hAnsi="Arial"/>
          <w:sz w:val="18"/>
          <w:szCs w:val="18"/>
          <w:color w:val="auto"/>
        </w:rPr>
        <w:t>. Business transaction costs decreased $0.7 million for the thirteen weeks ended May 30, 2020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thirteen weeks ended May 25, 2019. Business transaction costs incurred in the thirteen weeks ended May 30, 2020 were comprised of expenses related to the Acquisition of Quest, and the business transaction costs incurred within the thirteen weeks ended May 25, 2019 were related to business development activities.</w:t>
      </w:r>
    </w:p>
    <w:p>
      <w:pPr>
        <w:spacing w:after="0" w:line="1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decreased $1.0 million for the thirteen weeks ended May 30, 2020 compared to the thirteen weeks ended May 25,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primarily due to $195.3 million of cash on hand being utilized for the Acquisition of Quest in the first quarter.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expense increased $4.9 million for the thirteen weeks ended May 30, 2020 compared to the thirteen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25, 2019 primarily due to the first quarter term loan funding of $460.0 million to partially finance the Acquisition of Quest, as well as the $25.0 million draw on the revolving credit facility in the third quarter.</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Loss on foreign currency transactions. </w:t>
      </w:r>
      <w:r>
        <w:rPr>
          <w:rFonts w:ascii="Arial" w:cs="Arial" w:eastAsia="Arial" w:hAnsi="Arial"/>
          <w:sz w:val="18"/>
          <w:szCs w:val="18"/>
          <w:color w:val="auto"/>
        </w:rPr>
        <w:t>A loss of $0.4 million in foreign currency transactions was recorded for the thirteen weeks ended May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compared to a foreign currency loss of $0.2 million for the thirteen weeks ended May 25, 2019. The change related to changes in foreign currency rates related to international operations.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Income tax expense increased $1.5 million, for the thirteen weeks ended May 30, 2020 compared to the thirteen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25, 2019. The increase in our income tax expense is primarily driven by higher pre-tax book income, offset by non-deductible transaction costs, and other permanent differences.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Adjusted EBITDA increased $18.5 million, or 74.2%, for the thirteen weeks ended May 30, 2020 compared to the thirteen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weeks ended May 25, 2019. The increase was primarily due to the Acquisition of Quest as well as cost efficiencies from reduced Atkins brand operating expenses, levels of trade promotion during the quarter, reduced marketing spend, and lower incentive compensation, partially offset by decreases in Atkins brand sales related to the effects of COVID-19. For a reconciliation of Adjusted EBITDA to its most directly comparable GAAP measure, see “Reconciliation of Adjusted EBITDA” below.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Comparison of Unaudited Results for the Thirty-Nine Weeks Ended May 30, 2020 and the Thirty-Nine Weeks Ended May 25,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unaudited table presents, for the periods indicated, selected information from our Condensed Consolidated Statements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Operations and Comprehensive Income, including information presented as a percentage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91440</wp:posOffset>
            </wp:positionV>
            <wp:extent cx="30861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55" w:lineRule="exact"/>
        <w:rPr>
          <w:sz w:val="20"/>
          <w:szCs w:val="20"/>
          <w:color w:val="auto"/>
        </w:rPr>
      </w:pPr>
    </w:p>
    <w:tbl>
      <w:tblPr>
        <w:tblLayout w:type="fixed"/>
        <w:tblInd w:w="70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color w:val="auto"/>
                <w:w w:val="94"/>
              </w:rPr>
              <w:t>Thirty-Nine Weeks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color w:val="auto"/>
                <w:w w:val="94"/>
              </w:rPr>
              <w:t>Thirty-Nine Weeks</w:t>
            </w:r>
          </w:p>
        </w:tc>
        <w:tc>
          <w:tcPr>
            <w:tcW w:w="840" w:type="dxa"/>
            <w:vAlign w:val="bottom"/>
          </w:tcPr>
          <w:p>
            <w:pPr>
              <w:spacing w:after="0"/>
              <w:rPr>
                <w:sz w:val="17"/>
                <w:szCs w:val="17"/>
                <w:color w:val="auto"/>
              </w:rPr>
            </w:pPr>
          </w:p>
        </w:tc>
      </w:tr>
      <w:tr>
        <w:trPr>
          <w:trHeight w:val="206"/>
        </w:trPr>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color w:val="auto"/>
                <w:w w:val="90"/>
              </w:rPr>
              <w:t>Ended</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color w:val="auto"/>
                <w:w w:val="86"/>
              </w:rPr>
              <w:t>Ended</w:t>
            </w:r>
          </w:p>
        </w:tc>
        <w:tc>
          <w:tcPr>
            <w:tcW w:w="840" w:type="dxa"/>
            <w:vAlign w:val="bottom"/>
          </w:tcPr>
          <w:p>
            <w:pPr>
              <w:spacing w:after="0"/>
              <w:rPr>
                <w:sz w:val="17"/>
                <w:szCs w:val="17"/>
                <w:color w:val="auto"/>
              </w:rPr>
            </w:pPr>
          </w:p>
        </w:tc>
      </w:tr>
      <w:tr>
        <w:trPr>
          <w:trHeight w:val="297"/>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2"/>
              </w:rPr>
              <w:t>May 30, 2020</w:t>
            </w:r>
          </w:p>
        </w:tc>
        <w:tc>
          <w:tcPr>
            <w:tcW w:w="12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 of Sales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92"/>
              </w:rPr>
              <w:t>May 25, 2019</w:t>
            </w: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 of Sales</w:t>
            </w:r>
          </w:p>
        </w:tc>
      </w:tr>
      <w:tr>
        <w:trPr>
          <w:trHeight w:val="236"/>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594,355</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384,199</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37"/>
        </w:trPr>
        <w:tc>
          <w:tcPr>
            <w:tcW w:w="4980" w:type="dxa"/>
            <w:vAlign w:val="bottom"/>
            <w:gridSpan w:val="2"/>
          </w:tcPr>
          <w:p>
            <w:pPr>
              <w:ind w:left="40"/>
              <w:spacing w:after="0"/>
              <w:rPr>
                <w:sz w:val="20"/>
                <w:szCs w:val="20"/>
                <w:color w:val="auto"/>
              </w:rPr>
            </w:pPr>
            <w:r>
              <w:rPr>
                <w:rFonts w:ascii="Arial" w:cs="Arial" w:eastAsia="Arial" w:hAnsi="Arial"/>
                <w:sz w:val="16"/>
                <w:szCs w:val="16"/>
                <w:color w:val="auto"/>
              </w:rPr>
              <w:t>Cost of goods sold</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358,129</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60.3 %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225,967</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58.8 %</w:t>
            </w:r>
          </w:p>
        </w:tc>
      </w:tr>
      <w:tr>
        <w:trPr>
          <w:trHeight w:val="33"/>
        </w:trPr>
        <w:tc>
          <w:tcPr>
            <w:tcW w:w="4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236,226</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158,232</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41.2 %</w:t>
            </w:r>
          </w:p>
        </w:tc>
      </w:tr>
      <w:tr>
        <w:trPr>
          <w:trHeight w:val="297"/>
        </w:trPr>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4980" w:type="dxa"/>
            <w:vAlign w:val="bottom"/>
            <w:gridSpan w:val="2"/>
          </w:tcPr>
          <w:p>
            <w:pPr>
              <w:ind w:left="280"/>
              <w:spacing w:after="0"/>
              <w:rPr>
                <w:sz w:val="20"/>
                <w:szCs w:val="20"/>
                <w:color w:val="auto"/>
              </w:rPr>
            </w:pPr>
            <w:r>
              <w:rPr>
                <w:rFonts w:ascii="Arial" w:cs="Arial" w:eastAsia="Arial" w:hAnsi="Arial"/>
                <w:sz w:val="16"/>
                <w:szCs w:val="16"/>
                <w:color w:val="auto"/>
              </w:rPr>
              <w:t>Selling and marketing</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69,985</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11.8 %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47,598</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12.4 %</w:t>
            </w:r>
          </w:p>
        </w:tc>
      </w:tr>
      <w:tr>
        <w:trPr>
          <w:trHeight w:val="33"/>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74,961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41,677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10.8 %</w:t>
            </w:r>
          </w:p>
        </w:tc>
      </w:tr>
      <w:tr>
        <w:trPr>
          <w:trHeight w:val="237"/>
        </w:trPr>
        <w:tc>
          <w:tcPr>
            <w:tcW w:w="4980" w:type="dxa"/>
            <w:vAlign w:val="bottom"/>
            <w:gridSpan w:val="2"/>
          </w:tcPr>
          <w:p>
            <w:pPr>
              <w:ind w:left="2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10,988</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5,643</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33"/>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Business transaction costs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37"/>
        </w:trPr>
        <w:tc>
          <w:tcPr>
            <w:tcW w:w="4980" w:type="dxa"/>
            <w:vAlign w:val="bottom"/>
            <w:gridSpan w:val="2"/>
          </w:tcPr>
          <w:p>
            <w:pPr>
              <w:ind w:left="280"/>
              <w:spacing w:after="0"/>
              <w:rPr>
                <w:sz w:val="20"/>
                <w:szCs w:val="20"/>
                <w:color w:val="auto"/>
              </w:rPr>
            </w:pPr>
            <w:r>
              <w:rPr>
                <w:rFonts w:ascii="Arial" w:cs="Arial" w:eastAsia="Arial" w:hAnsi="Arial"/>
                <w:sz w:val="16"/>
                <w:szCs w:val="16"/>
                <w:color w:val="auto"/>
                <w:w w:val="99"/>
              </w:rPr>
              <w:t>Loss in fair value change of contingent consideration - TRA liability</w:t>
            </w:r>
          </w:p>
        </w:tc>
        <w:tc>
          <w:tcPr>
            <w:tcW w:w="18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0.1 %</w:t>
            </w:r>
          </w:p>
        </w:tc>
      </w:tr>
      <w:tr>
        <w:trPr>
          <w:trHeight w:val="33"/>
        </w:trPr>
        <w:tc>
          <w:tcPr>
            <w:tcW w:w="4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182,834</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97,538</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25.4 %</w:t>
            </w:r>
          </w:p>
        </w:tc>
      </w:tr>
      <w:tr>
        <w:trPr>
          <w:trHeight w:val="297"/>
        </w:trPr>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53,392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60,694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15.8 %</w:t>
            </w:r>
          </w:p>
        </w:tc>
      </w:tr>
      <w:tr>
        <w:trPr>
          <w:trHeight w:val="297"/>
        </w:trPr>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4980" w:type="dxa"/>
            <w:vAlign w:val="bottom"/>
            <w:gridSpan w:val="2"/>
          </w:tcPr>
          <w:p>
            <w:pPr>
              <w:ind w:left="28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1,493</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2,731</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0.7 %</w:t>
            </w:r>
          </w:p>
        </w:tc>
      </w:tr>
      <w:tr>
        <w:trPr>
          <w:trHeight w:val="33"/>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(23,882)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(10,033)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37"/>
        </w:trPr>
        <w:tc>
          <w:tcPr>
            <w:tcW w:w="4980" w:type="dxa"/>
            <w:vAlign w:val="bottom"/>
            <w:gridSpan w:val="2"/>
          </w:tcPr>
          <w:p>
            <w:pPr>
              <w:ind w:left="280"/>
              <w:spacing w:after="0"/>
              <w:rPr>
                <w:sz w:val="20"/>
                <w:szCs w:val="20"/>
                <w:color w:val="auto"/>
              </w:rPr>
            </w:pPr>
            <w:r>
              <w:rPr>
                <w:rFonts w:ascii="Arial" w:cs="Arial" w:eastAsia="Arial" w:hAnsi="Arial"/>
                <w:sz w:val="16"/>
                <w:szCs w:val="16"/>
                <w:color w:val="auto"/>
              </w:rPr>
              <w:t>Gain on settlement of TRA liability</w:t>
            </w:r>
          </w:p>
        </w:tc>
        <w:tc>
          <w:tcPr>
            <w:tcW w:w="18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1,534</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0.4 %</w:t>
            </w:r>
          </w:p>
        </w:tc>
      </w:tr>
      <w:tr>
        <w:trPr>
          <w:trHeight w:val="33"/>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Loss on foreign currency transactions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7"/>
        </w:trPr>
        <w:tc>
          <w:tcPr>
            <w:tcW w:w="4980" w:type="dxa"/>
            <w:vAlign w:val="bottom"/>
            <w:gridSpan w:val="2"/>
          </w:tcPr>
          <w:p>
            <w:pPr>
              <w:ind w:left="280"/>
              <w:spacing w:after="0"/>
              <w:rPr>
                <w:sz w:val="20"/>
                <w:szCs w:val="20"/>
                <w:color w:val="auto"/>
              </w:rPr>
            </w:pPr>
            <w:r>
              <w:rPr>
                <w:rFonts w:ascii="Arial" w:cs="Arial" w:eastAsia="Arial" w:hAnsi="Arial"/>
                <w:sz w:val="16"/>
                <w:szCs w:val="16"/>
                <w:color w:val="auto"/>
              </w:rPr>
              <w:t>Other income</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4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other expense</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(22,881)</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(6,013)</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97"/>
        </w:trPr>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30,511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54,681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14.2 %</w:t>
            </w:r>
          </w:p>
        </w:tc>
      </w:tr>
      <w:tr>
        <w:trPr>
          <w:trHeight w:val="237"/>
        </w:trPr>
        <w:tc>
          <w:tcPr>
            <w:tcW w:w="4980" w:type="dxa"/>
            <w:vAlign w:val="bottom"/>
            <w:gridSpan w:val="2"/>
          </w:tcPr>
          <w:p>
            <w:pPr>
              <w:ind w:left="40"/>
              <w:spacing w:after="0"/>
              <w:rPr>
                <w:sz w:val="20"/>
                <w:szCs w:val="20"/>
                <w:color w:val="auto"/>
              </w:rPr>
            </w:pPr>
            <w:r>
              <w:rPr>
                <w:rFonts w:ascii="Arial" w:cs="Arial" w:eastAsia="Arial" w:hAnsi="Arial"/>
                <w:sz w:val="16"/>
                <w:szCs w:val="16"/>
                <w:color w:val="auto"/>
              </w:rPr>
              <w:t>Income tax expense</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8,238</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13,236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3.4 %</w:t>
            </w:r>
          </w:p>
        </w:tc>
      </w:tr>
      <w:tr>
        <w:trPr>
          <w:trHeight w:val="33"/>
        </w:trPr>
        <w:tc>
          <w:tcPr>
            <w:tcW w:w="4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22,273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41,445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10.8 %</w:t>
            </w: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84"/>
        </w:trPr>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financial data:</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56"/>
        </w:trPr>
        <w:tc>
          <w:tcPr>
            <w:tcW w:w="4980" w:type="dxa"/>
            <w:vAlign w:val="bottom"/>
            <w:gridSpan w:val="2"/>
          </w:tcPr>
          <w:p>
            <w:pPr>
              <w:ind w:left="280"/>
              <w:spacing w:after="0"/>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116,889</w:t>
            </w:r>
          </w:p>
        </w:tc>
        <w:tc>
          <w:tcPr>
            <w:tcW w:w="12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19.7 %</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74,556</w:t>
            </w:r>
          </w:p>
        </w:tc>
        <w:tc>
          <w:tcPr>
            <w:tcW w:w="10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19.4 %</w:t>
            </w: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firstLine="8"/>
        <w:spacing w:after="0" w:line="275" w:lineRule="auto"/>
        <w:tabs>
          <w:tab w:leader="none" w:pos="236"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EBITDA is a non-GAAP financial metric. See “Reconciliation of Adjusted EBITDA” below for a reconciliation of Adjusted EBITDA to net income for each applicable period.</w:t>
      </w:r>
    </w:p>
    <w:p>
      <w:pPr>
        <w:spacing w:after="0" w:line="1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Net sales. </w:t>
      </w:r>
      <w:r>
        <w:rPr>
          <w:rFonts w:ascii="Arial" w:cs="Arial" w:eastAsia="Arial" w:hAnsi="Arial"/>
          <w:sz w:val="17"/>
          <w:szCs w:val="17"/>
          <w:color w:val="auto"/>
        </w:rPr>
        <w:t>Net sales of $594.4 million represented an increase of $210.2 million, or 54.7%, for the thirty-nine weeks ended May 30,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the thirty-nine weeks ended May 25, 2019. The net sales increase of 54.7% was primarily attributable to the Acquisition of Quest, which drove 50.1% of the increase. Atkins brand net sales increased 4.6% driven by strong e-commerce volume, partially offset by higher trade promotions.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Cost of goods sold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goods sold increased $132.2 million, or 58.5%, for the thirty-nine weeks ended May 30, 2020 compared to the thirty-nine weeks ended May 25, 2019. The cost of goods sold increase was driven by sales volume growth primarily attributable to the Acquisition of Quest, and the effect of the non-cash $7.5 million inventory step-up related to the Acquisition of Quest.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increased $78.0 million, or 49.3%, for the thirty-nine weeks ended May 30, 2020 compared to the thirty-nine weeks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May 25, 2019. Gross profit of $236.2 million, or 39.7% of net sales, for the thirty-nine weeks ended May 30, 2020 decreased 150 basis points from 41.2% of net sales for the thirty-nine weeks ended May 25, 2019. The decrease in gross margin was primarily the result of the non-cash $7.5 million inventory step-up and slightly lower gross profit margins of the Quest business.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341" w:right="339" w:bottom="1440" w:gutter="0" w:footer="0" w:header="0"/>
          <w:type w:val="continuous"/>
        </w:sectPr>
      </w:pPr>
    </w:p>
    <w:bookmarkStart w:id="31" w:name="page32"/>
    <w:bookmarkEnd w:id="31"/>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color w:val="auto"/>
        </w:rPr>
        <w:t>. Operating expenses increased $85.3 million, or 87.4%, for the thirty-nine weeks ended May 30, 2020 compared to the thirty-nine weeks ended May 25, 2019 due to the following:</w:t>
      </w:r>
    </w:p>
    <w:p>
      <w:pPr>
        <w:spacing w:after="0" w:line="197" w:lineRule="exact"/>
        <w:rPr>
          <w:sz w:val="20"/>
          <w:szCs w:val="20"/>
          <w:color w:val="auto"/>
        </w:rPr>
      </w:pPr>
    </w:p>
    <w:p>
      <w:pPr>
        <w:jc w:val="both"/>
        <w:ind w:left="1300" w:hanging="239"/>
        <w:spacing w:after="0" w:line="279" w:lineRule="auto"/>
        <w:tabs>
          <w:tab w:leader="none" w:pos="130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Selling and marketing. </w:t>
      </w:r>
      <w:r>
        <w:rPr>
          <w:rFonts w:ascii="Arial" w:cs="Arial" w:eastAsia="Arial" w:hAnsi="Arial"/>
          <w:sz w:val="18"/>
          <w:szCs w:val="18"/>
          <w:color w:val="auto"/>
        </w:rPr>
        <w:t>Selling and marketing expenses increased $22.4 million, or 47.0%, for the thirty-nine weeks ended May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thirty-nine weeks ended May 25, 2019. The increase was primarily related to the Acquisition of Quest of $18.5 million and an increase in e-commerce and television media marketing investments of $1.8 million.</w:t>
      </w:r>
    </w:p>
    <w:p>
      <w:pPr>
        <w:spacing w:after="0" w:line="196" w:lineRule="exact"/>
        <w:rPr>
          <w:rFonts w:ascii="Arial" w:cs="Arial" w:eastAsia="Arial" w:hAnsi="Arial"/>
          <w:sz w:val="18"/>
          <w:szCs w:val="18"/>
          <w:i w:val="1"/>
          <w:iCs w:val="1"/>
          <w:color w:val="auto"/>
        </w:rPr>
      </w:pPr>
    </w:p>
    <w:p>
      <w:pPr>
        <w:jc w:val="both"/>
        <w:ind w:left="1300" w:hanging="239"/>
        <w:spacing w:after="0" w:line="272" w:lineRule="auto"/>
        <w:tabs>
          <w:tab w:leader="none" w:pos="130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$33.3 million, or 79.9%, for the thirty-nine weeks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May 30, 2020 compared to the thirty-nine weeks ended May 25, 2019. The increase was primarily attributable to the Acquisition of Quest of $23.7 million, Quest integration related costs of $9.4 million, restructuring charges of $1.4 million, and an increase in stock-based compensation expense of $2.0 million. These increases were partially offset by reduced Atkins brand general and administrative costs primarily due to lower incentive compensation.</w:t>
      </w:r>
    </w:p>
    <w:p>
      <w:pPr>
        <w:spacing w:after="0" w:line="204" w:lineRule="exact"/>
        <w:rPr>
          <w:rFonts w:ascii="Arial" w:cs="Arial" w:eastAsia="Arial" w:hAnsi="Arial"/>
          <w:sz w:val="18"/>
          <w:szCs w:val="18"/>
          <w:i w:val="1"/>
          <w:iCs w:val="1"/>
          <w:color w:val="auto"/>
        </w:rPr>
      </w:pPr>
    </w:p>
    <w:p>
      <w:pPr>
        <w:jc w:val="both"/>
        <w:ind w:left="1300" w:hanging="239"/>
        <w:spacing w:after="0" w:line="279"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increased $5.3 million, or 94.7%, for the thirty-nine weeks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May 30, 2020 compared to the thirty-nine weeks ended May 25, 2019. The increase was primarily due to amortization for the intangible assets recognized in the Acquisition of Quest of $4.8 million.</w:t>
      </w:r>
    </w:p>
    <w:p>
      <w:pPr>
        <w:spacing w:after="0" w:line="196" w:lineRule="exact"/>
        <w:rPr>
          <w:rFonts w:ascii="Arial" w:cs="Arial" w:eastAsia="Arial" w:hAnsi="Arial"/>
          <w:sz w:val="18"/>
          <w:szCs w:val="18"/>
          <w:color w:val="auto"/>
        </w:rPr>
      </w:pPr>
    </w:p>
    <w:p>
      <w:pPr>
        <w:jc w:val="both"/>
        <w:ind w:left="1300" w:hanging="239"/>
        <w:spacing w:after="0" w:line="275" w:lineRule="auto"/>
        <w:tabs>
          <w:tab w:leader="none" w:pos="130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Business transaction costs</w:t>
      </w:r>
      <w:r>
        <w:rPr>
          <w:rFonts w:ascii="Arial" w:cs="Arial" w:eastAsia="Arial" w:hAnsi="Arial"/>
          <w:sz w:val="18"/>
          <w:szCs w:val="18"/>
          <w:color w:val="auto"/>
        </w:rPr>
        <w:t>. Business transaction costs increased $24.8 million for the thirty-nine weeks ended May 30, 2020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thirty-nine weeks ended May 25, 2019. The $26.9 million incurred in the thirty-nine weeks ended May 30, 2020 was comprised of expenses related to the Acquisition of Quest. The $2.1 million recorded in the prior year is primarily comprised of expenses relating to business development activities.</w:t>
      </w:r>
    </w:p>
    <w:p>
      <w:pPr>
        <w:spacing w:after="0" w:line="198" w:lineRule="exact"/>
        <w:rPr>
          <w:rFonts w:ascii="Arial" w:cs="Arial" w:eastAsia="Arial" w:hAnsi="Arial"/>
          <w:sz w:val="18"/>
          <w:szCs w:val="18"/>
          <w:i w:val="1"/>
          <w:iCs w:val="1"/>
          <w:color w:val="auto"/>
        </w:rPr>
      </w:pPr>
    </w:p>
    <w:p>
      <w:pPr>
        <w:jc w:val="both"/>
        <w:ind w:left="1300" w:hanging="239"/>
        <w:spacing w:after="0" w:line="279"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Loss in fair value change of contingent consideration - TRA liability</w:t>
      </w:r>
      <w:r>
        <w:rPr>
          <w:rFonts w:ascii="Arial" w:cs="Arial" w:eastAsia="Arial" w:hAnsi="Arial"/>
          <w:sz w:val="18"/>
          <w:szCs w:val="18"/>
          <w:color w:val="auto"/>
        </w:rPr>
        <w:t>. The thirty-nine weeks ended May 25, 2019 included a loss in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change of contingent consideration of $0.5 million. The Income Tax Receivable Agreement (the “TRA”) liability was settled in the first quarter of fiscal 2019.</w:t>
      </w:r>
    </w:p>
    <w:p>
      <w:pPr>
        <w:spacing w:after="0" w:line="16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decreased $1.2 million for the thirty-nine weeks ended May 30, 2020 compared to the thirty-nine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25, 2019 primarily due to $195.3 million of cash on hand being utilized for the Acquisition of Quest in the first quarter.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expense increased $13.8 million for the thirty-nine weeks ended May 30, 2020 compared to the thirty-nine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25, 2019 primarily due to the first quarter term loan funding of $460.0 million to partially finance the Acquisition of Quest, as well as the $25.0 million draw on the revolving credit facility in the third quarter.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Gain on settlement of TRA liability. </w:t>
      </w:r>
      <w:r>
        <w:rPr>
          <w:rFonts w:ascii="Arial" w:cs="Arial" w:eastAsia="Arial" w:hAnsi="Arial"/>
          <w:sz w:val="18"/>
          <w:szCs w:val="18"/>
          <w:color w:val="auto"/>
        </w:rPr>
        <w:t>The Company recorded a $1.5 million gain in connection with the settlement of the TRA liability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thirty-nine weeks ended May 25, 2019.</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Loss on foreign currency transactions. </w:t>
      </w:r>
      <w:r>
        <w:rPr>
          <w:rFonts w:ascii="Arial" w:cs="Arial" w:eastAsia="Arial" w:hAnsi="Arial"/>
          <w:sz w:val="18"/>
          <w:szCs w:val="18"/>
          <w:color w:val="auto"/>
        </w:rPr>
        <w:t>A loss of $0.6 million in foreign currency transactions was recorded for the thirty-nine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30, 2020 compared to a foreign currency loss of $0.4 million for the thirty-nine weeks ended May 25, 2019. The change relates to changes in foreign currency rates related to international operations.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Income tax expense decreased $5.0 million, for the thirty-nine weeks ended May 30, 2020 compared to the thirty-nine weeks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May 25, 2019. The decrease in our income tax expense was primarily driven by lower pre-tax book income, offset by non-deductible transaction costs, the one-time tax impact of the settlement of the TRA liability during the thirty-nine week period ended May 25, 2019, and other permanent differences.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Adjusted EBITDA increased $42.3 million, or 56.8%, for the thirty-nine weeks ended May 30, 2020 compared to the thirty-nine weeks ended May 25, 2019. The increase was primarily due the Acquisition of Quest and lower incentive compensation, partially offset by higher trade promotion, and an increase in e-commerce and television media marketing investments. For a reconciliation of Adjusted EBITDA to its most directly comparable GAAP measure, see “Reconciliation of Adjusted EBITDA” below.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34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Reconciliation of Adjusted EBITDA</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Adjusted EBITDA</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Adjusted EBITDA is a non-GAAP financial measure commonly used in our industry and should not be construed as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alternative to net income as an indicator of operating performance or as an alternative to cash flow provided by operating activities as a measure of liquidity (each as determined in accordance with GAAP). Simply Good Foods defines Adjusted EBITDA (earnings before interest, tax, depreciation, and amortization) as net income before interest income, interest expense, income tax expense, depreciation and amortization with further adjustments to exclude the following items: business transaction costs, stock-based compensation expense, inventory step-up, integration costs, restructuring costs, non-core legal costs, loss in fair value change of contingent consideration - TRA liability, gain on settlement of TRA liability and other non-core expenses. The Company believes that the inclusion of these supplementary adjustments in presenting Adjusted EBITDA, when used in conjunction with net income, are appropriate to provide additional information to investors, and management of the Company uses Adjusted EBITDA to supplement net income because it reflects more accurately operating results of the on-going operations, enhances the overall understanding of past financial performance and future prospects and allows for greater transparency with respect to the key metrics the Company uses in its financial and operational decision making. The Company also believes that Adjusted EBITDA is frequently used by securities analysts, investors and other interested parties in the evaluation of companies in its industry</w:t>
      </w:r>
      <w:r>
        <w:rPr>
          <w:rFonts w:ascii="Arial" w:cs="Arial" w:eastAsia="Arial" w:hAnsi="Arial"/>
          <w:sz w:val="16"/>
          <w:szCs w:val="16"/>
          <w:i w:val="1"/>
          <w:iCs w:val="1"/>
          <w:color w:val="auto"/>
        </w:rPr>
        <w:t>.</w:t>
      </w:r>
      <w:r>
        <w:rPr>
          <w:rFonts w:ascii="Arial" w:cs="Arial" w:eastAsia="Arial" w:hAnsi="Arial"/>
          <w:sz w:val="16"/>
          <w:szCs w:val="16"/>
          <w:color w:val="auto"/>
        </w:rPr>
        <w:t xml:space="preserve"> Adjusted EBITDA may not be comparable to other similarly titled captions of other companies due to differences in the non-GAAP calculation.</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unaudited tables below provide a reconciliation of Adjusted EBITDA to its most directly comparable GAAP measure, which is net income, for the thirteen and thirty-nine weeks ended May 30, 2020 and May 25, 2019:</w:t>
      </w:r>
    </w:p>
    <w:p>
      <w:pPr>
        <w:spacing w:after="0" w:line="117"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3840" w:type="dxa"/>
            <w:vAlign w:val="bottom"/>
            <w:gridSpan w:val="2"/>
          </w:tcPr>
          <w:p>
            <w:pPr>
              <w:ind w:left="40"/>
              <w:spacing w:after="0"/>
              <w:rPr>
                <w:sz w:val="20"/>
                <w:szCs w:val="20"/>
                <w:color w:val="auto"/>
              </w:rPr>
            </w:pPr>
            <w:r>
              <w:rPr>
                <w:rFonts w:ascii="Arial" w:cs="Arial" w:eastAsia="Arial" w:hAnsi="Arial"/>
                <w:sz w:val="16"/>
                <w:szCs w:val="16"/>
                <w:b w:val="1"/>
                <w:bCs w:val="1"/>
                <w:color w:val="auto"/>
              </w:rPr>
              <w:t>Adjusted EBITDA Reconciliation:</w:t>
            </w:r>
          </w:p>
        </w:tc>
        <w:tc>
          <w:tcPr>
            <w:tcW w:w="200" w:type="dxa"/>
            <w:vAlign w:val="bottom"/>
          </w:tcPr>
          <w:p>
            <w:pPr>
              <w:spacing w:after="0"/>
              <w:rPr>
                <w:sz w:val="17"/>
                <w:szCs w:val="17"/>
                <w:color w:val="auto"/>
              </w:rPr>
            </w:pPr>
          </w:p>
        </w:tc>
        <w:tc>
          <w:tcPr>
            <w:tcW w:w="2940" w:type="dxa"/>
            <w:vAlign w:val="bottom"/>
            <w:gridSpan w:val="5"/>
          </w:tcPr>
          <w:p>
            <w:pPr>
              <w:ind w:left="600"/>
              <w:spacing w:after="0"/>
              <w:rPr>
                <w:sz w:val="20"/>
                <w:szCs w:val="20"/>
                <w:color w:val="auto"/>
              </w:rPr>
            </w:pPr>
            <w:r>
              <w:rPr>
                <w:rFonts w:ascii="Arial" w:cs="Arial" w:eastAsia="Arial" w:hAnsi="Arial"/>
                <w:sz w:val="16"/>
                <w:szCs w:val="16"/>
                <w:color w:val="auto"/>
              </w:rPr>
              <w:t>Thirteen Weeks Ended</w:t>
            </w:r>
          </w:p>
        </w:tc>
        <w:tc>
          <w:tcPr>
            <w:tcW w:w="180" w:type="dxa"/>
            <w:vAlign w:val="bottom"/>
          </w:tcPr>
          <w:p>
            <w:pPr>
              <w:spacing w:after="0"/>
              <w:rPr>
                <w:sz w:val="17"/>
                <w:szCs w:val="17"/>
                <w:color w:val="auto"/>
              </w:rPr>
            </w:pPr>
          </w:p>
        </w:tc>
        <w:tc>
          <w:tcPr>
            <w:tcW w:w="2840" w:type="dxa"/>
            <w:vAlign w:val="bottom"/>
            <w:gridSpan w:val="4"/>
          </w:tcPr>
          <w:p>
            <w:pPr>
              <w:jc w:val="right"/>
              <w:ind w:right="579"/>
              <w:spacing w:after="0"/>
              <w:rPr>
                <w:sz w:val="20"/>
                <w:szCs w:val="20"/>
                <w:color w:val="auto"/>
              </w:rPr>
            </w:pPr>
            <w:r>
              <w:rPr>
                <w:rFonts w:ascii="Arial" w:cs="Arial" w:eastAsia="Arial" w:hAnsi="Arial"/>
                <w:sz w:val="16"/>
                <w:szCs w:val="16"/>
                <w:color w:val="auto"/>
              </w:rPr>
              <w:t>Thirty-Nine Weeks Ended</w:t>
            </w:r>
          </w:p>
        </w:tc>
        <w:tc>
          <w:tcPr>
            <w:tcW w:w="0" w:type="dxa"/>
            <w:vAlign w:val="bottom"/>
          </w:tcPr>
          <w:p>
            <w:pPr>
              <w:spacing w:after="0"/>
              <w:rPr>
                <w:sz w:val="1"/>
                <w:szCs w:val="1"/>
                <w:color w:val="auto"/>
              </w:rPr>
            </w:pPr>
          </w:p>
        </w:tc>
      </w:tr>
      <w:tr>
        <w:trPr>
          <w:trHeight w:val="50"/>
        </w:trPr>
        <w:tc>
          <w:tcPr>
            <w:tcW w:w="3840" w:type="dxa"/>
            <w:vAlign w:val="bottom"/>
            <w:gridSpan w:val="2"/>
            <w:vMerge w:val="restart"/>
          </w:tcPr>
          <w:p>
            <w:pPr>
              <w:ind w:left="40"/>
              <w:spacing w:after="0"/>
              <w:rPr>
                <w:sz w:val="20"/>
                <w:szCs w:val="20"/>
                <w:color w:val="auto"/>
              </w:rPr>
            </w:pPr>
            <w:r>
              <w:rPr>
                <w:rFonts w:ascii="Arial" w:cs="Arial" w:eastAsia="Arial" w:hAnsi="Arial"/>
                <w:sz w:val="16"/>
                <w:szCs w:val="16"/>
                <w:b w:val="1"/>
                <w:bCs w:val="1"/>
                <w:i w:val="1"/>
                <w:iCs w:val="1"/>
                <w:color w:val="auto"/>
              </w:rPr>
              <w:t>(in thousands)</w:t>
            </w: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38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6"/>
                <w:szCs w:val="16"/>
                <w:color w:val="auto"/>
              </w:rPr>
              <w:t>May 30, 2020</w:t>
            </w:r>
          </w:p>
        </w:tc>
        <w:tc>
          <w:tcPr>
            <w:tcW w:w="200" w:type="dxa"/>
            <w:vAlign w:val="bottom"/>
          </w:tcPr>
          <w:p>
            <w:pPr>
              <w:spacing w:after="0"/>
              <w:rPr>
                <w:sz w:val="11"/>
                <w:szCs w:val="11"/>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6"/>
                <w:szCs w:val="16"/>
                <w:color w:val="auto"/>
              </w:rPr>
              <w:t>May 25, 2019</w:t>
            </w:r>
          </w:p>
        </w:tc>
        <w:tc>
          <w:tcPr>
            <w:tcW w:w="180" w:type="dxa"/>
            <w:vAlign w:val="bottom"/>
          </w:tcPr>
          <w:p>
            <w:pPr>
              <w:spacing w:after="0"/>
              <w:rPr>
                <w:sz w:val="11"/>
                <w:szCs w:val="11"/>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6"/>
                <w:szCs w:val="16"/>
                <w:color w:val="auto"/>
              </w:rPr>
              <w:t>May 30, 2020</w:t>
            </w:r>
          </w:p>
        </w:tc>
        <w:tc>
          <w:tcPr>
            <w:tcW w:w="200" w:type="dxa"/>
            <w:vAlign w:val="bottom"/>
          </w:tcPr>
          <w:p>
            <w:pPr>
              <w:spacing w:after="0"/>
              <w:rPr>
                <w:sz w:val="11"/>
                <w:szCs w:val="11"/>
                <w:color w:val="auto"/>
              </w:rPr>
            </w:pPr>
          </w:p>
        </w:tc>
        <w:tc>
          <w:tcPr>
            <w:tcW w:w="1260" w:type="dxa"/>
            <w:vAlign w:val="bottom"/>
            <w:vMerge w:val="restart"/>
          </w:tcPr>
          <w:p>
            <w:pPr>
              <w:jc w:val="right"/>
              <w:ind w:right="199"/>
              <w:spacing w:after="0"/>
              <w:rPr>
                <w:sz w:val="20"/>
                <w:szCs w:val="20"/>
                <w:color w:val="auto"/>
              </w:rPr>
            </w:pPr>
            <w:r>
              <w:rPr>
                <w:rFonts w:ascii="Arial" w:cs="Arial" w:eastAsia="Arial" w:hAnsi="Arial"/>
                <w:sz w:val="16"/>
                <w:szCs w:val="16"/>
                <w:color w:val="auto"/>
                <w:w w:val="98"/>
              </w:rPr>
              <w:t>May 25, 2019</w:t>
            </w:r>
          </w:p>
        </w:tc>
        <w:tc>
          <w:tcPr>
            <w:tcW w:w="0" w:type="dxa"/>
            <w:vAlign w:val="bottom"/>
          </w:tcPr>
          <w:p>
            <w:pPr>
              <w:spacing w:after="0"/>
              <w:rPr>
                <w:sz w:val="1"/>
                <w:szCs w:val="1"/>
                <w:color w:val="auto"/>
              </w:rPr>
            </w:pPr>
          </w:p>
        </w:tc>
      </w:tr>
      <w:tr>
        <w:trPr>
          <w:trHeight w:val="81"/>
        </w:trPr>
        <w:tc>
          <w:tcPr>
            <w:tcW w:w="3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3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16,409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13,466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22,273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41,445</w:t>
            </w:r>
          </w:p>
        </w:tc>
        <w:tc>
          <w:tcPr>
            <w:tcW w:w="0" w:type="dxa"/>
            <w:vAlign w:val="bottom"/>
          </w:tcPr>
          <w:p>
            <w:pPr>
              <w:spacing w:after="0"/>
              <w:rPr>
                <w:sz w:val="1"/>
                <w:szCs w:val="1"/>
                <w:color w:val="auto"/>
              </w:rPr>
            </w:pPr>
          </w:p>
        </w:tc>
      </w:tr>
      <w:tr>
        <w:trPr>
          <w:trHeight w:val="237"/>
        </w:trPr>
        <w:tc>
          <w:tcPr>
            <w:tcW w:w="3840" w:type="dxa"/>
            <w:vAlign w:val="bottom"/>
            <w:gridSpan w:val="2"/>
          </w:tcPr>
          <w:p>
            <w:pPr>
              <w:ind w:left="4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(2,731)</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10,033</w:t>
            </w:r>
          </w:p>
        </w:tc>
        <w:tc>
          <w:tcPr>
            <w:tcW w:w="0" w:type="dxa"/>
            <w:vAlign w:val="bottom"/>
          </w:tcPr>
          <w:p>
            <w:pPr>
              <w:spacing w:after="0"/>
              <w:rPr>
                <w:sz w:val="1"/>
                <w:szCs w:val="1"/>
                <w:color w:val="auto"/>
              </w:rPr>
            </w:pPr>
          </w:p>
        </w:tc>
      </w:tr>
      <w:tr>
        <w:trPr>
          <w:trHeight w:val="237"/>
        </w:trPr>
        <w:tc>
          <w:tcPr>
            <w:tcW w:w="3840" w:type="dxa"/>
            <w:vAlign w:val="bottom"/>
            <w:gridSpan w:val="2"/>
          </w:tcPr>
          <w:p>
            <w:pPr>
              <w:ind w:left="40"/>
              <w:spacing w:after="0"/>
              <w:rPr>
                <w:sz w:val="20"/>
                <w:szCs w:val="20"/>
                <w:color w:val="auto"/>
              </w:rPr>
            </w:pPr>
            <w:r>
              <w:rPr>
                <w:rFonts w:ascii="Arial" w:cs="Arial" w:eastAsia="Arial" w:hAnsi="Arial"/>
                <w:sz w:val="16"/>
                <w:szCs w:val="16"/>
                <w:color w:val="auto"/>
              </w:rPr>
              <w:t>Income tax expense</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13,236</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5,754</w:t>
            </w:r>
          </w:p>
        </w:tc>
        <w:tc>
          <w:tcPr>
            <w:tcW w:w="0" w:type="dxa"/>
            <w:vAlign w:val="bottom"/>
          </w:tcPr>
          <w:p>
            <w:pPr>
              <w:spacing w:after="0"/>
              <w:rPr>
                <w:sz w:val="1"/>
                <w:szCs w:val="1"/>
                <w:color w:val="auto"/>
              </w:rPr>
            </w:pPr>
          </w:p>
        </w:tc>
      </w:tr>
      <w:tr>
        <w:trPr>
          <w:trHeight w:val="217"/>
        </w:trPr>
        <w:tc>
          <w:tcPr>
            <w:tcW w:w="3840" w:type="dxa"/>
            <w:vAlign w:val="bottom"/>
            <w:gridSpan w:val="2"/>
          </w:tcPr>
          <w:p>
            <w:pPr>
              <w:ind w:left="40"/>
              <w:spacing w:after="0"/>
              <w:rPr>
                <w:sz w:val="20"/>
                <w:szCs w:val="20"/>
                <w:color w:val="auto"/>
              </w:rPr>
            </w:pPr>
            <w:r>
              <w:rPr>
                <w:rFonts w:ascii="Arial" w:cs="Arial" w:eastAsia="Arial" w:hAnsi="Arial"/>
                <w:sz w:val="16"/>
                <w:szCs w:val="16"/>
                <w:color w:val="auto"/>
              </w:rPr>
              <w:t>EBITDA</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35,237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22,341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64,507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67,737</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Business transaction costs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2,087</w:t>
            </w:r>
          </w:p>
        </w:tc>
        <w:tc>
          <w:tcPr>
            <w:tcW w:w="0" w:type="dxa"/>
            <w:vAlign w:val="bottom"/>
          </w:tcPr>
          <w:p>
            <w:pPr>
              <w:spacing w:after="0"/>
              <w:rPr>
                <w:sz w:val="1"/>
                <w:szCs w:val="1"/>
                <w:color w:val="auto"/>
              </w:rPr>
            </w:pPr>
          </w:p>
        </w:tc>
      </w:tr>
      <w:tr>
        <w:trPr>
          <w:trHeight w:val="237"/>
        </w:trPr>
        <w:tc>
          <w:tcPr>
            <w:tcW w:w="3840" w:type="dxa"/>
            <w:vAlign w:val="bottom"/>
            <w:gridSpan w:val="2"/>
          </w:tcPr>
          <w:p>
            <w:pPr>
              <w:ind w:left="180"/>
              <w:spacing w:after="0"/>
              <w:rPr>
                <w:sz w:val="20"/>
                <w:szCs w:val="20"/>
                <w:color w:val="auto"/>
              </w:rPr>
            </w:pPr>
            <w:r>
              <w:rPr>
                <w:rFonts w:ascii="Arial" w:cs="Arial" w:eastAsia="Arial" w:hAnsi="Arial"/>
                <w:sz w:val="16"/>
                <w:szCs w:val="16"/>
                <w:color w:val="auto"/>
              </w:rPr>
              <w:t>Stock-based compensation expense</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3,922</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Inventory step-up</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840" w:type="dxa"/>
            <w:vAlign w:val="bottom"/>
            <w:gridSpan w:val="2"/>
          </w:tcPr>
          <w:p>
            <w:pPr>
              <w:ind w:left="180"/>
              <w:spacing w:after="0"/>
              <w:rPr>
                <w:sz w:val="20"/>
                <w:szCs w:val="20"/>
                <w:color w:val="auto"/>
              </w:rPr>
            </w:pPr>
            <w:r>
              <w:rPr>
                <w:rFonts w:ascii="Arial" w:cs="Arial" w:eastAsia="Arial" w:hAnsi="Arial"/>
                <w:sz w:val="16"/>
                <w:szCs w:val="16"/>
                <w:color w:val="auto"/>
              </w:rPr>
              <w:t>Integration of Quest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9,435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Restructuring</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3840" w:type="dxa"/>
            <w:vAlign w:val="bottom"/>
            <w:gridSpan w:val="2"/>
          </w:tcPr>
          <w:p>
            <w:pPr>
              <w:ind w:left="180"/>
              <w:spacing w:after="0"/>
              <w:rPr>
                <w:sz w:val="20"/>
                <w:szCs w:val="20"/>
                <w:color w:val="auto"/>
              </w:rPr>
            </w:pPr>
            <w:r>
              <w:rPr>
                <w:rFonts w:ascii="Arial" w:cs="Arial" w:eastAsia="Arial" w:hAnsi="Arial"/>
                <w:sz w:val="16"/>
                <w:szCs w:val="16"/>
                <w:color w:val="auto"/>
              </w:rPr>
              <w:t>Non-core legal costs</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1,330</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5"/>
              </w:rPr>
              <w:t>Loss in fair value change of contingent consideration -</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TRA liability</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37"/>
        </w:trPr>
        <w:tc>
          <w:tcPr>
            <w:tcW w:w="3840" w:type="dxa"/>
            <w:vAlign w:val="bottom"/>
            <w:gridSpan w:val="2"/>
          </w:tcPr>
          <w:p>
            <w:pPr>
              <w:ind w:left="180"/>
              <w:spacing w:after="0"/>
              <w:rPr>
                <w:sz w:val="20"/>
                <w:szCs w:val="20"/>
                <w:color w:val="auto"/>
              </w:rPr>
            </w:pPr>
            <w:r>
              <w:rPr>
                <w:rFonts w:ascii="Arial" w:cs="Arial" w:eastAsia="Arial" w:hAnsi="Arial"/>
                <w:sz w:val="16"/>
                <w:szCs w:val="16"/>
                <w:color w:val="auto"/>
              </w:rPr>
              <w:t>Gain on settlement of TRA liability</w:t>
            </w:r>
          </w:p>
        </w:tc>
        <w:tc>
          <w:tcPr>
            <w:tcW w:w="20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(1,534)</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30"/>
        </w:trPr>
        <w:tc>
          <w:tcPr>
            <w:tcW w:w="384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43,363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24,893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116,889</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74,556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12700</wp:posOffset>
            </wp:positionV>
            <wp:extent cx="390906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09060" cy="25400"/>
                    </a:xfrm>
                    <a:prstGeom prst="rect">
                      <a:avLst/>
                    </a:prstGeom>
                    <a:noFill/>
                  </pic:spPr>
                </pic:pic>
              </a:graphicData>
            </a:graphic>
          </wp:anchor>
        </w:drawing>
      </w:r>
    </w:p>
    <w:p>
      <w:pPr>
        <w:spacing w:after="0" w:line="18" w:lineRule="exact"/>
        <w:rPr>
          <w:sz w:val="20"/>
          <w:szCs w:val="20"/>
          <w:color w:val="auto"/>
        </w:rPr>
      </w:pPr>
    </w:p>
    <w:p>
      <w:pPr>
        <w:ind w:left="260" w:hanging="171"/>
        <w:spacing w:after="0"/>
        <w:tabs>
          <w:tab w:leader="none" w:pos="260"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Other items consist principally of exchange impact of foreign currency transactions and other expenses.</w:t>
      </w:r>
    </w:p>
    <w:p>
      <w:pPr>
        <w:spacing w:after="0" w:line="383" w:lineRule="exact"/>
        <w:rPr>
          <w:rFonts w:ascii="Arial" w:cs="Arial" w:eastAsia="Arial" w:hAnsi="Arial"/>
          <w:sz w:val="19"/>
          <w:szCs w:val="19"/>
          <w:color w:val="auto"/>
          <w:vertAlign w:val="superscript"/>
        </w:rPr>
      </w:pPr>
    </w:p>
    <w:p>
      <w:pPr>
        <w:ind w:left="5540"/>
        <w:spacing w:after="0"/>
        <w:rPr>
          <w:rFonts w:ascii="Arial" w:cs="Arial" w:eastAsia="Arial" w:hAnsi="Arial"/>
          <w:sz w:val="19"/>
          <w:szCs w:val="19"/>
          <w:color w:val="auto"/>
          <w:vertAlign w:val="superscript"/>
        </w:rPr>
      </w:pPr>
      <w:r>
        <w:rPr>
          <w:rFonts w:ascii="Arial" w:cs="Arial" w:eastAsia="Arial" w:hAnsi="Arial"/>
          <w:sz w:val="18"/>
          <w:szCs w:val="18"/>
          <w:color w:val="auto"/>
        </w:rPr>
        <w:t>32</w:t>
      </w:r>
    </w:p>
    <w:p>
      <w:pPr>
        <w:sectPr>
          <w:pgSz w:w="11900" w:h="16838" w:orient="portrait"/>
          <w:cols w:equalWidth="0" w:num="1">
            <w:col w:w="11240"/>
          </w:cols>
          <w:pgMar w:left="320" w:top="34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Reconciliation of Adjusted Diluted Earnings Per Share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Adjusted Diluted Earnings Per Share</w:t>
      </w:r>
      <w:r>
        <w:rPr>
          <w:rFonts w:ascii="Arial" w:cs="Arial" w:eastAsia="Arial" w:hAnsi="Arial"/>
          <w:sz w:val="16"/>
          <w:szCs w:val="16"/>
          <w:color w:val="auto"/>
        </w:rPr>
        <w:t>. Adjusted Diluted Earnings Per Share is a non-GAAP financial measure commonly used in our industry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should not be construed as an alternative to diluted earnings per share as an indicator of operating performance. Simply Good Foods defines Adjusted Diluted Earnings Per Share as diluted earnings per share before depreciation and amortization, business transaction costs, stock-based compensation expense, inventory step-up, integration costs, restructuring costs, non-core legal costs, change in fair value of contingent consideration - TRA liability, gain on settlement of TRA liability and other non-core expenses, on a theoretical tax effected basis of such adjustments at an assumed statutory rate. The Company believes that the inclusion of these supplementary adjustments in presenting Adjusted Diluted Earnings per Share, when used in conjunction with diluted earnings per share, are appropriate to provide additional information to investors, and management of the Company uses Adjusted Diluted Earnings Per Share to supplement diluted earnings per shares because it reflects more accurately operating results of the on-going operations, enhances the overall understanding of past financial performance and future prospects and allows for greater transparency with respect to the key metrics the Company uses in its financial and operational decision making. The Company also believes that Adjusted Diluted Earnings per Share is frequently used by securities analysts, investors and other interested parties in the evaluation of companies in its industry</w:t>
      </w:r>
      <w:r>
        <w:rPr>
          <w:rFonts w:ascii="Arial" w:cs="Arial" w:eastAsia="Arial" w:hAnsi="Arial"/>
          <w:sz w:val="16"/>
          <w:szCs w:val="16"/>
          <w:i w:val="1"/>
          <w:iCs w:val="1"/>
          <w:color w:val="auto"/>
        </w:rPr>
        <w:t>.</w:t>
      </w:r>
      <w:r>
        <w:rPr>
          <w:rFonts w:ascii="Arial" w:cs="Arial" w:eastAsia="Arial" w:hAnsi="Arial"/>
          <w:sz w:val="16"/>
          <w:szCs w:val="16"/>
          <w:color w:val="auto"/>
        </w:rPr>
        <w:t xml:space="preserve"> Adjusted Diluted Earnings per Share may not be comparable to other similarly titled captions of other companies due to differences in the non-GAAP calculation.</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unaudited tables below provide a reconciliation of Adjusted Diluted Earnings Per Share to its most directly comparable GAAP measure, which is diluted earnings per share, for the thirteen and thirty-nine weeks ended May 30, 2020 and May 25, 2019:</w:t>
      </w:r>
    </w:p>
    <w:p>
      <w:pPr>
        <w:spacing w:after="0" w:line="134" w:lineRule="exact"/>
        <w:rPr>
          <w:sz w:val="20"/>
          <w:szCs w:val="20"/>
          <w:color w:val="auto"/>
        </w:rPr>
      </w:pPr>
    </w:p>
    <w:tbl>
      <w:tblPr>
        <w:tblLayout w:type="fixed"/>
        <w:tblInd w:w="760" w:type="dxa"/>
        <w:tblCellMar>
          <w:top w:w="0" w:type="dxa"/>
          <w:left w:w="0" w:type="dxa"/>
          <w:bottom w:w="0" w:type="dxa"/>
          <w:right w:w="0" w:type="dxa"/>
        </w:tblCellMar>
      </w:tblPr>
      <w:tr>
        <w:trPr>
          <w:trHeight w:val="206"/>
        </w:trPr>
        <w:tc>
          <w:tcPr>
            <w:tcW w:w="3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80" w:type="dxa"/>
            <w:vAlign w:val="bottom"/>
            <w:gridSpan w:val="5"/>
          </w:tcPr>
          <w:p>
            <w:pPr>
              <w:ind w:left="580"/>
              <w:spacing w:after="0"/>
              <w:rPr>
                <w:sz w:val="20"/>
                <w:szCs w:val="20"/>
                <w:color w:val="auto"/>
              </w:rPr>
            </w:pPr>
            <w:r>
              <w:rPr>
                <w:rFonts w:ascii="Arial" w:cs="Arial" w:eastAsia="Arial" w:hAnsi="Arial"/>
                <w:sz w:val="16"/>
                <w:szCs w:val="16"/>
                <w:color w:val="auto"/>
              </w:rPr>
              <w:t>Thirteen Weeks Ended</w:t>
            </w:r>
          </w:p>
        </w:tc>
        <w:tc>
          <w:tcPr>
            <w:tcW w:w="180" w:type="dxa"/>
            <w:vAlign w:val="bottom"/>
          </w:tcPr>
          <w:p>
            <w:pPr>
              <w:spacing w:after="0"/>
              <w:rPr>
                <w:sz w:val="17"/>
                <w:szCs w:val="17"/>
                <w:color w:val="auto"/>
              </w:rPr>
            </w:pPr>
          </w:p>
        </w:tc>
        <w:tc>
          <w:tcPr>
            <w:tcW w:w="2760" w:type="dxa"/>
            <w:vAlign w:val="bottom"/>
            <w:gridSpan w:val="4"/>
          </w:tcPr>
          <w:p>
            <w:pPr>
              <w:jc w:val="right"/>
              <w:ind w:right="519"/>
              <w:spacing w:after="0"/>
              <w:rPr>
                <w:sz w:val="20"/>
                <w:szCs w:val="20"/>
                <w:color w:val="auto"/>
              </w:rPr>
            </w:pPr>
            <w:r>
              <w:rPr>
                <w:rFonts w:ascii="Arial" w:cs="Arial" w:eastAsia="Arial" w:hAnsi="Arial"/>
                <w:sz w:val="16"/>
                <w:szCs w:val="16"/>
                <w:color w:val="auto"/>
              </w:rPr>
              <w:t>Thirty-Nine Weeks Ended</w:t>
            </w:r>
          </w:p>
        </w:tc>
      </w:tr>
      <w:tr>
        <w:trPr>
          <w:trHeight w:val="33"/>
        </w:trPr>
        <w:tc>
          <w:tcPr>
            <w:tcW w:w="3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color w:val="auto"/>
              </w:rPr>
              <w:t>May 30, 2020</w:t>
            </w: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color w:val="auto"/>
              </w:rPr>
              <w:t>May 25, 2019</w:t>
            </w:r>
          </w:p>
        </w:tc>
        <w:tc>
          <w:tcPr>
            <w:tcW w:w="18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color w:val="auto"/>
              </w:rPr>
              <w:t>May 30, 2020</w:t>
            </w:r>
          </w:p>
        </w:tc>
        <w:tc>
          <w:tcPr>
            <w:tcW w:w="200" w:type="dxa"/>
            <w:vAlign w:val="bottom"/>
          </w:tcPr>
          <w:p>
            <w:pPr>
              <w:spacing w:after="0"/>
              <w:rPr>
                <w:sz w:val="18"/>
                <w:szCs w:val="18"/>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color w:val="auto"/>
                <w:w w:val="98"/>
              </w:rPr>
              <w:t>May 25, 2019</w:t>
            </w:r>
          </w:p>
        </w:tc>
      </w:tr>
      <w:tr>
        <w:trPr>
          <w:trHeight w:val="47"/>
        </w:trPr>
        <w:tc>
          <w:tcPr>
            <w:tcW w:w="39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3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0.49</w:t>
            </w:r>
          </w:p>
        </w:tc>
      </w:tr>
      <w:tr>
        <w:trPr>
          <w:trHeight w:val="297"/>
        </w:trPr>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r>
      <w:tr>
        <w:trPr>
          <w:trHeight w:val="237"/>
        </w:trPr>
        <w:tc>
          <w:tcPr>
            <w:tcW w:w="3980" w:type="dxa"/>
            <w:vAlign w:val="bottom"/>
          </w:tcPr>
          <w:p>
            <w:pPr>
              <w:ind w:left="20"/>
              <w:spacing w:after="0"/>
              <w:rPr>
                <w:sz w:val="20"/>
                <w:szCs w:val="20"/>
                <w:color w:val="auto"/>
              </w:rPr>
            </w:pPr>
            <w:r>
              <w:rPr>
                <w:rFonts w:ascii="Arial" w:cs="Arial" w:eastAsia="Arial" w:hAnsi="Arial"/>
                <w:sz w:val="16"/>
                <w:szCs w:val="16"/>
                <w:color w:val="auto"/>
              </w:rPr>
              <w:t>Business transaction costs</w:t>
            </w:r>
          </w:p>
        </w:tc>
        <w:tc>
          <w:tcPr>
            <w:tcW w:w="18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33"/>
        </w:trPr>
        <w:tc>
          <w:tcPr>
            <w:tcW w:w="3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r>
      <w:tr>
        <w:trPr>
          <w:trHeight w:val="237"/>
        </w:trPr>
        <w:tc>
          <w:tcPr>
            <w:tcW w:w="3980" w:type="dxa"/>
            <w:vAlign w:val="bottom"/>
          </w:tcPr>
          <w:p>
            <w:pPr>
              <w:ind w:left="20"/>
              <w:spacing w:after="0"/>
              <w:rPr>
                <w:sz w:val="20"/>
                <w:szCs w:val="20"/>
                <w:color w:val="auto"/>
              </w:rPr>
            </w:pPr>
            <w:r>
              <w:rPr>
                <w:rFonts w:ascii="Arial" w:cs="Arial" w:eastAsia="Arial" w:hAnsi="Arial"/>
                <w:sz w:val="16"/>
                <w:szCs w:val="16"/>
                <w:color w:val="auto"/>
              </w:rPr>
              <w:t>Inventory step-up</w:t>
            </w:r>
          </w:p>
        </w:tc>
        <w:tc>
          <w:tcPr>
            <w:tcW w:w="18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3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Integration of Quest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3980" w:type="dxa"/>
            <w:vAlign w:val="bottom"/>
          </w:tcPr>
          <w:p>
            <w:pPr>
              <w:ind w:left="20"/>
              <w:spacing w:after="0"/>
              <w:rPr>
                <w:sz w:val="20"/>
                <w:szCs w:val="20"/>
                <w:color w:val="auto"/>
              </w:rPr>
            </w:pPr>
            <w:r>
              <w:rPr>
                <w:rFonts w:ascii="Arial" w:cs="Arial" w:eastAsia="Arial" w:hAnsi="Arial"/>
                <w:sz w:val="16"/>
                <w:szCs w:val="16"/>
                <w:color w:val="auto"/>
              </w:rPr>
              <w:t>Restructuring</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3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Non-core legal costs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37"/>
        </w:trPr>
        <w:tc>
          <w:tcPr>
            <w:tcW w:w="3980" w:type="dxa"/>
            <w:vAlign w:val="bottom"/>
          </w:tcPr>
          <w:p>
            <w:pPr>
              <w:ind w:left="20"/>
              <w:spacing w:after="0"/>
              <w:rPr>
                <w:sz w:val="20"/>
                <w:szCs w:val="20"/>
                <w:color w:val="auto"/>
              </w:rPr>
            </w:pPr>
            <w:r>
              <w:rPr>
                <w:rFonts w:ascii="Arial" w:cs="Arial" w:eastAsia="Arial" w:hAnsi="Arial"/>
                <w:sz w:val="16"/>
                <w:szCs w:val="16"/>
                <w:color w:val="auto"/>
              </w:rPr>
              <w:t>Gain on settlement of TRA liability</w:t>
            </w:r>
          </w:p>
        </w:tc>
        <w:tc>
          <w:tcPr>
            <w:tcW w:w="18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33"/>
        </w:trPr>
        <w:tc>
          <w:tcPr>
            <w:tcW w:w="3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980" w:type="dxa"/>
            <w:vAlign w:val="bottom"/>
          </w:tcPr>
          <w:p>
            <w:pPr>
              <w:ind w:left="20"/>
              <w:spacing w:after="0"/>
              <w:rPr>
                <w:sz w:val="20"/>
                <w:szCs w:val="20"/>
                <w:color w:val="auto"/>
              </w:rPr>
            </w:pPr>
            <w:r>
              <w:rPr>
                <w:rFonts w:ascii="Arial" w:cs="Arial" w:eastAsia="Arial" w:hAnsi="Arial"/>
                <w:sz w:val="16"/>
                <w:szCs w:val="16"/>
                <w:color w:val="auto"/>
              </w:rPr>
              <w:t xml:space="preserve">Rounding </w:t>
            </w:r>
            <w:r>
              <w:rPr>
                <w:rFonts w:ascii="Arial" w:cs="Arial" w:eastAsia="Arial" w:hAnsi="Arial"/>
                <w:sz w:val="21"/>
                <w:szCs w:val="21"/>
                <w:color w:val="auto"/>
                <w:vertAlign w:val="superscript"/>
              </w:rPr>
              <w:t>(2)</w:t>
            </w:r>
          </w:p>
        </w:tc>
        <w:tc>
          <w:tcPr>
            <w:tcW w:w="18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diluted earnings per share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8255</wp:posOffset>
            </wp:positionV>
            <wp:extent cx="3806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ind w:left="260" w:hanging="171"/>
        <w:spacing w:after="0"/>
        <w:tabs>
          <w:tab w:leader="none" w:pos="260"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Other items consist principally of exchange impact of foreign currency transactions and other expenses.</w:t>
      </w:r>
    </w:p>
    <w:p>
      <w:pPr>
        <w:ind w:left="260" w:hanging="171"/>
        <w:spacing w:after="0" w:line="209" w:lineRule="auto"/>
        <w:tabs>
          <w:tab w:leader="none" w:pos="277"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Adjusted Diluted Earnings Per Share amounts are computed independently for each quarter. Therefore, the sum of the quarterly Adjusted Diluted Earnings Per Share amounts may not equal the year to date Adjusted Diluted Earnings Per Share amounts due to rounding.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have historically funded our operations with cash flow from operations and, when needed, with borrowings under our credit facilities. Our principal uses of cash have been debt service, working capital and the Acquisition of Quest.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had $111.1 million in cash and cash equivalents as of May 30, 2020. We believe our sources of liquidity and capital will be sufficient to finance our continued operations, growth strategy and additional expenses we expect to incur for at least the next twelve months.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34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Debt and Credit Facilities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July 7, 2017, the Company entered into a credit agreement with Barclays Bank PLC and other parties (as amended to date, the “Credit Agreement”). The Credit Agreement provides for (i) a term facility of $200.0 million (“Term Facility”) with a seven year maturity and (ii) a revolving credit facility of up to $75.0 million (the “Revolving Credit Facility”) with a five year maturity. Substantially concurrent with the consummation of the Acquisition of Atkins, the full $200.0 million of the Term Facility (the “Term Loan”) was drawn. The interest rate per annum was based on either (i) a base rate equaling the higher of (a) the “prime rate”, (b) the federal funds effective rate plus 0.50% and (c) the Euro-currency rate applicable for an interest period of one month plus 1.00% plus (x) 3.00% margin for the Term Loan or (y) 2.00% margin for the Revolving Credit Facility, or (ii) London Interbank Offered Rate (“LIBOR”) adjusted for statutory reserve requirements, plus (x) 4.00% margin for the Term Loan subject to a floor of 1.00% or (y) 3.00% margin for the Revolving Credit Facility. As security for the payment or performance of its debt, the Company has pledged certain equity interests in its subsidiaries.</w:t>
      </w:r>
    </w:p>
    <w:p>
      <w:pPr>
        <w:spacing w:after="0" w:line="19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March 16, 2018 (the “Amendment Date”), the Company entered into an amendment (the “Repricing Amendment”) to the Credit Agreement. As a result of the Repricing Amendment, the interest rate on the Term Loan was reduced and, as of the Amendment Date, such loans had an interest rate equal to, at the Company’s option, either LIBOR plus an applicable margin of 3.50% or a base rate plus an applicable margin of 2.50%. The Repricing Amendment did not change the interest rate on the Revolving Credit Facility. The Revolving Credit Facility continued to bear interest based upon the Company’s consolidated net leverage ratio as of the last financial statements delivered to the administrative agent. No additional debt was incurred, or any proceeds received, by the Company in connection with the Repricing Amendment. The incremental fees paid to the administrative agent are reflected as additional debt discount and are amortized over the terms of the long-term financing agreements using the effective-interest method.</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November 7, 2019, the Company entered into an amendment (the “Incremental Facility Amendment”) to the Credit Agreement to increase the principal borrowed on the Term Loan by $460.0 million. The Term Loan together with the incremental borrowing make up the Initial Term Loans (as defined in the Incremental Facility Amendment) and as of the Amendment No. 2 Effective Date (as defined in the Incremental Facility Amendment), the Initial Term Loans bear interest at a rate equal to, at the Company's option, either LIBOR plus an applicable margin of 3.75% or a base rate plus an applicable margin of 2.75%. The Incremental Facility Amendment was executed to finance, in part, the Acquisition of Quest. No amounts under the Term Loan were repaid as a result of the execution of the Incremental Facility Amendment.</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Applicable Rate per annum applicable to the loans under the Credit Agreement Amendment is, with respect to any Initial Term Loan that is an ABR Loan (as defined in the Credit Agreement), 2.75% per annum, and with respect to any Initial Term Loan that is a Eurodollar Loan, 3.75% per annum. The incremental term loans will mature on the maturity date applicable to the Initial Term Loans, which date is July 7, 2024.</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Credit Agreement contains certain financial and other covenants that limit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6.25:1.00 (with a reduction to 6.00:1.00 on and after the third anniversary of the closing date of the Credit Agreement) contingent on credit extensions in excess of 30% of the total amount of commitments available under the Revolving Credit Facility. Any failure to comply with the restrictions of the Credit Agreement may result in an event of default. The Company was in compliance with all financial covenants under the Credit Agreement as of May 30, 2020 and August 31, 2019.</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May 30, 2020, the outstanding balances of the Term Facility and Revolving Credit Facility were $635.5 million and $25.0 million, respectively. During the thirteen weeks ended May 30, 2020, the Company borrowed $25.0 million under the Revolving Credit Facility. This was a precautionary measure to preserve financial flexibility and to maintain liquidity in response to the spread of COVID-19 and uncertainty around consumer behavior. The Company used the proceeds of the Revolving Credit Facility to meet initial elevated customer orders in response to COVID-19, to build finished goods inventory of some of its high velocity items, support working capital and support general corporate purposes. Subsequent to the end of the third quarter 2020, the Company fully repaid the $25.0 million borrowing under the Revolving Credit Facility. The Company may repay borrowings under the Revolving Credit Facility at any time without penalty. The Company is not required to make principal payments on the Term Facility over the twelve months following the period ended May 30,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Equity Offering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9, 2019, we completed an underwritten public offering of 13,379,205 shares of our common stock at a price to the public of $26.35 per share. We paid underwriting discounts and commissions of $0.19 per share resulting in net proceeds to us of $26.16 per share, or approximately $350.0 million (the “Offering”). The Company paid $0.8 million for legal, accounting and registrations fees related to the Offering. The net proceeds were used to pay a portion of the purchase price and related fees and expenses for the Acquisition of Quest.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34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Acquisition of Quest</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August 21, 2019, Atkins entered into the Purchase Agreement with the Target Companies, VMG Voyage Holdings, LLC, VMG Tax-Exempt II, L.P., Voyage Employee Holdings, LLC, and other sellers defined in the Purchase Agreement. On November 7, 2019, pursuant to the Purchase Agreement, Atkins completed the Acquisition of Quest for a cash purchase price at closing of $1.0 billion, subject to customary post-closing adjustments.</w:t>
      </w:r>
    </w:p>
    <w:p>
      <w:pPr>
        <w:spacing w:after="0" w:line="14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Acquisition of Quest was funded by the Company through a combination of cash, equity and debt financing. Total consideration paid on the closing date was $988.9 million. Cash sources of funding included $195.3 million of cash on hand, net proceeds of approximately $350.0 million from the Offering, and $443.6 million of new term loan debt from borrowings under the Incremental Facility Amendment. In the thirty-nine weeks ended May 30, 2020, the Company received a post-closing release from escrow of approximately $2.1 million related to net working capital adjustments, resulting in a total net consideration paid of $986.8 million as of May 30, 2020. For the thirty-nine weeks ended May 30, 2020 the Company incurred business transaction costs $26.9 million including $14.5 million of transaction advisory fees related to the Acquisition of Quest, $3.2 million of unused banker commitment fees, $6.1 million of non-deferrable debt issuance costs for the Incremental Facility Amendment, and $3.1 million of other costs including legal, due diligence, and accounting fees.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private placement warrants to purchase 6,700,000 shares of common stock remain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major sources and uses of cash for each of the periods set forth below (in thousands):</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7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gridSpan w:val="4"/>
          </w:tcPr>
          <w:p>
            <w:pPr>
              <w:jc w:val="right"/>
              <w:ind w:right="579"/>
              <w:spacing w:after="0"/>
              <w:rPr>
                <w:sz w:val="20"/>
                <w:szCs w:val="20"/>
                <w:color w:val="auto"/>
              </w:rPr>
            </w:pPr>
            <w:r>
              <w:rPr>
                <w:rFonts w:ascii="Arial" w:cs="Arial" w:eastAsia="Arial" w:hAnsi="Arial"/>
                <w:sz w:val="16"/>
                <w:szCs w:val="16"/>
                <w:color w:val="auto"/>
              </w:rPr>
              <w:t>Thirty-Nine Weeks Ended</w:t>
            </w:r>
          </w:p>
        </w:tc>
      </w:tr>
      <w:tr>
        <w:trPr>
          <w:trHeight w:val="46"/>
        </w:trPr>
        <w:tc>
          <w:tcPr>
            <w:tcW w:w="70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1"/>
        </w:trPr>
        <w:tc>
          <w:tcPr>
            <w:tcW w:w="7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color w:val="auto"/>
              </w:rPr>
              <w:t>May 30, 2020</w:t>
            </w:r>
          </w:p>
        </w:tc>
        <w:tc>
          <w:tcPr>
            <w:tcW w:w="200" w:type="dxa"/>
            <w:vAlign w:val="bottom"/>
          </w:tcPr>
          <w:p>
            <w:pPr>
              <w:spacing w:after="0"/>
              <w:rPr>
                <w:sz w:val="20"/>
                <w:szCs w:val="20"/>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w w:val="98"/>
              </w:rPr>
              <w:t>May 25, 2019</w:t>
            </w:r>
          </w:p>
        </w:tc>
      </w:tr>
      <w:tr>
        <w:trPr>
          <w:trHeight w:val="33"/>
        </w:trPr>
        <w:tc>
          <w:tcPr>
            <w:tcW w:w="7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70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shd w:val="clear" w:color="auto" w:fill="CCEEFF"/>
              </w:rPr>
              <w:t>Net cash provided by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52,629</w:t>
            </w:r>
          </w:p>
        </w:tc>
      </w:tr>
      <w:tr>
        <w:trPr>
          <w:trHeight w:val="237"/>
        </w:trPr>
        <w:tc>
          <w:tcPr>
            <w:tcW w:w="7000" w:type="dxa"/>
            <w:vAlign w:val="bottom"/>
          </w:tcPr>
          <w:p>
            <w:pPr>
              <w:ind w:left="6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(984,306)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(777)</w:t>
            </w:r>
          </w:p>
        </w:tc>
      </w:tr>
      <w:tr>
        <w:trPr>
          <w:trHeight w:val="33"/>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7000" w:type="dxa"/>
            <w:vAlign w:val="bottom"/>
            <w:shd w:val="clear" w:color="auto" w:fill="CCEEFF"/>
          </w:tcPr>
          <w:p>
            <w:pPr>
              <w:ind w:left="60"/>
              <w:spacing w:after="0"/>
              <w:rPr>
                <w:sz w:val="20"/>
                <w:szCs w:val="20"/>
                <w:color w:val="auto"/>
              </w:rPr>
            </w:pPr>
            <w:r>
              <w:rPr>
                <w:rFonts w:ascii="Arial" w:cs="Arial" w:eastAsia="Arial" w:hAnsi="Arial"/>
                <w:sz w:val="16"/>
                <w:szCs w:val="16"/>
                <w:color w:val="auto"/>
                <w:shd w:val="clear" w:color="auto" w:fill="CCEEFF"/>
              </w:rPr>
              <w:t>Net cash provided by financing activities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805,586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84,341</w:t>
            </w:r>
          </w:p>
        </w:tc>
      </w:tr>
      <w:tr>
        <w:trPr>
          <w:trHeight w:val="40"/>
        </w:trPr>
        <w:tc>
          <w:tcPr>
            <w:tcW w:w="70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Our net cash provided by operating activities decreased $28.5 million to $24.1 million for the period ended May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$52.6 million for the period ended May 25, 2019. The decrease in cash provided by operating activities was primarily driven by significant business transaction and integration costs as well as changes in working capital. The decrease was partially offset by increased cash from operations related to the Acquisition of Quest.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Investing </w:t>
      </w:r>
      <w:r>
        <w:rPr>
          <w:rFonts w:ascii="Arial" w:cs="Arial" w:eastAsia="Arial" w:hAnsi="Arial"/>
          <w:sz w:val="18"/>
          <w:szCs w:val="18"/>
          <w:color w:val="auto"/>
        </w:rPr>
        <w:t>activities. Our net cash used in investing activities increased to $984.3 million for the period ended May 30, 2020 compared to $0.8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net cash used in investing activities for the period ended May 25, 2019. The increase was primarily due to the Acquisition of Quest of $982.1 million, net of cash acquired.</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Our net cash provided by financing activities was $805.6 million for the period ended May 30, 2020 compared to $84.3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period ended May 25, 2019. Net cash provided by financing activities for the period ended May 30, 2020 includes gross proceeds of $352.5 million from the Offering offset by issuance costs of $3.3 million, proceeds of $460.0 million from the Term Facility borrowing related to the Incremental Facility Amendment offset by issuance costs of $8.2 million, and $25.0 million of proceeds from the borrowing under the Revolving Credit Facility. The cash provided by financing activities for the period ended May 30, 2020 was offset by $21.0 million of principal payments on the Term Facility, an increase of $19.5 million compared to the prior year. Our net cash provided by financing activities for the period ended May 25, 2019 also includes $113.5 million of cash received from warrant exercises, and is partially offset by the payment of the TRA liability of $26.5 million and debt principal payments of $1.5 million on the Term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contractual obligations are related to its Credit Agreement and its finance and operating leases. On November 7, 2019, the Company entered the Incremental Facility Amendment to increase the principal borrowed under the Term Facility by $460.0 million. As a result of the Acquisition of Quest, the Company obtained additional lease obligations.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third quarter of 2020, the Company borrowed $25.0 million under the Revolving Credit Facility to meet initial elevated customer orders in response to COVID-19, to build finished goods inventory of some of its high velocity items, and as a precautionary measure to ensure it maintains ample financial flexibility in light of the spread of COVID-19. Subsequent to the end of the third quarter 2020, the Company fully repaid the $25.0 million borrowing under the Revolving Credit Facility.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34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contractual obligations relating to debt and leases at May 30, 2020 are included in the table below.</w:t>
      </w:r>
    </w:p>
    <w:p>
      <w:pPr>
        <w:spacing w:after="0" w:line="189"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60" w:type="dxa"/>
            <w:vAlign w:val="bottom"/>
            <w:gridSpan w:val="6"/>
          </w:tcPr>
          <w:p>
            <w:pPr>
              <w:jc w:val="right"/>
              <w:ind w:right="19"/>
              <w:spacing w:after="0"/>
              <w:rPr>
                <w:sz w:val="20"/>
                <w:szCs w:val="20"/>
                <w:color w:val="auto"/>
              </w:rPr>
            </w:pPr>
            <w:r>
              <w:rPr>
                <w:rFonts w:ascii="Arial" w:cs="Arial" w:eastAsia="Arial" w:hAnsi="Arial"/>
                <w:sz w:val="16"/>
                <w:szCs w:val="16"/>
                <w:color w:val="auto"/>
                <w:w w:val="89"/>
              </w:rPr>
              <w:t>Payments due by period</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3"/>
        </w:trPr>
        <w:tc>
          <w:tcPr>
            <w:tcW w:w="350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35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Arial" w:cs="Arial" w:eastAsia="Arial" w:hAnsi="Arial"/>
                <w:sz w:val="16"/>
                <w:szCs w:val="16"/>
                <w:color w:val="auto"/>
              </w:rPr>
              <w:t>Total</w:t>
            </w:r>
          </w:p>
        </w:tc>
        <w:tc>
          <w:tcPr>
            <w:tcW w:w="260" w:type="dxa"/>
            <w:vAlign w:val="bottom"/>
          </w:tcPr>
          <w:p>
            <w:pPr>
              <w:spacing w:after="0"/>
              <w:rPr>
                <w:sz w:val="20"/>
                <w:szCs w:val="20"/>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Year 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color w:val="auto"/>
              </w:rPr>
              <w:t>Years 2-3</w:t>
            </w:r>
          </w:p>
        </w:tc>
        <w:tc>
          <w:tcPr>
            <w:tcW w:w="2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color w:val="auto"/>
              </w:rPr>
              <w:t>Years 4-5</w:t>
            </w:r>
          </w:p>
        </w:tc>
        <w:tc>
          <w:tcPr>
            <w:tcW w:w="180" w:type="dxa"/>
            <w:vAlign w:val="bottom"/>
          </w:tcPr>
          <w:p>
            <w:pPr>
              <w:spacing w:after="0"/>
              <w:rPr>
                <w:sz w:val="20"/>
                <w:szCs w:val="20"/>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Thereafter</w:t>
            </w:r>
          </w:p>
        </w:tc>
      </w:tr>
      <w:tr>
        <w:trPr>
          <w:trHeight w:val="33"/>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debt obligations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660,500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633,706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Interest payments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145,490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35,470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70,791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39,229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leases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11,830</w:t>
            </w:r>
          </w:p>
        </w:tc>
      </w:tr>
      <w:tr>
        <w:trPr>
          <w:trHeight w:val="237"/>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Finance leases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3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841,727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65,793</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82,978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681,126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11,830</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May 30, 2020, we had no material off-balance sheet arrangements that have or are reasonably likely to have a current or future material effect on its financial condition, changes in financial condition, income or expenses, results of operations, liquidity, capital expenditures or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709"/>
        <w:spacing w:after="0" w:line="257" w:lineRule="auto"/>
        <w:rPr>
          <w:sz w:val="20"/>
          <w:szCs w:val="20"/>
          <w:color w:val="auto"/>
        </w:rPr>
      </w:pPr>
      <w:r>
        <w:rPr>
          <w:rFonts w:ascii="Arial" w:cs="Arial" w:eastAsia="Arial" w:hAnsi="Arial"/>
          <w:sz w:val="18"/>
          <w:szCs w:val="18"/>
          <w:color w:val="auto"/>
        </w:rPr>
        <w:t>For a description of critical accounting policies that affect our significant judgments and estimates used in the preparation of our consolidated financial statements, refer to our Annual Report. The adoption of ASC Topic 842 resulted in a change to our lease accounting policy, as discussed in Note 9 of our unaudited interim condensed consolidated financial statements in this Report. There have been no other significant changes to our critical accounting policies since August 31, 2019. Refer to Note 2 of our unaudited interim condensed consolidated financial statements in this Report for further information regarding recently issued accounting standards.</w:t>
      </w:r>
    </w:p>
    <w:p>
      <w:pPr>
        <w:spacing w:after="0" w:line="1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material changes in our market risk exposure during the thirteen week period ended May 30, 2020, other than the risk associated with COVID-19 described in Part II, Item 1A. “Risk Factors” of this Report. For additional discussion of our market risks, see “Quantitative and Qualitative Disclosures About Market Risk” in Part II, Item 7A of our Annual Report.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maintain disclosure controls and procedures, as such term is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including the participation of our Chief Executive Officer and our Chief Financial Officer, conducted an evaluation (pursuant to Rule 13a-15(b) under the Exchange Act) of the effectiveness of our disclosure controls and procedures as of the end of the period covered by this Report. Based on this evaluation, our Chief Executive Officer and Chief Financial Officer concluded that, as of May 30, 2020, the Company’s disclosure controls and procedures were effective.</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discussed above, on November 7, 2019, we completed the Acquisition of Quest. As such, the scope of our assessment of the effectiveness of our disclosure controls and procedures did not include the internal control over financial reporting of Quest and its affiliated entities. These exclusions are consistent with the SEC Staff’s guidance that an assessment of a recently acquired business may be omitted from the scope of our assessment of the effectiveness of disclosure controls and procedures that are also part of internal control over financial reporting in the 12 months following the acquisition. Quest and its affiliated entities accounted for 45.6% of our total assets and 32.4% of our net sales as of and for the thirty-nine weeks ended May 30,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result of the Acquisition of Quest, we have commenced a project to evaluate the processes and procedures of Quest’s internal control over financial reporting and incorporate Quest’s internal control over financial reporting into our internal control over financial reporting framework. In addition, as a result of the Acquisition of Quest, we have implemented new processes and controls over accounting for an acquisition, including determining the fair value of the assets acquired, liabilities assumed and adjustments to the fair value of contingent consideration.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May 30, 2020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All internal control systems, no matter how well designed, have inherent limitations. Therefore, even those systems determined to be effective can provide only reasonable assurance with respect to financial statement preparation and presentation. Additionally,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Readers should carefully consider the factors discussed in Part I, Item 1A. “Risk Factors” in our Annual Report, which could materially affect our business, financial condition, cash flows or future results. Except as set forth below, there have been no material changes in our risk factors included in our Annual Report. The risks described in our Annual Report are not the only risks facing our company. Additional risks and uncertainties not currently known to us or that we currently deem to be immaterial also may materially adversely affect our business, financial condition or future results.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Pandemics, epidemics or disease outbreaks, such as the novel coronavirus (“COVID-19”), may disrupt our business, including, among other things, consumption and trade patterns, our supply chain and production processes, each of which could materially affect our operations, liquidity, financial condition and results of operations.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actual or perceived effects of a disease outbreak, epidemic, pandemic or similar widespread public health concern, such as COVID-19, could negatively affect our operations, liquidity, financial condition and results of operations. The current COVID-19 outbreak situation remains dynamic and subject to rapid and possibly material change, including but not limited to changes that may materially affect the operations of our customers and supply chain partners, which ultimately could result in material negative effects on our business and results of operations.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Pandemics, epidemics or disease outbreaks may affect demand for our products because quarantines or other government restrictions on movements may cause erratic consumer purchase behavior. Governmental or societal impositions of restrictions on public gatherings, especially if prolonged in nature, may have adverse effects on in-person traffic to retail stores and, in turn, our business. Even the perceived risk of infection or health risk may adversely affect traffic to our store-based retail customers and, in turn, our business, liquidity, financial condition and results of operations, particularly if any self-imposed or government-imposed restrictions are in place for a significant amount of time. We believe consumer demand for our products has been affected by the quarantines and government restrictions on movements implemented to address the COVID-19 outbreak, and this may continue in the future.</w:t>
      </w:r>
    </w:p>
    <w:p>
      <w:pPr>
        <w:spacing w:after="0" w:line="1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spread of pandemics, epidemics or disease outbreaks such as COVID-19 may also disrupt our third party business partners’ ability to meet their obligations to us, which may negatively affect our operations. These third parties include those who supply our ingredients, packaging, and other necessary operating materials, contract manufacturers, distributors, and logistics and transportation services providers. Ports and other channels of entry may be closed or operate at only a portion of capacity, as workers may be prohibited or otherwise unable to report to work, and means of transporting products within regions or countries may be limited for the same reason. As a result of the current COVID-19 outbreak, transport restrictions related to quarantines or travel bans have been put in place and global supply may become constrained, each of which may cause the price of certain ingredients and raw materials used in our products to increase and/or we may experience disruptions to our operations. Further, our contract manufacturers’ ability to manufacture our products may be impaired by any material disruption to their procurement, manufacturing, or warehousing capabilities as a result of COVID-19 or similar outbreaks.</w:t>
      </w:r>
    </w:p>
    <w:p>
      <w:pPr>
        <w:spacing w:after="0" w:line="19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Our results of operations depend on, among other things, our ability to maintain and increase sales volume with our existing customers, to attract new consumers and to provide products that appeal to consumers at prices they are willing and able to pay. Our ability to implement our innovation, advertising, display and promotion activities that are designed to maintain and increase our sales volumes on a timely basis may be negatively affected as a result of modifications to retailer shelf reset timing or retailer pullback on in-store display and promotional activities during the COVID-19 outbreak or similar situations. Retailers may also alter their normal inventory receiving and product restocking practices during pandemics, epidemics or disease outbreaks such as COVID-19, which may negatively impact our business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Workforce limitations and travel restrictions resulting from pandemics, epidemics or disease outbreaks such as COVID-19 and related government actions may affect many aspects of our business. If a significant percentage of our workforce is unable to work, including because of illness or travel or government restrictions in connection with pandemics or disease outbreaks, our operations may be negatively affected. In addition, pandemics or disease outbreaks could result in a widespread health crisis that could adversely affect the economies and financial markets of many countries, resulting in an economic downturn that could affect customers’ demand for our products.</w:t>
      </w:r>
    </w:p>
    <w:p>
      <w:pPr>
        <w:spacing w:after="0" w:line="18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Adverse and uncertain economic conditions, such as decreases in per capita income and level of disposable income, increased unemployment or a decline in consumer confidence as a result of the COVID-19 outbreak or similar situations, could have an adverse effect on distributor, retailer and consumer demand for our products. Consumers may shift purchases to lower-priced or other perceived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337" w:right="339" w:bottom="1440" w:gutter="0" w:footer="0" w:header="0"/>
        </w:sectPr>
      </w:pPr>
    </w:p>
    <w:bookmarkStart w:id="39" w:name="page40"/>
    <w:bookmarkEnd w:id="39"/>
    <w:p>
      <w:pPr>
        <w:ind w:right="100"/>
        <w:spacing w:after="0" w:line="277" w:lineRule="auto"/>
        <w:rPr>
          <w:sz w:val="20"/>
          <w:szCs w:val="20"/>
          <w:color w:val="auto"/>
        </w:rPr>
      </w:pPr>
      <w:r>
        <w:rPr>
          <w:rFonts w:ascii="Arial" w:cs="Arial" w:eastAsia="Arial" w:hAnsi="Arial"/>
          <w:sz w:val="18"/>
          <w:szCs w:val="18"/>
          <w:color w:val="auto"/>
        </w:rPr>
        <w:t>value offerings during economic downturns. Prolonged unfavorable economic conditions, including as a result of COVID-19 or similar outbreaks, and any resulting recession or slowed economic growth, may have an adverse effect on our sales and profitability.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efforts to manage and mitigate these factors may be unsuccessful, and the effectiveness of these efforts depends on factors beyond our control, including the duration and severity of any pandemic, epidemic or disease outbreak, as well as third party actions taken to contain its spread and mitigate public health effects.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82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34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w:t>
            </w:r>
          </w:p>
        </w:tc>
        <w:tc>
          <w:tcPr>
            <w:tcW w:w="9240" w:type="dxa"/>
            <w:vAlign w:val="bottom"/>
          </w:tcPr>
          <w:p>
            <w:pPr>
              <w:ind w:left="20"/>
              <w:spacing w:after="0"/>
              <w:rPr>
                <w:sz w:val="20"/>
                <w:szCs w:val="20"/>
                <w:color w:val="auto"/>
              </w:rPr>
            </w:pPr>
            <w:r>
              <w:rPr>
                <w:rFonts w:ascii="Arial" w:cs="Arial" w:eastAsia="Arial" w:hAnsi="Arial"/>
                <w:sz w:val="16"/>
                <w:szCs w:val="16"/>
                <w:b w:val="1"/>
                <w:bCs w:val="1"/>
                <w:color w:val="auto"/>
              </w:rPr>
              <w:t>Document</w:t>
            </w:r>
          </w:p>
        </w:tc>
      </w:tr>
      <w:tr>
        <w:trPr>
          <w:trHeight w:val="210"/>
        </w:trPr>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rPr>
              <w:t>No.</w:t>
            </w:r>
          </w:p>
        </w:tc>
        <w:tc>
          <w:tcPr>
            <w:tcW w:w="9240" w:type="dxa"/>
            <w:vAlign w:val="bottom"/>
          </w:tcPr>
          <w:p>
            <w:pPr>
              <w:spacing w:after="0"/>
              <w:rPr>
                <w:sz w:val="18"/>
                <w:szCs w:val="18"/>
                <w:color w:val="auto"/>
              </w:rPr>
            </w:pPr>
          </w:p>
        </w:tc>
      </w:tr>
      <w:tr>
        <w:trPr>
          <w:trHeight w:val="33"/>
        </w:trPr>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40" w:type="dxa"/>
            <w:vAlign w:val="bottom"/>
            <w:tcBorders>
              <w:bottom w:val="single" w:sz="8" w:color="auto"/>
            </w:tcBorders>
          </w:tcPr>
          <w:p>
            <w:pPr>
              <w:spacing w:after="0"/>
              <w:rPr>
                <w:sz w:val="2"/>
                <w:szCs w:val="2"/>
                <w:color w:val="auto"/>
              </w:rPr>
            </w:pPr>
          </w:p>
        </w:tc>
      </w:tr>
      <w:tr>
        <w:trPr>
          <w:trHeight w:val="230"/>
        </w:trPr>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31.1</w:t>
            </w:r>
          </w:p>
        </w:tc>
        <w:tc>
          <w:tcPr>
            <w:tcW w:w="100" w:type="dxa"/>
            <w:vAlign w:val="bottom"/>
            <w:tcBorders>
              <w:bottom w:val="single" w:sz="8" w:color="CCEEFF"/>
            </w:tcBorders>
            <w:shd w:val="clear" w:color="auto" w:fill="CCEEFF"/>
          </w:tcPr>
          <w:p>
            <w:pPr>
              <w:spacing w:after="0"/>
              <w:rPr>
                <w:sz w:val="20"/>
                <w:szCs w:val="20"/>
                <w:color w:val="auto"/>
              </w:rPr>
            </w:pPr>
          </w:p>
        </w:tc>
        <w:tc>
          <w:tcPr>
            <w:tcW w:w="9240" w:type="dxa"/>
            <w:vAlign w:val="bottom"/>
            <w:tcBorders>
              <w:bottom w:val="single" w:sz="8" w:color="CCEEFF"/>
            </w:tcBorders>
            <w:shd w:val="clear" w:color="auto" w:fill="CCEEFF"/>
          </w:tcPr>
          <w:p>
            <w:pPr>
              <w:ind w:left="20"/>
              <w:spacing w:after="0"/>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Certification of Principal Executive Officer pursuant to Section 302 of the Sarbanes Oxley Act of 2002.</w:t>
              </w:r>
            </w:hyperlink>
          </w:p>
        </w:tc>
      </w:tr>
      <w:tr>
        <w:trPr>
          <w:trHeight w:val="223"/>
        </w:trPr>
        <w:tc>
          <w:tcPr>
            <w:tcW w:w="680" w:type="dxa"/>
            <w:vAlign w:val="bottom"/>
          </w:tcPr>
          <w:p>
            <w:pPr>
              <w:ind w:left="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9"/>
                <w:szCs w:val="19"/>
                <w:color w:val="auto"/>
              </w:rPr>
            </w:pPr>
          </w:p>
        </w:tc>
        <w:tc>
          <w:tcPr>
            <w:tcW w:w="9240" w:type="dxa"/>
            <w:vAlign w:val="bottom"/>
          </w:tcPr>
          <w:p>
            <w:pPr>
              <w:ind w:left="20"/>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Certification of Principal Financial Officer pursuant to Section 302 of the Sarbanes Oxley Act of 2002.</w:t>
              </w:r>
            </w:hyperlink>
          </w:p>
        </w:tc>
      </w:tr>
      <w:tr>
        <w:trPr>
          <w:trHeight w:val="47"/>
        </w:trPr>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40" w:type="dxa"/>
            <w:vAlign w:val="bottom"/>
          </w:tcPr>
          <w:p>
            <w:pPr>
              <w:spacing w:after="0"/>
              <w:rPr>
                <w:sz w:val="4"/>
                <w:szCs w:val="4"/>
                <w:color w:val="auto"/>
              </w:rPr>
            </w:pPr>
          </w:p>
        </w:tc>
      </w:tr>
      <w:tr>
        <w:trPr>
          <w:trHeight w:val="250"/>
        </w:trPr>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9240" w:type="dxa"/>
            <w:vAlign w:val="bottom"/>
            <w:tcBorders>
              <w:bottom w:val="single" w:sz="8" w:color="CCEEFF"/>
            </w:tcBorders>
            <w:shd w:val="clear" w:color="auto" w:fill="CCEEFF"/>
          </w:tcPr>
          <w:p>
            <w:pPr>
              <w:ind w:left="20"/>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Certification of Principal Executive Officer and Principal Financial Officer pursuant to Section 906 of the Sarbanes Oxley Act.</w:t>
              </w:r>
            </w:hyperlink>
          </w:p>
        </w:tc>
      </w:tr>
      <w:tr>
        <w:trPr>
          <w:trHeight w:val="223"/>
        </w:trPr>
        <w:tc>
          <w:tcPr>
            <w:tcW w:w="780" w:type="dxa"/>
            <w:vAlign w:val="bottom"/>
            <w:gridSpan w:val="2"/>
          </w:tcPr>
          <w:p>
            <w:pPr>
              <w:ind w:left="20"/>
              <w:spacing w:after="0"/>
              <w:rPr>
                <w:sz w:val="20"/>
                <w:szCs w:val="20"/>
                <w:color w:val="auto"/>
              </w:rPr>
            </w:pPr>
            <w:r>
              <w:rPr>
                <w:rFonts w:ascii="Arial" w:cs="Arial" w:eastAsia="Arial" w:hAnsi="Arial"/>
                <w:sz w:val="16"/>
                <w:szCs w:val="16"/>
                <w:color w:val="auto"/>
              </w:rPr>
              <w:t>101.INS</w:t>
            </w:r>
          </w:p>
        </w:tc>
        <w:tc>
          <w:tcPr>
            <w:tcW w:w="9240" w:type="dxa"/>
            <w:vAlign w:val="bottom"/>
          </w:tcPr>
          <w:p>
            <w:pPr>
              <w:ind w:left="20"/>
              <w:spacing w:after="0"/>
              <w:rPr>
                <w:sz w:val="20"/>
                <w:szCs w:val="20"/>
                <w:color w:val="auto"/>
              </w:rPr>
            </w:pPr>
            <w:r>
              <w:rPr>
                <w:rFonts w:ascii="Arial" w:cs="Arial" w:eastAsia="Arial" w:hAnsi="Arial"/>
                <w:sz w:val="16"/>
                <w:szCs w:val="16"/>
                <w:color w:val="auto"/>
              </w:rPr>
              <w:t>XBRL Instance Document</w:t>
            </w:r>
          </w:p>
        </w:tc>
      </w:tr>
      <w:tr>
        <w:trPr>
          <w:trHeight w:val="47"/>
        </w:trPr>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40" w:type="dxa"/>
            <w:vAlign w:val="bottom"/>
          </w:tcPr>
          <w:p>
            <w:pPr>
              <w:spacing w:after="0"/>
              <w:rPr>
                <w:sz w:val="4"/>
                <w:szCs w:val="4"/>
                <w:color w:val="auto"/>
              </w:rPr>
            </w:pPr>
          </w:p>
        </w:tc>
      </w:tr>
      <w:tr>
        <w:trPr>
          <w:trHeight w:val="250"/>
        </w:trPr>
        <w:tc>
          <w:tcPr>
            <w:tcW w:w="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101.SCH</w:t>
            </w:r>
          </w:p>
        </w:tc>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XBRL Taxonomy Extension Schema Document</w:t>
            </w:r>
          </w:p>
        </w:tc>
      </w:tr>
      <w:tr>
        <w:trPr>
          <w:trHeight w:val="223"/>
        </w:trPr>
        <w:tc>
          <w:tcPr>
            <w:tcW w:w="78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9240" w:type="dxa"/>
            <w:vAlign w:val="bottom"/>
          </w:tcPr>
          <w:p>
            <w:pPr>
              <w:ind w:left="20"/>
              <w:spacing w:after="0"/>
              <w:rPr>
                <w:sz w:val="20"/>
                <w:szCs w:val="20"/>
                <w:color w:val="auto"/>
              </w:rPr>
            </w:pPr>
            <w:r>
              <w:rPr>
                <w:rFonts w:ascii="Arial" w:cs="Arial" w:eastAsia="Arial" w:hAnsi="Arial"/>
                <w:sz w:val="16"/>
                <w:szCs w:val="16"/>
                <w:color w:val="auto"/>
              </w:rPr>
              <w:t>XBRL Taxonomy Extension Calculation Linkbase Document</w:t>
            </w:r>
          </w:p>
        </w:tc>
      </w:tr>
      <w:tr>
        <w:trPr>
          <w:trHeight w:val="47"/>
        </w:trPr>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40" w:type="dxa"/>
            <w:vAlign w:val="bottom"/>
          </w:tcPr>
          <w:p>
            <w:pPr>
              <w:spacing w:after="0"/>
              <w:rPr>
                <w:sz w:val="4"/>
                <w:szCs w:val="4"/>
                <w:color w:val="auto"/>
              </w:rPr>
            </w:pPr>
          </w:p>
        </w:tc>
      </w:tr>
      <w:tr>
        <w:trPr>
          <w:trHeight w:val="250"/>
        </w:trPr>
        <w:tc>
          <w:tcPr>
            <w:tcW w:w="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101.DEF</w:t>
            </w:r>
          </w:p>
        </w:tc>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XBRL Taxonomy Extension Definition Linkbase Document</w:t>
            </w:r>
          </w:p>
        </w:tc>
      </w:tr>
      <w:tr>
        <w:trPr>
          <w:trHeight w:val="224"/>
        </w:trPr>
        <w:tc>
          <w:tcPr>
            <w:tcW w:w="78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9240" w:type="dxa"/>
            <w:vAlign w:val="bottom"/>
          </w:tcPr>
          <w:p>
            <w:pPr>
              <w:ind w:left="20"/>
              <w:spacing w:after="0"/>
              <w:rPr>
                <w:sz w:val="20"/>
                <w:szCs w:val="20"/>
                <w:color w:val="auto"/>
              </w:rPr>
            </w:pPr>
            <w:r>
              <w:rPr>
                <w:rFonts w:ascii="Arial" w:cs="Arial" w:eastAsia="Arial" w:hAnsi="Arial"/>
                <w:sz w:val="16"/>
                <w:szCs w:val="16"/>
                <w:color w:val="auto"/>
              </w:rPr>
              <w:t>XBRL Taxonomy Extension Label Linkbase Document</w:t>
            </w:r>
          </w:p>
        </w:tc>
      </w:tr>
      <w:tr>
        <w:trPr>
          <w:trHeight w:val="46"/>
        </w:trPr>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40" w:type="dxa"/>
            <w:vAlign w:val="bottom"/>
          </w:tcPr>
          <w:p>
            <w:pPr>
              <w:spacing w:after="0"/>
              <w:rPr>
                <w:sz w:val="4"/>
                <w:szCs w:val="4"/>
                <w:color w:val="auto"/>
              </w:rPr>
            </w:pPr>
          </w:p>
        </w:tc>
      </w:tr>
      <w:tr>
        <w:trPr>
          <w:trHeight w:val="224"/>
        </w:trPr>
        <w:tc>
          <w:tcPr>
            <w:tcW w:w="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101.PRE</w:t>
            </w:r>
          </w:p>
        </w:tc>
        <w:tc>
          <w:tcPr>
            <w:tcW w:w="9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46"/>
        </w:trPr>
        <w:tc>
          <w:tcPr>
            <w:tcW w:w="6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240" w:type="dxa"/>
            <w:vAlign w:val="bottom"/>
            <w:shd w:val="clear" w:color="auto" w:fill="CCEEFF"/>
          </w:tcPr>
          <w:p>
            <w:pPr>
              <w:spacing w:after="0"/>
              <w:rPr>
                <w:sz w:val="4"/>
                <w:szCs w:val="4"/>
                <w:color w:val="auto"/>
              </w:rPr>
            </w:pPr>
          </w:p>
        </w:tc>
      </w:tr>
    </w:tbl>
    <w:p>
      <w:pPr>
        <w:spacing w:after="0" w:line="17" w:lineRule="exact"/>
        <w:rPr>
          <w:sz w:val="20"/>
          <w:szCs w:val="20"/>
          <w:color w:val="auto"/>
        </w:rPr>
      </w:pPr>
    </w:p>
    <w:p>
      <w:pPr>
        <w:ind w:left="1420" w:hanging="784"/>
        <w:spacing w:after="0"/>
        <w:tabs>
          <w:tab w:leader="none" w:pos="1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 and contained in Exhibit 101).</w:t>
      </w:r>
    </w:p>
    <w:p>
      <w:pPr>
        <w:spacing w:after="0" w:line="200" w:lineRule="exact"/>
        <w:rPr>
          <w:rFonts w:ascii="Arial" w:cs="Arial" w:eastAsia="Arial" w:hAnsi="Arial"/>
          <w:sz w:val="16"/>
          <w:szCs w:val="16"/>
          <w:color w:val="auto"/>
        </w:rPr>
      </w:pPr>
    </w:p>
    <w:p>
      <w:pPr>
        <w:spacing w:after="0" w:line="286"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40</w:t>
      </w:r>
    </w:p>
    <w:p>
      <w:pPr>
        <w:sectPr>
          <w:pgSz w:w="11900" w:h="16838" w:orient="portrait"/>
          <w:cols w:equalWidth="0" w:num="1">
            <w:col w:w="10640"/>
          </w:cols>
          <w:pgMar w:left="320" w:top="125" w:right="9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080"/>
        <w:spacing w:after="0"/>
        <w:rPr>
          <w:sz w:val="20"/>
          <w:szCs w:val="20"/>
          <w:color w:val="auto"/>
        </w:rPr>
      </w:pPr>
      <w:r>
        <w:rPr>
          <w:rFonts w:ascii="Arial" w:cs="Arial" w:eastAsia="Arial" w:hAnsi="Arial"/>
          <w:sz w:val="16"/>
          <w:szCs w:val="16"/>
          <w:b w:val="1"/>
          <w:bCs w:val="1"/>
          <w:color w:val="auto"/>
        </w:rPr>
        <w:t>THE SIMPLY GOOD FOODS COMPANY</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By: /s/ Timothy A.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34925</wp:posOffset>
            </wp:positionV>
            <wp:extent cx="2897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53" w:lineRule="exact"/>
        <w:rPr>
          <w:sz w:val="20"/>
          <w:szCs w:val="20"/>
          <w:color w:val="auto"/>
        </w:rPr>
      </w:pPr>
    </w:p>
    <w:p>
      <w:pPr>
        <w:ind w:left="1660"/>
        <w:spacing w:after="0"/>
        <w:tabs>
          <w:tab w:leader="none" w:pos="2200" w:val="left"/>
          <w:tab w:leader="none" w:pos="4560" w:val="left"/>
        </w:tabs>
        <w:rPr>
          <w:sz w:val="20"/>
          <w:szCs w:val="20"/>
          <w:color w:val="auto"/>
        </w:rPr>
      </w:pPr>
      <w:r>
        <w:rPr>
          <w:rFonts w:ascii="Arial" w:cs="Arial" w:eastAsia="Arial" w:hAnsi="Arial"/>
          <w:sz w:val="16"/>
          <w:szCs w:val="16"/>
          <w:color w:val="auto"/>
        </w:rPr>
        <w:t>Date:</w:t>
        <w:tab/>
        <w:t>July 9, 2020</w:t>
      </w:r>
      <w:r>
        <w:rPr>
          <w:sz w:val="20"/>
          <w:szCs w:val="20"/>
          <w:color w:val="auto"/>
        </w:rPr>
        <w:tab/>
      </w:r>
      <w:r>
        <w:rPr>
          <w:rFonts w:ascii="Arial" w:cs="Arial" w:eastAsia="Arial" w:hAnsi="Arial"/>
          <w:sz w:val="15"/>
          <w:szCs w:val="15"/>
          <w:color w:val="auto"/>
        </w:rPr>
        <w:t>Name: Timothy A. Matthews</w:t>
      </w:r>
    </w:p>
    <w:p>
      <w:pPr>
        <w:spacing w:after="0" w:line="86"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Title: Vice President, Controller, and Chief Accounting Officer</w:t>
      </w:r>
    </w:p>
    <w:p>
      <w:pPr>
        <w:spacing w:after="0" w:line="86" w:lineRule="exact"/>
        <w:rPr>
          <w:sz w:val="20"/>
          <w:szCs w:val="20"/>
          <w:color w:val="auto"/>
        </w:rPr>
      </w:pPr>
    </w:p>
    <w:p>
      <w:pPr>
        <w:ind w:left="5080"/>
        <w:spacing w:after="0"/>
        <w:rPr>
          <w:sz w:val="20"/>
          <w:szCs w:val="20"/>
          <w:color w:val="auto"/>
        </w:rPr>
      </w:pPr>
      <w:r>
        <w:rPr>
          <w:rFonts w:ascii="Arial" w:cs="Arial" w:eastAsia="Arial" w:hAnsi="Arial"/>
          <w:sz w:val="16"/>
          <w:szCs w:val="16"/>
          <w:i w:val="1"/>
          <w:iCs w:val="1"/>
          <w:color w:val="auto"/>
        </w:rPr>
        <w:t>(Principal Accounting Officer)</w:t>
      </w:r>
    </w:p>
    <w:p>
      <w:pPr>
        <w:spacing w:after="0" w:line="271"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720"/>
          </w:cols>
          <w:pgMar w:left="320" w:top="125" w:right="8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Joseph E. Scalzo, certify that:</w:t>
      </w:r>
    </w:p>
    <w:p>
      <w:pPr>
        <w:spacing w:after="0" w:line="225" w:lineRule="exact"/>
        <w:rPr>
          <w:sz w:val="20"/>
          <w:szCs w:val="20"/>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Simply Good Foods Company (the "registrant");</w:t>
      </w:r>
    </w:p>
    <w:p>
      <w:pPr>
        <w:spacing w:after="0" w:line="225" w:lineRule="exact"/>
        <w:rPr>
          <w:rFonts w:ascii="Arial" w:cs="Arial" w:eastAsia="Arial" w:hAnsi="Arial"/>
          <w:sz w:val="18"/>
          <w:szCs w:val="18"/>
          <w:color w:val="auto"/>
        </w:rPr>
      </w:pPr>
    </w:p>
    <w:p>
      <w:pPr>
        <w:jc w:val="both"/>
        <w:ind w:firstLine="656"/>
        <w:spacing w:after="0" w:line="263" w:lineRule="auto"/>
        <w:tabs>
          <w:tab w:leader="none" w:pos="8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656"/>
        <w:spacing w:after="0" w:line="308" w:lineRule="auto"/>
        <w:tabs>
          <w:tab w:leader="none" w:pos="883"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firstLine="4"/>
        <w:spacing w:after="0" w:line="286" w:lineRule="auto"/>
        <w:tabs>
          <w:tab w:leader="none" w:pos="1873"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300" w:firstLine="4"/>
        <w:spacing w:after="0" w:line="263" w:lineRule="auto"/>
        <w:tabs>
          <w:tab w:leader="none" w:pos="172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656"/>
        <w:spacing w:after="0" w:line="308" w:lineRule="auto"/>
        <w:tabs>
          <w:tab w:leader="none" w:pos="87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firstLine="4"/>
        <w:spacing w:after="0" w:line="308" w:lineRule="auto"/>
        <w:tabs>
          <w:tab w:leader="none" w:pos="1766"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firstLine="4"/>
        <w:spacing w:after="0" w:line="277" w:lineRule="auto"/>
        <w:tabs>
          <w:tab w:leader="none" w:pos="180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180" w:type="dxa"/>
        <w:tblCellMar>
          <w:top w:w="0" w:type="dxa"/>
          <w:left w:w="0" w:type="dxa"/>
          <w:bottom w:w="0" w:type="dxa"/>
          <w:right w:w="0" w:type="dxa"/>
        </w:tblCellMar>
      </w:tblPr>
      <w:tr>
        <w:trPr>
          <w:trHeight w:val="206"/>
        </w:trPr>
        <w:tc>
          <w:tcPr>
            <w:tcW w:w="1380" w:type="dxa"/>
            <w:vAlign w:val="bottom"/>
          </w:tcPr>
          <w:p>
            <w:pPr>
              <w:spacing w:after="0"/>
              <w:rPr>
                <w:sz w:val="20"/>
                <w:szCs w:val="20"/>
                <w:color w:val="auto"/>
              </w:rPr>
            </w:pPr>
            <w:r>
              <w:rPr>
                <w:rFonts w:ascii="Arial" w:cs="Arial" w:eastAsia="Arial" w:hAnsi="Arial"/>
                <w:sz w:val="16"/>
                <w:szCs w:val="16"/>
                <w:color w:val="auto"/>
              </w:rPr>
              <w:t>Date: July 9, 2020</w:t>
            </w:r>
          </w:p>
        </w:tc>
        <w:tc>
          <w:tcPr>
            <w:tcW w:w="760" w:type="dxa"/>
            <w:vAlign w:val="bottom"/>
          </w:tcPr>
          <w:p>
            <w:pPr>
              <w:ind w:left="180"/>
              <w:spacing w:after="0"/>
              <w:rPr>
                <w:sz w:val="20"/>
                <w:szCs w:val="20"/>
                <w:color w:val="auto"/>
              </w:rPr>
            </w:pPr>
            <w:r>
              <w:rPr>
                <w:rFonts w:ascii="Arial" w:cs="Arial" w:eastAsia="Arial" w:hAnsi="Arial"/>
                <w:sz w:val="16"/>
                <w:szCs w:val="16"/>
                <w:color w:val="auto"/>
              </w:rPr>
              <w:t>By:</w:t>
            </w:r>
          </w:p>
        </w:tc>
        <w:tc>
          <w:tcPr>
            <w:tcW w:w="3640" w:type="dxa"/>
            <w:vAlign w:val="bottom"/>
          </w:tcPr>
          <w:p>
            <w:pPr>
              <w:ind w:left="40"/>
              <w:spacing w:after="0"/>
              <w:rPr>
                <w:sz w:val="20"/>
                <w:szCs w:val="20"/>
                <w:color w:val="auto"/>
              </w:rPr>
            </w:pPr>
            <w:r>
              <w:rPr>
                <w:rFonts w:ascii="Arial" w:cs="Arial" w:eastAsia="Arial" w:hAnsi="Arial"/>
                <w:sz w:val="16"/>
                <w:szCs w:val="16"/>
                <w:color w:val="auto"/>
              </w:rPr>
              <w:t>/s/ Joseph E. Scalzo</w:t>
            </w: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760" w:type="dxa"/>
            <w:vAlign w:val="bottom"/>
            <w:vMerge w:val="restart"/>
          </w:tcPr>
          <w:p>
            <w:pPr>
              <w:ind w:left="180"/>
              <w:spacing w:after="0"/>
              <w:rPr>
                <w:sz w:val="20"/>
                <w:szCs w:val="20"/>
                <w:color w:val="auto"/>
              </w:rPr>
            </w:pPr>
            <w:r>
              <w:rPr>
                <w:rFonts w:ascii="Arial" w:cs="Arial" w:eastAsia="Arial" w:hAnsi="Arial"/>
                <w:sz w:val="16"/>
                <w:szCs w:val="16"/>
                <w:color w:val="auto"/>
              </w:rPr>
              <w:t>Name:</w:t>
            </w:r>
          </w:p>
        </w:tc>
        <w:tc>
          <w:tcPr>
            <w:tcW w:w="3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3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640" w:type="dxa"/>
            <w:vAlign w:val="bottom"/>
          </w:tcPr>
          <w:p>
            <w:pPr>
              <w:ind w:left="40"/>
              <w:spacing w:after="0"/>
              <w:rPr>
                <w:sz w:val="20"/>
                <w:szCs w:val="20"/>
                <w:color w:val="auto"/>
              </w:rPr>
            </w:pPr>
            <w:r>
              <w:rPr>
                <w:rFonts w:ascii="Arial" w:cs="Arial" w:eastAsia="Arial" w:hAnsi="Arial"/>
                <w:sz w:val="16"/>
                <w:szCs w:val="16"/>
                <w:color w:val="auto"/>
              </w:rPr>
              <w:t>Joseph E. Scalzo</w:t>
            </w:r>
          </w:p>
        </w:tc>
        <w:tc>
          <w:tcPr>
            <w:tcW w:w="0" w:type="dxa"/>
            <w:vAlign w:val="bottom"/>
          </w:tcPr>
          <w:p>
            <w:pPr>
              <w:spacing w:after="0"/>
              <w:rPr>
                <w:sz w:val="1"/>
                <w:szCs w:val="1"/>
                <w:color w:val="auto"/>
              </w:rPr>
            </w:pPr>
          </w:p>
        </w:tc>
      </w:tr>
      <w:tr>
        <w:trPr>
          <w:trHeight w:val="256"/>
        </w:trPr>
        <w:tc>
          <w:tcPr>
            <w:tcW w:w="138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6"/>
                <w:szCs w:val="16"/>
                <w:color w:val="auto"/>
              </w:rPr>
              <w:t>Title:</w:t>
            </w:r>
          </w:p>
        </w:tc>
        <w:tc>
          <w:tcPr>
            <w:tcW w:w="3640" w:type="dxa"/>
            <w:vAlign w:val="bottom"/>
          </w:tcPr>
          <w:p>
            <w:pPr>
              <w:ind w:left="40"/>
              <w:spacing w:after="0"/>
              <w:rPr>
                <w:sz w:val="20"/>
                <w:szCs w:val="20"/>
                <w:color w:val="auto"/>
              </w:rPr>
            </w:pPr>
            <w:r>
              <w:rPr>
                <w:rFonts w:ascii="Arial" w:cs="Arial" w:eastAsia="Arial" w:hAnsi="Arial"/>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40" w:type="dxa"/>
            <w:vAlign w:val="bottom"/>
          </w:tcPr>
          <w:p>
            <w:pPr>
              <w:ind w:left="40"/>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Todd E. Cunfer, certify that:</w:t>
      </w:r>
    </w:p>
    <w:p>
      <w:pPr>
        <w:spacing w:after="0" w:line="225" w:lineRule="exact"/>
        <w:rPr>
          <w:sz w:val="20"/>
          <w:szCs w:val="20"/>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Simply Good Foods Company (the "registrant");</w:t>
      </w:r>
    </w:p>
    <w:p>
      <w:pPr>
        <w:spacing w:after="0" w:line="225" w:lineRule="exact"/>
        <w:rPr>
          <w:rFonts w:ascii="Arial" w:cs="Arial" w:eastAsia="Arial" w:hAnsi="Arial"/>
          <w:sz w:val="18"/>
          <w:szCs w:val="18"/>
          <w:color w:val="auto"/>
        </w:rPr>
      </w:pPr>
    </w:p>
    <w:p>
      <w:pPr>
        <w:jc w:val="both"/>
        <w:ind w:firstLine="656"/>
        <w:spacing w:after="0" w:line="263" w:lineRule="auto"/>
        <w:tabs>
          <w:tab w:leader="none" w:pos="8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656"/>
        <w:spacing w:after="0" w:line="308" w:lineRule="auto"/>
        <w:tabs>
          <w:tab w:leader="none" w:pos="883"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7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firstLine="4"/>
        <w:spacing w:after="0" w:line="286" w:lineRule="auto"/>
        <w:tabs>
          <w:tab w:leader="none" w:pos="1873"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300" w:firstLine="4"/>
        <w:spacing w:after="0" w:line="263" w:lineRule="auto"/>
        <w:tabs>
          <w:tab w:leader="none" w:pos="172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656"/>
        <w:spacing w:after="0" w:line="308" w:lineRule="auto"/>
        <w:tabs>
          <w:tab w:leader="none" w:pos="873"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firstLine="4"/>
        <w:spacing w:after="0" w:line="308" w:lineRule="auto"/>
        <w:tabs>
          <w:tab w:leader="none" w:pos="1766"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firstLine="4"/>
        <w:spacing w:after="0" w:line="277" w:lineRule="auto"/>
        <w:tabs>
          <w:tab w:leader="none" w:pos="180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180" w:type="dxa"/>
        <w:tblCellMar>
          <w:top w:w="0" w:type="dxa"/>
          <w:left w:w="0" w:type="dxa"/>
          <w:bottom w:w="0" w:type="dxa"/>
          <w:right w:w="0" w:type="dxa"/>
        </w:tblCellMar>
      </w:tblPr>
      <w:tr>
        <w:trPr>
          <w:trHeight w:val="206"/>
        </w:trPr>
        <w:tc>
          <w:tcPr>
            <w:tcW w:w="1380" w:type="dxa"/>
            <w:vAlign w:val="bottom"/>
          </w:tcPr>
          <w:p>
            <w:pPr>
              <w:spacing w:after="0"/>
              <w:rPr>
                <w:sz w:val="20"/>
                <w:szCs w:val="20"/>
                <w:color w:val="auto"/>
              </w:rPr>
            </w:pPr>
            <w:r>
              <w:rPr>
                <w:rFonts w:ascii="Arial" w:cs="Arial" w:eastAsia="Arial" w:hAnsi="Arial"/>
                <w:sz w:val="16"/>
                <w:szCs w:val="16"/>
                <w:color w:val="auto"/>
              </w:rPr>
              <w:t>Date: July 9, 2020</w:t>
            </w:r>
          </w:p>
        </w:tc>
        <w:tc>
          <w:tcPr>
            <w:tcW w:w="760" w:type="dxa"/>
            <w:vAlign w:val="bottom"/>
          </w:tcPr>
          <w:p>
            <w:pPr>
              <w:ind w:left="180"/>
              <w:spacing w:after="0"/>
              <w:rPr>
                <w:sz w:val="20"/>
                <w:szCs w:val="20"/>
                <w:color w:val="auto"/>
              </w:rPr>
            </w:pPr>
            <w:r>
              <w:rPr>
                <w:rFonts w:ascii="Arial" w:cs="Arial" w:eastAsia="Arial" w:hAnsi="Arial"/>
                <w:sz w:val="16"/>
                <w:szCs w:val="16"/>
                <w:color w:val="auto"/>
              </w:rPr>
              <w:t>By:</w:t>
            </w:r>
          </w:p>
        </w:tc>
        <w:tc>
          <w:tcPr>
            <w:tcW w:w="3640" w:type="dxa"/>
            <w:vAlign w:val="bottom"/>
          </w:tcPr>
          <w:p>
            <w:pPr>
              <w:ind w:left="40"/>
              <w:spacing w:after="0"/>
              <w:rPr>
                <w:sz w:val="20"/>
                <w:szCs w:val="20"/>
                <w:color w:val="auto"/>
              </w:rPr>
            </w:pPr>
            <w:r>
              <w:rPr>
                <w:rFonts w:ascii="Arial" w:cs="Arial" w:eastAsia="Arial" w:hAnsi="Arial"/>
                <w:sz w:val="16"/>
                <w:szCs w:val="16"/>
                <w:color w:val="auto"/>
              </w:rPr>
              <w:t>/s/ Todd E. Cunfer</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760" w:type="dxa"/>
            <w:vAlign w:val="bottom"/>
            <w:vMerge w:val="restart"/>
          </w:tcPr>
          <w:p>
            <w:pPr>
              <w:ind w:left="180"/>
              <w:spacing w:after="0"/>
              <w:rPr>
                <w:sz w:val="20"/>
                <w:szCs w:val="20"/>
                <w:color w:val="auto"/>
              </w:rPr>
            </w:pPr>
            <w:r>
              <w:rPr>
                <w:rFonts w:ascii="Arial" w:cs="Arial" w:eastAsia="Arial" w:hAnsi="Arial"/>
                <w:sz w:val="16"/>
                <w:szCs w:val="16"/>
                <w:color w:val="auto"/>
              </w:rPr>
              <w:t>Name:</w:t>
            </w:r>
          </w:p>
        </w:tc>
        <w:tc>
          <w:tcPr>
            <w:tcW w:w="3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3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640" w:type="dxa"/>
            <w:vAlign w:val="bottom"/>
          </w:tcPr>
          <w:p>
            <w:pPr>
              <w:ind w:left="40"/>
              <w:spacing w:after="0"/>
              <w:rPr>
                <w:sz w:val="20"/>
                <w:szCs w:val="20"/>
                <w:color w:val="auto"/>
              </w:rPr>
            </w:pPr>
            <w:r>
              <w:rPr>
                <w:rFonts w:ascii="Arial" w:cs="Arial" w:eastAsia="Arial" w:hAnsi="Arial"/>
                <w:sz w:val="16"/>
                <w:szCs w:val="16"/>
                <w:color w:val="auto"/>
              </w:rPr>
              <w:t>Todd E. Cunfer</w:t>
            </w:r>
          </w:p>
        </w:tc>
        <w:tc>
          <w:tcPr>
            <w:tcW w:w="0" w:type="dxa"/>
            <w:vAlign w:val="bottom"/>
          </w:tcPr>
          <w:p>
            <w:pPr>
              <w:spacing w:after="0"/>
              <w:rPr>
                <w:sz w:val="1"/>
                <w:szCs w:val="1"/>
                <w:color w:val="auto"/>
              </w:rPr>
            </w:pPr>
          </w:p>
        </w:tc>
      </w:tr>
      <w:tr>
        <w:trPr>
          <w:trHeight w:val="256"/>
        </w:trPr>
        <w:tc>
          <w:tcPr>
            <w:tcW w:w="138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6"/>
                <w:szCs w:val="16"/>
                <w:color w:val="auto"/>
              </w:rPr>
              <w:t>Title:</w:t>
            </w:r>
          </w:p>
        </w:tc>
        <w:tc>
          <w:tcPr>
            <w:tcW w:w="3640" w:type="dxa"/>
            <w:vAlign w:val="bottom"/>
          </w:tcPr>
          <w:p>
            <w:pPr>
              <w:ind w:left="4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40" w:type="dxa"/>
            <w:vAlign w:val="bottom"/>
          </w:tcPr>
          <w:p>
            <w:pPr>
              <w:ind w:left="40"/>
              <w:spacing w:after="0"/>
              <w:rPr>
                <w:sz w:val="20"/>
                <w:szCs w:val="20"/>
                <w:color w:val="auto"/>
              </w:rPr>
            </w:pPr>
            <w:r>
              <w:rPr>
                <w:rFonts w:ascii="Arial" w:cs="Arial" w:eastAsia="Arial" w:hAnsi="Arial"/>
                <w:sz w:val="16"/>
                <w:szCs w:val="16"/>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connection with the Quarterly Report of The Simply Good Foods Company (the “Company”) on Form 10-Q for the fiscal period ended May 30, 2020 as filed with the Securities and Exchange Commission on the date hereof (the “Report”), each of the undersigned officers of the Company hereby certifies, pursuant to 18 U.S.C. § 1350, as adopted pursuant to § 906 of the Sarbanes-Oxley Act of 2002, that, to such officer's knowledge:</w:t>
      </w:r>
    </w:p>
    <w:p>
      <w:pPr>
        <w:spacing w:after="0" w:line="165" w:lineRule="exact"/>
        <w:rPr>
          <w:sz w:val="20"/>
          <w:szCs w:val="20"/>
          <w:color w:val="auto"/>
        </w:rPr>
      </w:pPr>
    </w:p>
    <w:p>
      <w:pPr>
        <w:ind w:left="840" w:hanging="184"/>
        <w:spacing w:after="0"/>
        <w:tabs>
          <w:tab w:leader="none" w:pos="8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right="20" w:firstLine="656"/>
        <w:spacing w:after="0" w:line="277" w:lineRule="auto"/>
        <w:tabs>
          <w:tab w:leader="none" w:pos="86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covered by the Report.</w:t>
      </w:r>
    </w:p>
    <w:p>
      <w:pPr>
        <w:spacing w:after="0" w:line="38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certificate is being furnished solely for the purposes of 18 U.S.C. Section 1350 and is not being filed as part of the Report or as a separate disclosure document.</w:t>
      </w:r>
    </w:p>
    <w:p>
      <w:pPr>
        <w:spacing w:after="0" w:line="337" w:lineRule="exact"/>
        <w:rPr>
          <w:sz w:val="20"/>
          <w:szCs w:val="20"/>
          <w:color w:val="auto"/>
        </w:rPr>
      </w:pPr>
    </w:p>
    <w:tbl>
      <w:tblPr>
        <w:tblLayout w:type="fixed"/>
        <w:tblInd w:w="180" w:type="dxa"/>
        <w:tblCellMar>
          <w:top w:w="0" w:type="dxa"/>
          <w:left w:w="0" w:type="dxa"/>
          <w:bottom w:w="0" w:type="dxa"/>
          <w:right w:w="0" w:type="dxa"/>
        </w:tblCellMar>
      </w:tblPr>
      <w:tr>
        <w:trPr>
          <w:trHeight w:val="206"/>
        </w:trPr>
        <w:tc>
          <w:tcPr>
            <w:tcW w:w="1380" w:type="dxa"/>
            <w:vAlign w:val="bottom"/>
          </w:tcPr>
          <w:p>
            <w:pPr>
              <w:spacing w:after="0"/>
              <w:rPr>
                <w:sz w:val="20"/>
                <w:szCs w:val="20"/>
                <w:color w:val="auto"/>
              </w:rPr>
            </w:pPr>
            <w:r>
              <w:rPr>
                <w:rFonts w:ascii="Arial" w:cs="Arial" w:eastAsia="Arial" w:hAnsi="Arial"/>
                <w:sz w:val="16"/>
                <w:szCs w:val="16"/>
                <w:color w:val="auto"/>
              </w:rPr>
              <w:t>Date: July 9, 2020</w:t>
            </w:r>
          </w:p>
        </w:tc>
        <w:tc>
          <w:tcPr>
            <w:tcW w:w="760" w:type="dxa"/>
            <w:vAlign w:val="bottom"/>
          </w:tcPr>
          <w:p>
            <w:pPr>
              <w:ind w:left="180"/>
              <w:spacing w:after="0"/>
              <w:rPr>
                <w:sz w:val="20"/>
                <w:szCs w:val="20"/>
                <w:color w:val="auto"/>
              </w:rPr>
            </w:pPr>
            <w:r>
              <w:rPr>
                <w:rFonts w:ascii="Arial" w:cs="Arial" w:eastAsia="Arial" w:hAnsi="Arial"/>
                <w:sz w:val="16"/>
                <w:szCs w:val="16"/>
                <w:color w:val="auto"/>
              </w:rPr>
              <w:t>By:</w:t>
            </w:r>
          </w:p>
        </w:tc>
        <w:tc>
          <w:tcPr>
            <w:tcW w:w="3640" w:type="dxa"/>
            <w:vAlign w:val="bottom"/>
          </w:tcPr>
          <w:p>
            <w:pPr>
              <w:ind w:left="40"/>
              <w:spacing w:after="0"/>
              <w:rPr>
                <w:sz w:val="20"/>
                <w:szCs w:val="20"/>
                <w:color w:val="auto"/>
              </w:rPr>
            </w:pPr>
            <w:r>
              <w:rPr>
                <w:rFonts w:ascii="Arial" w:cs="Arial" w:eastAsia="Arial" w:hAnsi="Arial"/>
                <w:sz w:val="16"/>
                <w:szCs w:val="16"/>
                <w:color w:val="auto"/>
              </w:rPr>
              <w:t>/s/ Joseph E. Scalzo</w:t>
            </w: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760" w:type="dxa"/>
            <w:vAlign w:val="bottom"/>
            <w:vMerge w:val="restart"/>
          </w:tcPr>
          <w:p>
            <w:pPr>
              <w:ind w:left="180"/>
              <w:spacing w:after="0"/>
              <w:rPr>
                <w:sz w:val="20"/>
                <w:szCs w:val="20"/>
                <w:color w:val="auto"/>
              </w:rPr>
            </w:pPr>
            <w:r>
              <w:rPr>
                <w:rFonts w:ascii="Arial" w:cs="Arial" w:eastAsia="Arial" w:hAnsi="Arial"/>
                <w:sz w:val="16"/>
                <w:szCs w:val="16"/>
                <w:color w:val="auto"/>
              </w:rPr>
              <w:t>Name:</w:t>
            </w:r>
          </w:p>
        </w:tc>
        <w:tc>
          <w:tcPr>
            <w:tcW w:w="3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3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640" w:type="dxa"/>
            <w:vAlign w:val="bottom"/>
          </w:tcPr>
          <w:p>
            <w:pPr>
              <w:ind w:left="40"/>
              <w:spacing w:after="0"/>
              <w:rPr>
                <w:sz w:val="20"/>
                <w:szCs w:val="20"/>
                <w:color w:val="auto"/>
              </w:rPr>
            </w:pPr>
            <w:r>
              <w:rPr>
                <w:rFonts w:ascii="Arial" w:cs="Arial" w:eastAsia="Arial" w:hAnsi="Arial"/>
                <w:sz w:val="16"/>
                <w:szCs w:val="16"/>
                <w:color w:val="auto"/>
              </w:rPr>
              <w:t>Joseph E. Scalzo</w:t>
            </w:r>
          </w:p>
        </w:tc>
        <w:tc>
          <w:tcPr>
            <w:tcW w:w="0" w:type="dxa"/>
            <w:vAlign w:val="bottom"/>
          </w:tcPr>
          <w:p>
            <w:pPr>
              <w:spacing w:after="0"/>
              <w:rPr>
                <w:sz w:val="1"/>
                <w:szCs w:val="1"/>
                <w:color w:val="auto"/>
              </w:rPr>
            </w:pPr>
          </w:p>
        </w:tc>
      </w:tr>
      <w:tr>
        <w:trPr>
          <w:trHeight w:val="257"/>
        </w:trPr>
        <w:tc>
          <w:tcPr>
            <w:tcW w:w="138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6"/>
                <w:szCs w:val="16"/>
                <w:color w:val="auto"/>
              </w:rPr>
              <w:t>Title:</w:t>
            </w:r>
          </w:p>
        </w:tc>
        <w:tc>
          <w:tcPr>
            <w:tcW w:w="3640" w:type="dxa"/>
            <w:vAlign w:val="bottom"/>
          </w:tcPr>
          <w:p>
            <w:pPr>
              <w:ind w:left="40"/>
              <w:spacing w:after="0"/>
              <w:rPr>
                <w:sz w:val="20"/>
                <w:szCs w:val="20"/>
                <w:color w:val="auto"/>
              </w:rPr>
            </w:pPr>
            <w:r>
              <w:rPr>
                <w:rFonts w:ascii="Arial" w:cs="Arial" w:eastAsia="Arial" w:hAnsi="Arial"/>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40" w:type="dxa"/>
            <w:vAlign w:val="bottom"/>
          </w:tcPr>
          <w:p>
            <w:pPr>
              <w:ind w:left="40"/>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r>
        <w:trPr>
          <w:trHeight w:val="594"/>
        </w:trPr>
        <w:tc>
          <w:tcPr>
            <w:tcW w:w="1380" w:type="dxa"/>
            <w:vAlign w:val="bottom"/>
          </w:tcPr>
          <w:p>
            <w:pPr>
              <w:spacing w:after="0"/>
              <w:rPr>
                <w:sz w:val="20"/>
                <w:szCs w:val="20"/>
                <w:color w:val="auto"/>
              </w:rPr>
            </w:pPr>
            <w:r>
              <w:rPr>
                <w:rFonts w:ascii="Arial" w:cs="Arial" w:eastAsia="Arial" w:hAnsi="Arial"/>
                <w:sz w:val="16"/>
                <w:szCs w:val="16"/>
                <w:color w:val="auto"/>
              </w:rPr>
              <w:t>Date: July 9, 2020</w:t>
            </w:r>
          </w:p>
        </w:tc>
        <w:tc>
          <w:tcPr>
            <w:tcW w:w="760" w:type="dxa"/>
            <w:vAlign w:val="bottom"/>
          </w:tcPr>
          <w:p>
            <w:pPr>
              <w:ind w:left="180"/>
              <w:spacing w:after="0"/>
              <w:rPr>
                <w:sz w:val="20"/>
                <w:szCs w:val="20"/>
                <w:color w:val="auto"/>
              </w:rPr>
            </w:pPr>
            <w:r>
              <w:rPr>
                <w:rFonts w:ascii="Arial" w:cs="Arial" w:eastAsia="Arial" w:hAnsi="Arial"/>
                <w:sz w:val="16"/>
                <w:szCs w:val="16"/>
                <w:color w:val="auto"/>
              </w:rPr>
              <w:t>By:</w:t>
            </w:r>
          </w:p>
        </w:tc>
        <w:tc>
          <w:tcPr>
            <w:tcW w:w="3640" w:type="dxa"/>
            <w:vAlign w:val="bottom"/>
          </w:tcPr>
          <w:p>
            <w:pPr>
              <w:ind w:left="40"/>
              <w:spacing w:after="0"/>
              <w:rPr>
                <w:sz w:val="20"/>
                <w:szCs w:val="20"/>
                <w:color w:val="auto"/>
              </w:rPr>
            </w:pPr>
            <w:r>
              <w:rPr>
                <w:rFonts w:ascii="Arial" w:cs="Arial" w:eastAsia="Arial" w:hAnsi="Arial"/>
                <w:sz w:val="16"/>
                <w:szCs w:val="16"/>
                <w:color w:val="auto"/>
              </w:rPr>
              <w:t>/s/ Todd E. Cunfer</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760" w:type="dxa"/>
            <w:vAlign w:val="bottom"/>
            <w:vMerge w:val="restart"/>
          </w:tcPr>
          <w:p>
            <w:pPr>
              <w:ind w:left="180"/>
              <w:spacing w:after="0"/>
              <w:rPr>
                <w:sz w:val="20"/>
                <w:szCs w:val="20"/>
                <w:color w:val="auto"/>
              </w:rPr>
            </w:pPr>
            <w:r>
              <w:rPr>
                <w:rFonts w:ascii="Arial" w:cs="Arial" w:eastAsia="Arial" w:hAnsi="Arial"/>
                <w:sz w:val="16"/>
                <w:szCs w:val="16"/>
                <w:color w:val="auto"/>
              </w:rPr>
              <w:t>Name:</w:t>
            </w:r>
          </w:p>
        </w:tc>
        <w:tc>
          <w:tcPr>
            <w:tcW w:w="3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3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640" w:type="dxa"/>
            <w:vAlign w:val="bottom"/>
          </w:tcPr>
          <w:p>
            <w:pPr>
              <w:ind w:left="40"/>
              <w:spacing w:after="0"/>
              <w:rPr>
                <w:sz w:val="20"/>
                <w:szCs w:val="20"/>
                <w:color w:val="auto"/>
              </w:rPr>
            </w:pPr>
            <w:r>
              <w:rPr>
                <w:rFonts w:ascii="Arial" w:cs="Arial" w:eastAsia="Arial" w:hAnsi="Arial"/>
                <w:sz w:val="16"/>
                <w:szCs w:val="16"/>
                <w:color w:val="auto"/>
              </w:rPr>
              <w:t>Todd E. Cunfer</w:t>
            </w:r>
          </w:p>
        </w:tc>
        <w:tc>
          <w:tcPr>
            <w:tcW w:w="0" w:type="dxa"/>
            <w:vAlign w:val="bottom"/>
          </w:tcPr>
          <w:p>
            <w:pPr>
              <w:spacing w:after="0"/>
              <w:rPr>
                <w:sz w:val="1"/>
                <w:szCs w:val="1"/>
                <w:color w:val="auto"/>
              </w:rPr>
            </w:pPr>
          </w:p>
        </w:tc>
      </w:tr>
      <w:tr>
        <w:trPr>
          <w:trHeight w:val="257"/>
        </w:trPr>
        <w:tc>
          <w:tcPr>
            <w:tcW w:w="138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6"/>
                <w:szCs w:val="16"/>
                <w:color w:val="auto"/>
              </w:rPr>
              <w:t>Title:</w:t>
            </w:r>
          </w:p>
        </w:tc>
        <w:tc>
          <w:tcPr>
            <w:tcW w:w="3640" w:type="dxa"/>
            <w:vAlign w:val="bottom"/>
          </w:tcPr>
          <w:p>
            <w:pPr>
              <w:ind w:left="4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40" w:type="dxa"/>
            <w:vAlign w:val="bottom"/>
          </w:tcPr>
          <w:p>
            <w:pPr>
              <w:ind w:left="40"/>
              <w:spacing w:after="0"/>
              <w:rPr>
                <w:sz w:val="20"/>
                <w:szCs w:val="20"/>
                <w:color w:val="auto"/>
              </w:rPr>
            </w:pPr>
            <w:r>
              <w:rPr>
                <w:rFonts w:ascii="Arial" w:cs="Arial" w:eastAsia="Arial" w:hAnsi="Arial"/>
                <w:sz w:val="16"/>
                <w:szCs w:val="16"/>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04"/>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2020-07-09T11:56:18Z</dcterms:created>
  <dcterms:modified xsi:type="dcterms:W3CDTF">2020-07-09T11:56:18Z</dcterms:modified>
</cp:coreProperties>
</file>