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28, 2026</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1"/>
        <w:spacing w:after="0" w:line="245" w:lineRule="auto"/>
        <w:tabs>
          <w:tab w:leader="none" w:pos="2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18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182"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7, 2026, there were 90,489,024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FEBRUARY 28, 2026</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20</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31</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31</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35</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36</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98,468</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167,217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453,684</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39,738</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1,004,763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51,046</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78,298</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46,219</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124,561</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166,091</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49,494</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635,879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589,212</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2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104,033,175 and 103,688,071</w:t>
            </w:r>
          </w:p>
        </w:tc>
        <w:tc>
          <w:tcPr>
            <w:tcW w:w="12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February 28, 2026, and August 30, 2025, respectively</w:t>
            </w: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13,548,075 shares and 3,957,571 shares at cost at February 28, 2026, and August</w:t>
            </w:r>
          </w:p>
        </w:tc>
        <w:tc>
          <w:tcPr>
            <w:tcW w:w="1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(319,397)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(129,337)</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30, 2025, respectively</w:t>
            </w: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1,353,320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1,489,825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2,125,704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2,396,045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left="880" w:right="2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Simply Good Foods Company and Subsidiaries Consolidated Statements of Operations and Comprehensive Income (Loss) </w:t>
      </w:r>
      <w:r>
        <w:rPr>
          <w:rFonts w:ascii="Times New Roman" w:cs="Times New Roman" w:eastAsia="Times New Roman" w:hAnsi="Times New Roman"/>
          <w:sz w:val="18"/>
          <w:szCs w:val="18"/>
          <w:i w:val="1"/>
          <w:iCs w:val="1"/>
          <w:color w:val="auto"/>
        </w:rPr>
        <w:t>(Unaudited, dollars in thousands, except share and per share data)</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740"/>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310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March 1, 2025</w:t>
            </w:r>
          </w:p>
        </w:tc>
        <w:tc>
          <w:tcPr>
            <w:tcW w:w="0" w:type="dxa"/>
            <w:vAlign w:val="bottom"/>
          </w:tcPr>
          <w:p>
            <w:pPr>
              <w:spacing w:after="0"/>
              <w:rPr>
                <w:sz w:val="1"/>
                <w:szCs w:val="1"/>
                <w:color w:val="auto"/>
              </w:rPr>
            </w:pPr>
          </w:p>
        </w:tc>
      </w:tr>
      <w:tr>
        <w:trPr>
          <w:trHeight w:val="23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326,013</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666,211</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c>
          <w:tcPr>
            <w:tcW w:w="0" w:type="dxa"/>
            <w:vAlign w:val="bottom"/>
          </w:tcPr>
          <w:p>
            <w:pPr>
              <w:spacing w:after="0"/>
              <w:rPr>
                <w:sz w:val="1"/>
                <w:szCs w:val="1"/>
                <w:color w:val="auto"/>
              </w:rPr>
            </w:pPr>
          </w:p>
        </w:tc>
      </w:tr>
      <w:tr>
        <w:trPr>
          <w:trHeight w:val="253"/>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222,980</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453,278</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440,300</w:t>
            </w:r>
          </w:p>
        </w:tc>
        <w:tc>
          <w:tcPr>
            <w:tcW w:w="0" w:type="dxa"/>
            <w:vAlign w:val="bottom"/>
          </w:tcPr>
          <w:p>
            <w:pPr>
              <w:spacing w:after="0"/>
              <w:rPr>
                <w:sz w:val="1"/>
                <w:szCs w:val="1"/>
                <w:color w:val="auto"/>
              </w:rPr>
            </w:pPr>
          </w:p>
        </w:tc>
      </w:tr>
      <w:tr>
        <w:trPr>
          <w:trHeight w:val="23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212,933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260,623</w:t>
            </w: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28,167</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57,844</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68,072</w:t>
            </w:r>
          </w:p>
        </w:tc>
        <w:tc>
          <w:tcPr>
            <w:tcW w:w="0" w:type="dxa"/>
            <w:vAlign w:val="bottom"/>
          </w:tcPr>
          <w:p>
            <w:pPr>
              <w:spacing w:after="0"/>
              <w:rPr>
                <w:sz w:val="1"/>
                <w:szCs w:val="1"/>
                <w:color w:val="auto"/>
              </w:rPr>
            </w:pPr>
          </w:p>
        </w:tc>
      </w:tr>
      <w:tr>
        <w:trPr>
          <w:trHeight w:val="25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0" w:type="dxa"/>
            <w:vAlign w:val="bottom"/>
          </w:tcPr>
          <w:p>
            <w:pPr>
              <w:spacing w:after="0"/>
              <w:rPr>
                <w:sz w:val="1"/>
                <w:szCs w:val="1"/>
                <w:color w:val="auto"/>
              </w:rPr>
            </w:pPr>
          </w:p>
        </w:tc>
      </w:tr>
      <w:tr>
        <w:trPr>
          <w:trHeight w:val="253"/>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0" w:type="dxa"/>
            <w:vAlign w:val="bottom"/>
          </w:tcPr>
          <w:p>
            <w:pPr>
              <w:spacing w:after="0"/>
              <w:rPr>
                <w:sz w:val="1"/>
                <w:szCs w:val="1"/>
                <w:color w:val="auto"/>
              </w:rPr>
            </w:pPr>
          </w:p>
        </w:tc>
      </w:tr>
      <w:tr>
        <w:trPr>
          <w:trHeight w:val="26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53"/>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316,351</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75,416</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388,667</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151,277</w:t>
            </w: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(213,318)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(175,734)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109,346</w:t>
            </w: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60"/>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0" w:type="dxa"/>
            <w:vAlign w:val="bottom"/>
          </w:tcPr>
          <w:p>
            <w:pPr>
              <w:spacing w:after="0"/>
              <w:rPr>
                <w:sz w:val="1"/>
                <w:szCs w:val="1"/>
                <w:color w:val="auto"/>
              </w:rPr>
            </w:pPr>
          </w:p>
        </w:tc>
      </w:tr>
      <w:tr>
        <w:trPr>
          <w:trHeight w:val="253"/>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0" w:type="dxa"/>
            <w:vAlign w:val="bottom"/>
          </w:tcPr>
          <w:p>
            <w:pPr>
              <w:spacing w:after="0"/>
              <w:rPr>
                <w:sz w:val="1"/>
                <w:szCs w:val="1"/>
                <w:color w:val="auto"/>
              </w:rPr>
            </w:pPr>
          </w:p>
        </w:tc>
      </w:tr>
      <w:tr>
        <w:trPr>
          <w:trHeight w:val="259"/>
        </w:trPr>
        <w:tc>
          <w:tcPr>
            <w:tcW w:w="3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(184,205)</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(58,323)</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0" w:type="dxa"/>
            <w:vAlign w:val="bottom"/>
          </w:tcPr>
          <w:p>
            <w:pPr>
              <w:spacing w:after="0"/>
              <w:rPr>
                <w:sz w:val="1"/>
                <w:szCs w:val="1"/>
                <w:color w:val="auto"/>
              </w:rPr>
            </w:pPr>
          </w:p>
        </w:tc>
      </w:tr>
      <w:tr>
        <w:trPr>
          <w:trHeight w:val="260"/>
        </w:trPr>
        <w:tc>
          <w:tcPr>
            <w:tcW w:w="3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 net of</w:t>
            </w:r>
          </w:p>
        </w:tc>
        <w:tc>
          <w:tcPr>
            <w:tcW w:w="1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213"/>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(158,631)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(133,584)</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74,056</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earnings per share from net (loss) income:</w:t>
            </w: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53"/>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4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6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95,546,361</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100,724,155</w:t>
            </w:r>
          </w:p>
        </w:tc>
        <w:tc>
          <w:tcPr>
            <w:tcW w:w="0" w:type="dxa"/>
            <w:vAlign w:val="bottom"/>
          </w:tcPr>
          <w:p>
            <w:pPr>
              <w:spacing w:after="0"/>
              <w:rPr>
                <w:sz w:val="1"/>
                <w:szCs w:val="1"/>
                <w:color w:val="auto"/>
              </w:rPr>
            </w:pPr>
          </w:p>
        </w:tc>
      </w:tr>
      <w:tr>
        <w:trPr>
          <w:trHeight w:val="25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101,821,229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95,546,361</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101,674,934</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20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March 1, 2025</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74,869</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10,135</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951</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8,792</w:t>
            </w:r>
          </w:p>
        </w:tc>
      </w:tr>
      <w:tr>
        <w:trPr>
          <w:trHeight w:val="246"/>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impairment</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Estimated credit losses</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6,440</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3,369</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41,744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(7,028)</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(22,445)</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16,566</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(19,470)</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58,194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63,267</w:t>
            </w:r>
          </w:p>
        </w:tc>
      </w:tr>
      <w:tr>
        <w:trPr>
          <w:trHeight w:val="199"/>
        </w:trPr>
        <w:tc>
          <w:tcPr>
            <w:tcW w:w="6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1,713</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10,136</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(92,386)</w:t>
            </w:r>
          </w:p>
        </w:tc>
      </w:tr>
      <w:tr>
        <w:trPr>
          <w:trHeight w:val="199"/>
        </w:trPr>
        <w:tc>
          <w:tcPr>
            <w:tcW w:w="6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(29,119)</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98,468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132,530</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107,444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103,682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20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9,781</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13,454</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19,122</w:t>
            </w:r>
          </w:p>
        </w:tc>
      </w:tr>
      <w:tr>
        <w:trPr>
          <w:trHeight w:val="26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gridSpan w:val="8"/>
            <w:vMerge w:val="restart"/>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16"/>
                <w:szCs w:val="16"/>
                <w:color w:val="auto"/>
              </w:rPr>
            </w:pPr>
          </w:p>
        </w:tc>
        <w:tc>
          <w:tcPr>
            <w:tcW w:w="1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Additional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Accumulated 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10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gridSpan w:val="2"/>
            <w:vMerge w:val="restart"/>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gridSpan w:val="2"/>
            <w:vMerge w:val="restart"/>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Capital</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Loss</w:t>
            </w:r>
          </w:p>
        </w:tc>
        <w:tc>
          <w:tcPr>
            <w:tcW w:w="14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gridSpan w:val="2"/>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gridSpan w:val="2"/>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30,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103,688,071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3,957,571</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(129,337)</w:t>
            </w:r>
          </w:p>
        </w:tc>
        <w:tc>
          <w:tcPr>
            <w:tcW w:w="20" w:type="dxa"/>
            <w:vAlign w:val="bottom"/>
            <w:shd w:val="clear" w:color="auto" w:fill="CCEEFF"/>
          </w:tcPr>
          <w:p>
            <w:pPr>
              <w:spacing w:after="0"/>
              <w:rPr>
                <w:sz w:val="12"/>
                <w:szCs w:val="12"/>
                <w:color w:val="auto"/>
              </w:rPr>
            </w:pPr>
          </w:p>
        </w:tc>
        <w:tc>
          <w:tcPr>
            <w:tcW w:w="140" w:type="dxa"/>
            <w:vAlign w:val="bottom"/>
            <w:gridSpan w:val="2"/>
            <w:vMerge w:val="restart"/>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1,346,687</w:t>
            </w: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590,879</w:t>
            </w:r>
          </w:p>
        </w:tc>
        <w:tc>
          <w:tcPr>
            <w:tcW w:w="160" w:type="dxa"/>
            <w:vAlign w:val="bottom"/>
            <w:gridSpan w:val="2"/>
            <w:vMerge w:val="restart"/>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1,806,833</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vMerge w:val="continue"/>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25,269</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40" w:type="dxa"/>
            <w:vAlign w:val="bottom"/>
          </w:tcPr>
          <w:p>
            <w:pPr>
              <w:spacing w:after="0"/>
              <w:rPr>
                <w:sz w:val="14"/>
                <w:szCs w:val="14"/>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4,983,514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(100,689)</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164,184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103,940,255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8,941,085</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(230,026)</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1,349,610</w:t>
            </w:r>
          </w:p>
        </w:tc>
        <w:tc>
          <w:tcPr>
            <w:tcW w:w="20" w:type="dxa"/>
            <w:vAlign w:val="bottom"/>
          </w:tcPr>
          <w:p>
            <w:pPr>
              <w:spacing w:after="0"/>
              <w:rPr>
                <w:sz w:val="12"/>
                <w:szCs w:val="12"/>
                <w:color w:val="auto"/>
              </w:rPr>
            </w:pPr>
          </w:p>
        </w:tc>
        <w:tc>
          <w:tcPr>
            <w:tcW w:w="3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616,148</w:t>
            </w: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1,734,116</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29, 2025</w:t>
            </w: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w:t>
            </w: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40" w:type="dxa"/>
            <w:vAlign w:val="bottom"/>
          </w:tcPr>
          <w:p>
            <w:pPr>
              <w:spacing w:after="0"/>
              <w:rPr>
                <w:sz w:val="14"/>
                <w:szCs w:val="14"/>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40" w:type="dxa"/>
            <w:vAlign w:val="bottom"/>
          </w:tcPr>
          <w:p>
            <w:pPr>
              <w:spacing w:after="0"/>
              <w:rPr>
                <w:sz w:val="14"/>
                <w:szCs w:val="14"/>
                <w:color w:val="auto"/>
              </w:rPr>
            </w:pPr>
          </w:p>
        </w:tc>
        <w:tc>
          <w:tcPr>
            <w:tcW w:w="10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4,606,990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(89,371)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(89,371)</w:t>
            </w:r>
          </w:p>
        </w:tc>
        <w:tc>
          <w:tcPr>
            <w:tcW w:w="0" w:type="dxa"/>
            <w:vAlign w:val="bottom"/>
          </w:tcPr>
          <w:p>
            <w:pPr>
              <w:spacing w:after="0"/>
              <w:rPr>
                <w:sz w:val="1"/>
                <w:szCs w:val="1"/>
                <w:color w:val="auto"/>
              </w:rPr>
            </w:pPr>
          </w:p>
        </w:tc>
      </w:tr>
      <w:tr>
        <w:trPr>
          <w:trHeight w:val="213"/>
        </w:trPr>
        <w:tc>
          <w:tcPr>
            <w:tcW w:w="1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February</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104,033,175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13,548,075</w:t>
            </w:r>
          </w:p>
        </w:tc>
        <w:tc>
          <w:tcPr>
            <w:tcW w:w="12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(319,397)</w:t>
            </w:r>
          </w:p>
        </w:tc>
        <w:tc>
          <w:tcPr>
            <w:tcW w:w="20" w:type="dxa"/>
            <w:vAlign w:val="bottom"/>
          </w:tcPr>
          <w:p>
            <w:pPr>
              <w:spacing w:after="0"/>
              <w:rPr>
                <w:sz w:val="12"/>
                <w:szCs w:val="12"/>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1,353,320</w:t>
            </w:r>
          </w:p>
        </w:tc>
        <w:tc>
          <w:tcPr>
            <w:tcW w:w="20" w:type="dxa"/>
            <w:vAlign w:val="bottom"/>
          </w:tcPr>
          <w:p>
            <w:pPr>
              <w:spacing w:after="0"/>
              <w:rPr>
                <w:sz w:val="12"/>
                <w:szCs w:val="12"/>
                <w:color w:val="auto"/>
              </w:rPr>
            </w:pPr>
          </w:p>
        </w:tc>
        <w:tc>
          <w:tcPr>
            <w:tcW w:w="3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456,450</w:t>
            </w: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1,489,825</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28, 2026</w:t>
            </w:r>
          </w:p>
        </w:tc>
        <w:tc>
          <w:tcPr>
            <w:tcW w:w="9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5"/>
        </w:trPr>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gridSpan w:val="8"/>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24"/>
                <w:szCs w:val="24"/>
                <w:color w:val="auto"/>
              </w:rPr>
            </w:pPr>
          </w:p>
        </w:tc>
        <w:tc>
          <w:tcPr>
            <w:tcW w:w="1720" w:type="dxa"/>
            <w:vAlign w:val="bottom"/>
            <w:gridSpan w:val="5"/>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Additional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Accumulated Other</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restart"/>
          </w:tcPr>
          <w:p>
            <w:pPr>
              <w:jc w:val="center"/>
              <w:ind w:right="18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vMerge w:val="restart"/>
          </w:tcPr>
          <w:p>
            <w:pPr>
              <w:spacing w:after="0"/>
              <w:rPr>
                <w:sz w:val="9"/>
                <w:szCs w:val="9"/>
                <w:color w:val="auto"/>
              </w:rPr>
            </w:pPr>
          </w:p>
        </w:tc>
        <w:tc>
          <w:tcPr>
            <w:tcW w:w="8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Capital</w:t>
            </w: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gridSpan w:val="2"/>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CCEEFF"/>
            </w:tcBorders>
            <w:vMerge w:val="continue"/>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800" w:type="dxa"/>
            <w:vAlign w:val="bottom"/>
            <w:tcBorders>
              <w:bottom w:val="single" w:sz="8" w:color="auto"/>
            </w:tcBorders>
            <w:gridSpan w:val="2"/>
            <w:vMerge w:val="continue"/>
          </w:tcPr>
          <w:p>
            <w:pPr>
              <w:spacing w:after="0"/>
              <w:rPr>
                <w:sz w:val="8"/>
                <w:szCs w:val="8"/>
                <w:color w:val="auto"/>
              </w:rPr>
            </w:pPr>
          </w:p>
        </w:tc>
        <w:tc>
          <w:tcPr>
            <w:tcW w:w="20" w:type="dxa"/>
            <w:vAlign w:val="bottom"/>
            <w:tcBorders>
              <w:bottom w:val="single" w:sz="8" w:color="CCEEFF"/>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August 31,</w:t>
            </w:r>
          </w:p>
        </w:tc>
        <w:tc>
          <w:tcPr>
            <w:tcW w:w="40" w:type="dxa"/>
            <w:vAlign w:val="bottom"/>
            <w:vMerge w:val="restart"/>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102,515,315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12"/>
                <w:szCs w:val="12"/>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40" w:type="dxa"/>
            <w:vAlign w:val="bottom"/>
          </w:tcPr>
          <w:p>
            <w:pPr>
              <w:spacing w:after="0"/>
              <w:rPr>
                <w:sz w:val="14"/>
                <w:szCs w:val="14"/>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3"/>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4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713,751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November</w:t>
            </w:r>
          </w:p>
        </w:tc>
        <w:tc>
          <w:tcPr>
            <w:tcW w:w="40" w:type="dxa"/>
            <w:vAlign w:val="bottom"/>
            <w:vMerge w:val="restart"/>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103,393,159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vMerge w:val="restart"/>
            <w:shd w:val="clear" w:color="auto" w:fill="CCEEFF"/>
          </w:tcPr>
          <w:p>
            <w:pPr>
              <w:spacing w:after="0"/>
              <w:rPr>
                <w:sz w:val="12"/>
                <w:szCs w:val="12"/>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1,331,000</w:t>
            </w: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12"/>
                <w:szCs w:val="12"/>
                <w:color w:val="auto"/>
              </w:rPr>
            </w:pPr>
          </w:p>
        </w:tc>
        <w:tc>
          <w:tcPr>
            <w:tcW w:w="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525,387</w:t>
            </w:r>
          </w:p>
        </w:tc>
        <w:tc>
          <w:tcPr>
            <w:tcW w:w="2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1,776,544</w:t>
            </w:r>
          </w:p>
        </w:tc>
        <w:tc>
          <w:tcPr>
            <w:tcW w:w="0" w:type="dxa"/>
            <w:vAlign w:val="bottom"/>
          </w:tcPr>
          <w:p>
            <w:pPr>
              <w:spacing w:after="0"/>
              <w:rPr>
                <w:sz w:val="1"/>
                <w:szCs w:val="1"/>
                <w:color w:val="auto"/>
              </w:rPr>
            </w:pPr>
          </w:p>
        </w:tc>
      </w:tr>
      <w:tr>
        <w:trPr>
          <w:trHeight w:val="209"/>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30, 2024</w:t>
            </w: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40" w:type="dxa"/>
            <w:vAlign w:val="bottom"/>
            <w:shd w:val="clear" w:color="auto" w:fill="CCEEFF"/>
          </w:tcPr>
          <w:p>
            <w:pPr>
              <w:spacing w:after="0"/>
              <w:rPr>
                <w:sz w:val="14"/>
                <w:szCs w:val="14"/>
                <w:color w:val="auto"/>
              </w:rPr>
            </w:pPr>
          </w:p>
        </w:tc>
        <w:tc>
          <w:tcPr>
            <w:tcW w:w="10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40" w:type="dxa"/>
            <w:vAlign w:val="bottom"/>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40" w:type="dxa"/>
            <w:vAlign w:val="bottom"/>
          </w:tcPr>
          <w:p>
            <w:pPr>
              <w:spacing w:after="0"/>
              <w:rPr>
                <w:sz w:val="14"/>
                <w:szCs w:val="14"/>
                <w:color w:val="auto"/>
              </w:rPr>
            </w:pPr>
          </w:p>
        </w:tc>
        <w:tc>
          <w:tcPr>
            <w:tcW w:w="10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3"/>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4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0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4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March 1,</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103,415,302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1,335,892</w:t>
            </w:r>
          </w:p>
        </w:tc>
        <w:tc>
          <w:tcPr>
            <w:tcW w:w="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562,134</w:t>
            </w:r>
          </w:p>
        </w:tc>
        <w:tc>
          <w:tcPr>
            <w:tcW w:w="28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1,817,757</w:t>
            </w:r>
          </w:p>
        </w:tc>
        <w:tc>
          <w:tcPr>
            <w:tcW w:w="0" w:type="dxa"/>
            <w:vAlign w:val="bottom"/>
          </w:tcPr>
          <w:p>
            <w:pPr>
              <w:spacing w:after="0"/>
              <w:rPr>
                <w:sz w:val="1"/>
                <w:szCs w:val="1"/>
                <w:color w:val="auto"/>
              </w:rPr>
            </w:pPr>
          </w:p>
        </w:tc>
      </w:tr>
      <w:tr>
        <w:trPr>
          <w:trHeight w:val="209"/>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9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80" w:type="dxa"/>
            <w:vAlign w:val="bottom"/>
            <w:gridSpan w:val="3"/>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800"/>
          </w:cols>
          <w:pgMar w:left="320" w:top="121" w:right="779" w:bottom="0" w:gutter="0" w:footer="0" w:header="0"/>
        </w:sectPr>
      </w:pP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30, 2025, included in the Company’s Annual Report on Form 10-K (“Annual Report”) filed with the SEC on October 28,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w:t>
      </w: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retrospective application is permitted. The Company is currently evaluating the provisions of the amendments and the effect on its future consolidated financial statements.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spacing w:after="0" w:line="2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 Use Software (“ASU 2025-06”), which will improve disclosures surrounding internal-use software and the timing of capitalization when companies use the incremental and iterative development method. The amendments are effective for fiscal years beginning after December 15, 2027, and for interim periods within those fiscal years. Early adoption is permitted. The amendments should be applied through (1) a prospective transition approach, (2) a retrospective transition approach, or (3) a modified transition approach that is based on the status of the project and whether software costs were capitalized before the date of adoption. The Company is currently evaluating the provisions of the amendments and the effect on its future consolidated financial statements.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(“ASU 2025-11”), which improves the navigability of required interim disclosures, clarifies interim disclosure requirements, and requires entities to disclose events since the end of the last annual reporting period that have had a material effect on the entity. The amendments are effective for interim periods within annual reporting periods beginning after December 15, 2027. Early adoption is permitted. The amendments can be applied either (1) prospectively, or (2) retrospectively to any or all periods presented in the financial statements. The Company is currently evaluating the provisions of the amendments and the effect on its future consolidated financial statements.</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169,987</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216,818</w:t>
            </w:r>
          </w:p>
        </w:tc>
      </w:tr>
      <w:tr>
        <w:trPr>
          <w:trHeight w:val="273"/>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210,771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402,708</w:t>
            </w:r>
          </w:p>
        </w:tc>
      </w:tr>
      <w:tr>
        <w:trPr>
          <w:trHeight w:val="267"/>
        </w:trPr>
        <w:tc>
          <w:tcPr>
            <w:tcW w:w="3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OWYN</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33,806</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59,317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66,060</w:t>
            </w:r>
          </w:p>
        </w:tc>
      </w:tr>
      <w:tr>
        <w:trPr>
          <w:trHeight w:val="253"/>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353,227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651,089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685,586</w:t>
            </w:r>
          </w:p>
        </w:tc>
      </w:tr>
      <w:tr>
        <w:trPr>
          <w:trHeight w:val="267"/>
        </w:trPr>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15,337</w:t>
            </w:r>
          </w:p>
        </w:tc>
      </w:tr>
      <w:tr>
        <w:trPr>
          <w:trHeight w:val="251"/>
        </w:trPr>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760" w:right="680" w:hanging="73"/>
        <w:spacing w:after="0" w:line="246" w:lineRule="auto"/>
        <w:tabs>
          <w:tab w:leader="none" w:pos="82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3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Charges related to credit losses on accounts receivable from transactions with external customers were immaterial and $0.1 million for the thirteen and twenty-six weeks ended February 28, 2026, respectively. Charges related to credit losses on accounts receivable from transactions with external customers were $(0.6) million and $0.1 million for the thirteen and twenty-six weeks ended March 1, 2025, respectively. As of both February 28, 2026, and August 30, 2025, the allowance for credit losses related to accounts receivable were $0.9 million.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of February 28, 2026, and August 30, 2025,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$590.0 million. As a result of the sustained decline in the Company’s share price, declines in the Company’s market capitalization, and updated future revenue projections assessed during the second quarter of fiscal year 2026, the Company identified a triggering event indicating that it was more likely than not that the fair value of the goodwill reporting unit was less than its carrying amount. The Company conducted a quantitative interim goodwill assessment as of the last day of its second quarter, February 28, 2026, utilizing a weighted combination of the discounted cash flow method under the income approach and the guideline public company method under the market approach to estimate the fair value of the equity of the Company. Based on testing, the fair value was greater than its carrying value, resulting in no impairment charges related to goodwill during the thirteen and twenty-six weeks ended February 28, 2026, or since the inception of the Company.</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February 28, 2026</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84,621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109,879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10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5,634</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1,117,213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112,450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1,004,763</w:t>
            </w:r>
          </w:p>
        </w:tc>
        <w:tc>
          <w:tcPr>
            <w:tcW w:w="0" w:type="dxa"/>
            <w:vAlign w:val="bottom"/>
          </w:tcPr>
          <w:p>
            <w:pPr>
              <w:spacing w:after="0"/>
              <w:rPr>
                <w:sz w:val="1"/>
                <w:szCs w:val="1"/>
                <w:color w:val="auto"/>
              </w:rPr>
            </w:pPr>
          </w:p>
        </w:tc>
      </w:tr>
      <w:tr>
        <w:trPr>
          <w:trHeight w:val="23"/>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3"/>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30, 2025</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78,138</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116,362</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10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14,319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5 years</w:t>
            </w:r>
          </w:p>
        </w:tc>
        <w:tc>
          <w:tcPr>
            <w:tcW w:w="1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5,153</w:t>
            </w:r>
          </w:p>
        </w:tc>
        <w:tc>
          <w:tcPr>
            <w:tcW w:w="1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1,366,213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104,610</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1,261,603</w:t>
            </w:r>
          </w:p>
        </w:tc>
        <w:tc>
          <w:tcPr>
            <w:tcW w:w="0" w:type="dxa"/>
            <w:vAlign w:val="bottom"/>
          </w:tcPr>
          <w:p>
            <w:pPr>
              <w:spacing w:after="0"/>
              <w:rPr>
                <w:sz w:val="1"/>
                <w:szCs w:val="1"/>
                <w:color w:val="auto"/>
              </w:rPr>
            </w:pPr>
          </w:p>
        </w:tc>
      </w:tr>
      <w:tr>
        <w:trPr>
          <w:trHeight w:val="24"/>
        </w:trPr>
        <w:tc>
          <w:tcPr>
            <w:tcW w:w="3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twenty-six weeks ended February 28, 2026, were primarily related to the impairment of both the OWYN and Atkins brands and trademarks indefinite-lived intangible assets, and recurring amortization expense. Amortization expense related to intangible assets was $3.9 million and $7.8 million for the thirteen and twenty-six weeks ended February 28, 2026. Amortization expense related to intangible assets was $3.7 million and $7.5 million for the thirteen and twenty-six weeks ended March 1, 2025. There were no impairment charges related to its finite-lived intangible assets during the twenty-six weeks ended February 28, 2026, and March 1, 2025.</w:t>
      </w:r>
    </w:p>
    <w:p>
      <w:pPr>
        <w:spacing w:after="0" w:line="2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declines of net sales and future revenue projections assessed during the second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second quarter, February 28, 2026, utilizing an income approach to estimate the fair value of the intangible assets. Based on testing, the respective assets carrying values exceeded their fair values, resulting in a loss on impairment of $187.0 million for OWYN and $62.0 million for Atkins during the thirteen weeks ended February 28, 2026. There were no impairment charges related to the Company’s indefinite-lived intangible assets during the twenty-six weeks ended March 1, 2025.</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assessments are reasonable and are comparable to those that would be used by other marketplace participants. However, actual events and results could differ substantially from those utilized in our initial valuations. Significant declines of future revenue projections or changes of other assumptions used in estimating fair values versus those utilized at the time of the initial valuations could result in impairment charges that could materially affect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2026</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2031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51,528</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111,763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 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2026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0.00%, plus (x) 2.00% margin for the Term Loan or (y) 2.00% margin for the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of the 2026 Incremental Facility Amendment, the Company expensed $2.7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within the Consolidated Statements of Operations and Comprehensive Income (Loss) and capitalized $2.6 million of upfront lender fees (original issue discount) and third-party financing costs.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are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February 28, 2026, and August 30, 2025, respectively.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1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5.7% at February 28, 2026)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r>
        <w:trPr>
          <w:trHeight w:val="21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934</w:t>
            </w:r>
          </w:p>
        </w:tc>
      </w:tr>
      <w:tr>
        <w:trPr>
          <w:trHeight w:val="23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396,866</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249,066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February 28, 2026. The outstanding balance of the Term Facility is due upon its maturity in March 2030.</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2026, the Company had letters of credit in the amount of $0.8 million outstanding. These letters of credit offset against the $75.0 million availability of the Revolving Credit Facility and exist to support two of the Company’s leased buildings. No amounts were drawn against these letters of credit as of February 28, 2026.</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February 28, 2026, and August 30, 2025,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ectPr>
          <w:pgSz w:w="11900" w:h="16838" w:orient="portrait"/>
          <w:cols w:equalWidth="0" w:num="1">
            <w:col w:w="11240"/>
          </w:cols>
          <w:pgMar w:left="320" w:top="121" w:right="339" w:bottom="1440"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 fair value as of February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9"/>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(184,205)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96,653</w:t>
            </w:r>
          </w:p>
        </w:tc>
      </w:tr>
      <w:tr>
        <w:trPr>
          <w:trHeight w:val="267"/>
        </w:trPr>
        <w:tc>
          <w:tcPr>
            <w:tcW w:w="3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(49,776)</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21,784</w:t>
            </w:r>
          </w:p>
        </w:tc>
      </w:tr>
      <w:tr>
        <w:trPr>
          <w:trHeight w:val="273"/>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r>
    </w:tbl>
    <w:p>
      <w:pPr>
        <w:spacing w:after="0" w:line="3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twenty-six weeks ended February 28, 2026 was 4.5% higher than the effective tax rate for the twenty-six weeks ended March 1, 2025, which was primarily due to the absence of excess tax benefits from stock option exercises recognized in the prior-year period and a tax benefit related to the wind-down of operations at the Company’s legacy Canadian subsidiary.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generally leases office space and distribution centers in the United States through operating lease agreements. As of February 28, 2026, the Company had no finance lease agreements. Our leases have remaining lease terms up to 7 years and most include an option to renew for additional terms.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lease costs recognized in the Consolidated Statement of Operations consist of the following:</w:t>
      </w: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148"/>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6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4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February 28, 2026</w:t>
            </w:r>
          </w:p>
        </w:tc>
        <w:tc>
          <w:tcPr>
            <w:tcW w:w="14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March 1, 2025</w:t>
            </w:r>
          </w:p>
        </w:tc>
        <w:tc>
          <w:tcPr>
            <w:tcW w:w="14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February 28, 2026</w:t>
            </w:r>
          </w:p>
        </w:tc>
        <w:tc>
          <w:tcPr>
            <w:tcW w:w="140" w:type="dxa"/>
            <w:vAlign w:val="bottom"/>
          </w:tcPr>
          <w:p>
            <w:pPr>
              <w:spacing w:after="0"/>
              <w:rPr>
                <w:sz w:val="12"/>
                <w:szCs w:val="12"/>
                <w:color w:val="auto"/>
              </w:rPr>
            </w:pPr>
          </w:p>
        </w:tc>
        <w:tc>
          <w:tcPr>
            <w:tcW w:w="12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March 1, 2025</w:t>
            </w:r>
          </w:p>
        </w:tc>
        <w:tc>
          <w:tcPr>
            <w:tcW w:w="0" w:type="dxa"/>
            <w:vAlign w:val="bottom"/>
          </w:tcPr>
          <w:p>
            <w:pPr>
              <w:spacing w:after="0"/>
              <w:rPr>
                <w:sz w:val="1"/>
                <w:szCs w:val="1"/>
                <w:color w:val="auto"/>
              </w:rPr>
            </w:pPr>
          </w:p>
        </w:tc>
      </w:tr>
      <w:tr>
        <w:trPr>
          <w:trHeight w:val="213"/>
        </w:trPr>
        <w:tc>
          <w:tcPr>
            <w:tcW w:w="2000" w:type="dxa"/>
            <w:vAlign w:val="bottom"/>
            <w:gridSpan w:val="2"/>
            <w:vMerge w:val="continue"/>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Caption</w:t>
            </w:r>
          </w:p>
        </w:tc>
        <w:tc>
          <w:tcPr>
            <w:tcW w:w="14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2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2,304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40" w:type="dxa"/>
            <w:vAlign w:val="bottom"/>
          </w:tcPr>
          <w:p>
            <w:pPr>
              <w:spacing w:after="0"/>
              <w:rPr>
                <w:sz w:val="14"/>
                <w:szCs w:val="14"/>
                <w:color w:val="auto"/>
              </w:rPr>
            </w:pPr>
          </w:p>
        </w:tc>
        <w:tc>
          <w:tcPr>
            <w:tcW w:w="3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4,419</w:t>
            </w:r>
          </w:p>
        </w:tc>
        <w:tc>
          <w:tcPr>
            <w:tcW w:w="0" w:type="dxa"/>
            <w:vAlign w:val="bottom"/>
          </w:tcPr>
          <w:p>
            <w:pPr>
              <w:spacing w:after="0"/>
              <w:rPr>
                <w:sz w:val="1"/>
                <w:szCs w:val="1"/>
                <w:color w:val="auto"/>
              </w:rPr>
            </w:pPr>
          </w:p>
        </w:tc>
      </w:tr>
      <w:tr>
        <w:trPr>
          <w:trHeight w:val="214"/>
        </w:trPr>
        <w:tc>
          <w:tcPr>
            <w:tcW w:w="2000" w:type="dxa"/>
            <w:vAlign w:val="bottom"/>
            <w:gridSpan w:val="2"/>
            <w:vMerge w:val="continue"/>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3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2,058</w:t>
            </w:r>
          </w:p>
        </w:tc>
        <w:tc>
          <w:tcPr>
            <w:tcW w:w="0" w:type="dxa"/>
            <w:vAlign w:val="bottom"/>
          </w:tcPr>
          <w:p>
            <w:pPr>
              <w:spacing w:after="0"/>
              <w:rPr>
                <w:sz w:val="1"/>
                <w:szCs w:val="1"/>
                <w:color w:val="auto"/>
              </w:rPr>
            </w:pPr>
          </w:p>
        </w:tc>
      </w:tr>
      <w:tr>
        <w:trPr>
          <w:trHeight w:val="216"/>
        </w:trPr>
        <w:tc>
          <w:tcPr>
            <w:tcW w:w="2000" w:type="dxa"/>
            <w:vAlign w:val="bottom"/>
            <w:gridSpan w:val="2"/>
            <w:vMerge w:val="continue"/>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operating lease</w:t>
            </w: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6,477</w:t>
            </w:r>
          </w:p>
        </w:tc>
        <w:tc>
          <w:tcPr>
            <w:tcW w:w="0" w:type="dxa"/>
            <w:vAlign w:val="bottom"/>
          </w:tcPr>
          <w:p>
            <w:pPr>
              <w:spacing w:after="0"/>
              <w:rPr>
                <w:sz w:val="1"/>
                <w:szCs w:val="1"/>
                <w:color w:val="auto"/>
              </w:rPr>
            </w:pPr>
          </w:p>
        </w:tc>
      </w:tr>
      <w:tr>
        <w:trPr>
          <w:trHeight w:val="213"/>
        </w:trPr>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6,477</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80" w:hanging="140"/>
        <w:spacing w:after="0"/>
        <w:tabs>
          <w:tab w:leader="none" w:pos="78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Variable lease cost primarily consists of common area maintenance, such as cleaning and repairs.</w:t>
      </w: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operating are as follows:</w:t>
      </w:r>
    </w:p>
    <w:p>
      <w:pPr>
        <w:spacing w:after="0" w:line="336"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August 30, 2025</w:t>
            </w:r>
          </w:p>
        </w:tc>
        <w:tc>
          <w:tcPr>
            <w:tcW w:w="0" w:type="dxa"/>
            <w:vAlign w:val="bottom"/>
          </w:tcPr>
          <w:p>
            <w:pPr>
              <w:spacing w:after="0"/>
              <w:rPr>
                <w:sz w:val="1"/>
                <w:szCs w:val="1"/>
                <w:color w:val="auto"/>
              </w:rPr>
            </w:pPr>
          </w:p>
        </w:tc>
      </w:tr>
      <w:tr>
        <w:trPr>
          <w:trHeight w:val="25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41,140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44,118</w:t>
            </w: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44,118</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0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i w:val="1"/>
                <w:iCs w:val="1"/>
                <w:color w:val="auto"/>
              </w:rPr>
              <w:t>Accrued expenses and other current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7,474</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5,867</w:t>
            </w:r>
          </w:p>
        </w:tc>
        <w:tc>
          <w:tcPr>
            <w:tcW w:w="0" w:type="dxa"/>
            <w:vAlign w:val="bottom"/>
          </w:tcPr>
          <w:p>
            <w:pPr>
              <w:spacing w:after="0"/>
              <w:rPr>
                <w:sz w:val="1"/>
                <w:szCs w:val="1"/>
                <w:color w:val="auto"/>
              </w:rPr>
            </w:pPr>
          </w:p>
        </w:tc>
      </w:tr>
      <w:tr>
        <w:trPr>
          <w:trHeight w:val="214"/>
        </w:trPr>
        <w:tc>
          <w:tcPr>
            <w:tcW w:w="2700" w:type="dxa"/>
            <w:vAlign w:val="bottom"/>
            <w:gridSpan w:val="2"/>
            <w:vMerge w:val="continue"/>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liabilities</w:t>
            </w:r>
          </w:p>
        </w:tc>
        <w:tc>
          <w:tcPr>
            <w:tcW w:w="1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2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45,506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49,494</w:t>
            </w:r>
          </w:p>
        </w:tc>
        <w:tc>
          <w:tcPr>
            <w:tcW w:w="0" w:type="dxa"/>
            <w:vAlign w:val="bottom"/>
          </w:tcPr>
          <w:p>
            <w:pPr>
              <w:spacing w:after="0"/>
              <w:rPr>
                <w:sz w:val="1"/>
                <w:szCs w:val="1"/>
                <w:color w:val="auto"/>
              </w:rPr>
            </w:pPr>
          </w:p>
        </w:tc>
      </w:tr>
      <w:tr>
        <w:trPr>
          <w:trHeight w:val="251"/>
        </w:trPr>
        <w:tc>
          <w:tcPr>
            <w:tcW w:w="27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55,361</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maturities of lease liabilities as of February 28, 2026, were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5,037</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10,927</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10,388</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10,438</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10,549</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16,146</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63,485</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(10,505)</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52,980</w:t>
            </w:r>
          </w:p>
        </w:tc>
      </w:tr>
      <w:tr>
        <w:trPr>
          <w:trHeight w:val="21"/>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February 28, 2026</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30, 2025</w:t>
            </w:r>
          </w:p>
        </w:tc>
      </w:tr>
      <w:tr>
        <w:trPr>
          <w:trHeight w:val="25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7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6.0 %</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and other information related to operating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r>
      <w:tr>
        <w:trPr>
          <w:trHeight w:val="212"/>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1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5,314</w:t>
            </w:r>
          </w:p>
        </w:tc>
        <w:tc>
          <w:tcPr>
            <w:tcW w:w="14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February 28, 2026, the Company will be required to make payments of $0.1 million over the next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 stock repurchase program in November 2018. On January 6, 2026, the Company announced that its Board of Directors approved a $200.0 million repurchase authorization under its stock repurchase program (the “Current Authorization”).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thirteen weeks ended February 28, 2026, the Company repurchased 4,606,990 shares of common stock at an average price of $19.21 per share, inclusive of commissions and exclusive of accrued excise tax. During the twenty-six weeks ended February 28, 2026, the Company repurchased 9,590,504 shares of common stock at an average price of $19.62 per share, inclusive of commissions and exclusive of accrued excise tax. The U.S. Inflation Reduction Act of 2022 requires a 1% excise tax on the net amount of share repurchases. The Company did not repurchase any shares of common stock during the thirteen and twenty-six weeks ended March 1, 2025. As of February 28, 2026, approximately $182.5 million remained available under the Current Authorization.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(i) employee stock options and (ii) non-vested restricted stock units and performance stock units (collectively, the “Stock Units”).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basis of basic weighted average number of common shares issued and outstanding as the effect of including common stock equivalents outstanding would be anti-dilutive. As the Company was in a net loss position for the thirteen and twenty-six weeks ended February 28, 2026, 0.2 million and 0.3 million shares of common stock issuable upon exercise of stock options and non-vested Stock Units, respectively, were excluded from the diluted earnings per share computation.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6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 computation:</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Net (loss) income available to common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95,546,361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100,724,155</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6"/>
                <w:szCs w:val="16"/>
                <w:color w:val="auto"/>
              </w:rPr>
              <w:t>Basic (loss) earnings per share from net (loss)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2"/>
                <w:szCs w:val="12"/>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194"/>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6"/>
                <w:szCs w:val="16"/>
                <w:color w:val="auto"/>
              </w:rPr>
              <w:t>Net (loss) income available for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40" w:type="dxa"/>
            <w:vAlign w:val="bottom"/>
          </w:tcPr>
          <w:p>
            <w:pPr>
              <w:spacing w:after="0"/>
              <w:rPr>
                <w:sz w:val="14"/>
                <w:szCs w:val="14"/>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20" w:type="dxa"/>
            <w:vAlign w:val="bottom"/>
          </w:tcPr>
          <w:p>
            <w:pPr>
              <w:spacing w:after="0"/>
              <w:rPr>
                <w:sz w:val="14"/>
                <w:szCs w:val="14"/>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0" w:type="dxa"/>
            <w:vAlign w:val="bottom"/>
          </w:tcPr>
          <w:p>
            <w:pPr>
              <w:spacing w:after="0"/>
              <w:rPr>
                <w:sz w:val="1"/>
                <w:szCs w:val="1"/>
                <w:color w:val="auto"/>
              </w:rPr>
            </w:pPr>
          </w:p>
        </w:tc>
      </w:tr>
      <w:tr>
        <w:trPr>
          <w:trHeight w:val="213"/>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stockholders</w:t>
            </w:r>
          </w:p>
        </w:tc>
        <w:tc>
          <w:tcPr>
            <w:tcW w:w="1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(loss) earnings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0" w:type="dxa"/>
            <w:vAlign w:val="bottom"/>
          </w:tcPr>
          <w:p>
            <w:pPr>
              <w:spacing w:after="0"/>
              <w:rPr>
                <w:sz w:val="1"/>
                <w:szCs w:val="1"/>
                <w:color w:val="auto"/>
              </w:rPr>
            </w:pPr>
          </w:p>
        </w:tc>
      </w:tr>
      <w:tr>
        <w:trPr>
          <w:trHeight w:val="24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95,546,361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100,724,155</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777,751</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137,144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173,028</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92,343,383</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101,821,229</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95,546,361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101,674,934</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6"/>
                <w:szCs w:val="16"/>
                <w:color w:val="auto"/>
              </w:rPr>
              <w:t>Diluted (loss) earnings per share from net (loss)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 periods ended February 28, 2026, excluded 2.4 million and 1.7 million shares of common stock issuable upon exercise of stock options and non-vested Stock Units, respectively, that would have been anti-dilutive. Diluted earnings per share calculations for the thirteen and twenty-six week periods ended March 1, 2025, excluded 0.4 million and 0.7 million shares of common stock issuable upon exercise of stock options and non-vested Stock Units, respectively, that would have been anti-dilutive.</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recipient’s other compensation is reported.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$4.5 million and $4.9 million in the thirteen weeks ended February 28, 2026, and March 1, 2025, respectively, and $7.6 million and $8.8 million during the twenty-six weeks ended February 28, 2026, and March 1, 2025, respectively. The thirteen and twenty-six weeks ended February 28, 2026 are inclusive of the recognition of $1.0 million of stock-based compensation expense in connection with the separation of the Company’s prior President and Chief Executive Officer in January 2026.</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2026, the Company’s stockholders approved The Simply Good Foods Company Incentive Plan (the “Incentive Plan”), which replaced the 2017 Omnibus Incentive Plan (the “Prior Plan”). The purpose of the Incentive Plan is to assist the Company to attract, retain, and motivate officers and employees of, consultants to, and non-employee directors providing services to, the Company and to promote the success of the Company’s business by providing these participating individuals with a proprietary interest in the Company’s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President and Chief Executive Officer Stock Inducement Award</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hiring of the Company’s President and Chief Executive Officer on January 19, 2026, the Board of Directors granted a stock option exercisable for the purchase of 2,000,000 shares of the Company’s common stock at an exercise price of $20.93 per share (the “CEO Stock Option Inducement Award”). This stock option is considered an inducement grant pursuant to Nasdaq Listing Rule 5635(c)(4) whereby the underlying shares were authorized outside of the Incentive Plan and the Prior Plan in connection with the commencement of the new President and Chief Executive Officer’s employment. The CEO Stock Option Inducement Grant has a term that expires on January 19, 2034, and vests in three substantially equal installments on the anniversary of the grant date beginning January 19, 2027. The fair value of the Inducement Grant was $7.38 per share and was computed using the Black-Scholes Option Pricing Model.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inclusive of the CEO Stock Option Inducement Award, for the twenty-six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w:t>
      </w:r>
    </w:p>
    <w:p>
      <w:pPr>
        <w:spacing w:after="0" w:line="14"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1,476,243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2,059,311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20.93</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(8,632)</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32.99</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28,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3,438,922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23.06</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February 28, 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3,438,922</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23.06</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February 28,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1,339,698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25.96</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2026, the Company had $14.9 million of total unrecognized compensation cost related to stock options that will be recognized over a weighted average period of 1.9 years. During the twenty-six weeks ended February 28, 2026, and March 1, 2025, the Company received $1.1 million and $10.1 million in cash from stock option exercises,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twenty-six weeks ended February 28, 2026:</w:t>
      </w:r>
    </w:p>
    <w:p>
      <w:pPr>
        <w:spacing w:after="0" w:line="73"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30,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639,015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557,554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(301,786)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(87,211)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31.56</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28, 2026</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807,572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the Company had $15.7 million of total unrecognized compensation cost related to restricted stock units that will be recognized over a weighted average period of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February 28, 2026, the Board of Directors granted performance stock units under the Company’s Incentive Plan and Prior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twenty-six weeks ended February 28, 2026:</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w:t>
            </w:r>
          </w:p>
        </w:tc>
        <w:tc>
          <w:tcPr>
            <w:tcW w:w="0" w:type="dxa"/>
            <w:vAlign w:val="bottom"/>
          </w:tcPr>
          <w:p>
            <w:pPr>
              <w:spacing w:after="0"/>
              <w:rPr>
                <w:sz w:val="1"/>
                <w:szCs w:val="1"/>
                <w:color w:val="auto"/>
              </w:rPr>
            </w:pPr>
          </w:p>
        </w:tc>
      </w:tr>
      <w:tr>
        <w:trPr>
          <w:trHeight w:val="250"/>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290,348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(56,651)</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0" w:type="dxa"/>
            <w:vAlign w:val="bottom"/>
          </w:tcPr>
          <w:p>
            <w:pPr>
              <w:spacing w:after="0"/>
              <w:rPr>
                <w:sz w:val="1"/>
                <w:szCs w:val="1"/>
                <w:color w:val="auto"/>
              </w:rPr>
            </w:pPr>
          </w:p>
        </w:tc>
      </w:tr>
      <w:tr>
        <w:trPr>
          <w:trHeight w:val="267"/>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(158,294)</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28,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Twenty-Six Weeks Ended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Twenty-Six Weeks Ended</w:t>
            </w:r>
          </w:p>
        </w:tc>
      </w:tr>
      <w:tr>
        <w:trPr>
          <w:trHeight w:val="273"/>
        </w:trPr>
        <w:tc>
          <w:tcPr>
            <w:tcW w:w="3620" w:type="dxa"/>
            <w:vAlign w:val="bottom"/>
          </w:tcPr>
          <w:p>
            <w:pPr>
              <w:spacing w:after="0"/>
              <w:rPr>
                <w:sz w:val="23"/>
                <w:szCs w:val="2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28, 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29.96%</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31.38%</w:t>
            </w:r>
          </w:p>
        </w:tc>
      </w:tr>
      <w:tr>
        <w:trPr>
          <w:trHeight w:val="26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r>
      <w:tr>
        <w:trPr>
          <w:trHeight w:val="26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w:t>
            </w:r>
          </w:p>
        </w:tc>
      </w:tr>
      <w:tr>
        <w:trPr>
          <w:trHeight w:val="2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$22.22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$54.41</w:t>
            </w:r>
          </w:p>
        </w:tc>
      </w:tr>
    </w:tbl>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2026, the Company had $5.6 million of total unrecognized compensation cost related to performance stock units that will be recognized over an expected weighted average period of 2.2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SARs settle in shares of its common stock once the applicable vesting criteria have been met. The SARs outstanding as of February 28, 2026, cliff vested two years from the date of grant and must be exercised within five years from the date of grant.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SARs activity for the twenty-six weeks ended February 28, 2026:</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28, 2026</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as of February 28, 2026</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February 28, 2026</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306"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The SARs outstanding as of the twenty-six weeks ended February 28, 2026, are liability-classified; therefore, the related stock-based compensation expense is based on the vesting provisions and the fair value of the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completed its efforts to fully integrate its operations and organizational structure after the OWYN Acquisition. As of February 28, 2026, the Company determined its operations are organized into one consolidated operating segment and reportable segment, represented by the Company’s consolidated financial statements. Previously, as of March 1, 2025, the Company’s operations were organized into two operating segments, Quest and Atkins, and OWYN, which were aggregated into one reportable segment due to similar financial, economic and operating characteristics.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is the President and Chief Executive Officer (“CEO”). The CODM regularly reviews consolidated segment performance including net sales, significant expenses, net income, Adjusted EBITDA, budget to actual variance analysis, as well as other key metrics. The CODM uses net income as the measure of profitability to assess segment performance and allocate resources. The accounting policies of the segment are the same as those described in Note 2, Summary of Significant Accounting Policies.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segment net sales, significant expenses, and net income for the thirteen and twenty-six week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2026, and March 1, 2025:</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76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3"/>
        </w:trPr>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20"/>
                <w:szCs w:val="20"/>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r>
      <w:tr>
        <w:trPr>
          <w:trHeight w:val="243"/>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326,013</w:t>
            </w: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666,211</w:t>
            </w: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700,923</w:t>
            </w:r>
          </w:p>
        </w:tc>
      </w:tr>
      <w:tr>
        <w:trPr>
          <w:trHeight w:val="25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222,980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229,518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453,278</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440,300</w:t>
            </w:r>
          </w:p>
        </w:tc>
      </w:tr>
      <w:tr>
        <w:trPr>
          <w:trHeight w:val="25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54"/>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57,844</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68,072</w:t>
            </w:r>
          </w:p>
        </w:tc>
      </w:tr>
      <w:tr>
        <w:trPr>
          <w:trHeight w:val="259"/>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72,881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74,077</w:t>
            </w:r>
          </w:p>
        </w:tc>
      </w:tr>
      <w:tr>
        <w:trPr>
          <w:trHeight w:val="254"/>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8,942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8,308</w:t>
            </w:r>
          </w:p>
        </w:tc>
      </w:tr>
      <w:tr>
        <w:trPr>
          <w:trHeight w:val="259"/>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820</w:t>
            </w:r>
          </w:p>
        </w:tc>
      </w:tr>
      <w:tr>
        <w:trPr>
          <w:trHeight w:val="253"/>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Loss on impairment</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249,000</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w:t>
            </w:r>
          </w:p>
        </w:tc>
      </w:tr>
      <w:tr>
        <w:trPr>
          <w:trHeight w:val="253"/>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(58,323)</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21,784</w:t>
            </w:r>
          </w:p>
        </w:tc>
      </w:tr>
      <w:tr>
        <w:trPr>
          <w:trHeight w:val="238"/>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74,869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Restructuring and Other</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the twenty-six weeks ended February 28, 2026, the Company incurred $4.5 million of costs for restructuring activities which have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and Comprehensive Income (Loss).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to the restructuring liability during twenty-six weeks ended February 28, 2026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2520" w:type="dxa"/>
        <w:tblCellMar>
          <w:top w:w="0" w:type="dxa"/>
          <w:left w:w="0" w:type="dxa"/>
          <w:bottom w:w="0" w:type="dxa"/>
          <w:right w:w="0" w:type="dxa"/>
        </w:tblCellMar>
      </w:tblPr>
      <w:tr>
        <w:trPr>
          <w:trHeight w:val="184"/>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benefits,</w:t>
            </w:r>
          </w:p>
        </w:tc>
        <w:tc>
          <w:tcPr>
            <w:tcW w:w="240" w:type="dxa"/>
            <w:vAlign w:val="bottom"/>
          </w:tcPr>
          <w:p>
            <w:pPr>
              <w:spacing w:after="0"/>
              <w:rPr>
                <w:sz w:val="16"/>
                <w:szCs w:val="16"/>
                <w:color w:val="auto"/>
              </w:rPr>
            </w:pPr>
          </w:p>
        </w:tc>
        <w:tc>
          <w:tcPr>
            <w:tcW w:w="138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rPr>
              <w:t>Total Liability</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severance and other</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August 30,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Charges</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0" w:type="dxa"/>
            <w:vAlign w:val="bottom"/>
          </w:tcPr>
          <w:p>
            <w:pPr>
              <w:spacing w:after="0"/>
              <w:rPr>
                <w:sz w:val="1"/>
                <w:szCs w:val="1"/>
                <w:color w:val="auto"/>
              </w:rPr>
            </w:pPr>
          </w:p>
        </w:tc>
      </w:tr>
      <w:tr>
        <w:trPr>
          <w:trHeight w:val="27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0" w:type="dxa"/>
            <w:vAlign w:val="bottom"/>
          </w:tcPr>
          <w:p>
            <w:pPr>
              <w:spacing w:after="0"/>
              <w:rPr>
                <w:sz w:val="1"/>
                <w:szCs w:val="1"/>
                <w:color w:val="auto"/>
              </w:rPr>
            </w:pPr>
          </w:p>
        </w:tc>
      </w:tr>
      <w:tr>
        <w:trPr>
          <w:trHeight w:val="26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settlements or adjustments</w:t>
            </w:r>
          </w:p>
        </w:tc>
        <w:tc>
          <w:tcPr>
            <w:tcW w:w="120" w:type="dxa"/>
            <w:vAlign w:val="bottom"/>
          </w:tcPr>
          <w:p>
            <w:pPr>
              <w:spacing w:after="0"/>
              <w:rPr>
                <w:sz w:val="23"/>
                <w:szCs w:val="23"/>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February 28, 2026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announced certain future restructuring activities in conjunction with the implementation of the Company’s modified organization design and actions to streamline its operations, which will create a more efficient organization that will continue to support and build its business. These restructuring plans primarily include workforce reductions, changes in management structure, actions to streamline its operations and other cost savings initiatives. While early in the process, the Company expects to incur approximately $15.0 million, including the $4.5 million referenced above, in restructuring and other costs, which are to be paid throughout fiscal 2026 and fiscal 2027.</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restructuring activities the Company recorded incremental stock-based compensation expense of $1.0 million in connection with the separation of the Company’s prior President and Chief Executive Officer in January 2026. Refer to Note 12, Omnibus Incentive Plan, of our Notes to Unaudited Consolidated Financial Statements in this Report for additional information.</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one-time termination benefits and employee severance costs to be incurred in relation to these restructuring activities are accounted for in accordance with ASC Topic 420, Exit or Disposal Cost Obligations, and ASC Topic 712, Compensation-Nonretirement Post employment Benefits, respectively. The Company recognizes a liability and the related expense for these restructuring costs when the liability is incurred and can be measured. Restructuring accruals are based upon management estimates at the time and can change depending upon changes in facts and circumstances subsequent to the date the original liability was recorded.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changes in taxes, tariffs, duties, governmental laws and regulations, our growth, our competitive position,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30, 2025,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and this Report. The Company assumes no obligation to update any of these forward-looking statements.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headquartered in Denver, Colorado, is a consumer packaged food and beverage company with ambitious goals to raise the bar on what food can be with trusted brands and innovative nutritious snacking products. Within our portfolio of trusted brands (Quest, Atkins, and OWYN), we offer a wide variety of nutritional snacks and beverages, including high protein chips, bars, ready-to-drink (RTD) shakes, and powders, and low sugar, low carb sweets and baked goods. We are a leader of the nutritious snacking movement, poised to expand our healthy lifestyle platform through innovation-driven organic growth and external investment opportunities.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and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Simply Good Foods Company (“Simply Good Foods”) was formed in March 2017 to acquire NCP-ATK Holdings, Inc. (“Atkins”), which was completed in July 2017. As part of Simply Good Foods’ strategy to become an industry-leading snacking platform, we acquired Quest Nutrition, LLC (“Quest”) in November 2019 and we acquired Only What You Need, Inc. in June 2024. We refer to the acquisition of Quest Nutrition, LLC as the “Quest Acquisition” and the acquisition of Only What You Need, Inc. as the “OWYN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twenty-six weeks ended February 28, 2026, our results of operations were primarily driven by continued distribution-related declines for Atkins and recent velocity-related declines for OWYN, which were partially offset by Quest volume-driven growth. In recent periods, retail distribution for the Atkins brand has been under pressure. The Atkins brand has had, and continues to have, a large retail presence on-shelf, which is being reduced in the current fiscal year and could be reduced in future periods. In response, during the current fiscal year, we are taking actions to bolster the highest performing Atkins products and simultaneously working with retailers to replace lower performing Atkins products with higher performing products. In the second quarter of fiscal year 2026, OWYN experienced poor velocities, including on newly expanded distribution, which will result in distribution-related declines in the current fiscal year and could continue to be reduced in future periods. In response, the Company is taking actions to increase consumer demand to restore velocities and growth for the brand.</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gross margin was affected by the unfavorable effects of higher commodity expenses and tariffs compared to the prior</w:t>
      </w:r>
    </w:p>
    <w:p>
      <w:pPr>
        <w:sectPr>
          <w:pgSz w:w="11900" w:h="16838" w:orient="portrait"/>
          <w:cols w:equalWidth="0" w:num="1">
            <w:col w:w="11240"/>
          </w:cols>
          <w:pgMar w:left="320" w:top="121"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year, with productivity a modest offset in the quarter. Margins are expected to remain under pressure until the Company realizes the benefits expected from recently implemented pricing actions, productivity initiatives and other mitigating actions, which are expected to build as the fiscal year progresses. We continue to monitor macroeconomic trends and uncertainties such as consumer and economic uncertainty, key ingredient inflation, supply chain challenges, and the effects of tariffs, which may have adverse effects on net sales and profitability. We are continuing to evaluate these factors and our ability to potentially offset all or a portion of cost increases through pricing actions and cost savings efforts. Economic pressures on customers and consumers, including the challenges of high inflation and the effects of tariffs, may negatively affect our net sales and profitability in the future.</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ongoing conflict in Iran and geopolitical tensions in the region could lead to significant disruption of global energy supplies and increases in global energy prices, adversely affect global supply chains, heighten inflationary pressures on our input costs and supply chain, and adversely affect consumer spending patterns. We are continuing to evaluate the evolving macroeconomic environment, however at this time we do not expect these factors to result in a material negative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declines of net sales and future revenue projections assessed during the second quarter of fiscal year 2026, the Company identified a triggering event indicating that it was more likely than not that the fair value of both the OWYN and Atkins brands and trademarks indefinite-lived intangible assets were less than their respective carrying amounts. The Company conducted a quantitative assessment as of the last day of its second quarter, February 28, 2026, utilizing an income approach to estimate the fair value of the intangible assets. Based on testing, the respective assets carrying values exceeded their fair values, resulting in a loss on impairment of $187.0 million for OWYN and $62.0 million for Atkins during the thirteen weeks ended February 28, 2026. There were no impairment charges related to the Company’s indefinite-lived intangible assets during the twenty-six weeks ended March 1, 2025.</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 estimates and assumptions utilized in our impairment assessments are reasonable and are comparable to those that would be used by other marketplace participants. However, actual events and results could differ substantially from those utilized in our initial valuations. Significant declines of future revenue projections or changes of other assumptions used in estimating fair values versus those utilized at the time of the initial valuations could result in impairment charges that could materially affect the consolidated financial statements. Refer to Note 4, Goodwill and Intangibles, of our Notes to Unaudited Consolidated Financial Statements in this Report for additional information regarding the Company’s impairment assessments.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twenty-six weeks ended February 28, 2026, the Company incurred $4.5 million of costs for restructuring activities which have been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and Comprehensive Income (Loss). As of February 28, 2026, the outstanding restructuring liability was $1.1 million. Refer to Note 14, Restructuring and Other, of our Notes to Unaudited Consolidated Financial Statements in this Report for additional information regarding restructuring and other activities.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announced certain future restructuring activities in conjunction with the implementation of the Company’s modified organization design and actions to streamline its operations, which will create a more efficient organization that will continue to support and build its business. These restructuring plans primarily include workforce reductions, changes in management structure, actions to streamline its operations and other cost savings initiatives. While early in the process, the Company expects to incur approximately $15.0 million, including the $4.5 million referenced above, in restructuring and other costs, which are to be paid throughout fiscal 2026 and fiscal 2027.</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restructuring activities, the Company recorded incremental stock-based compensation expense of $1.0 million in connection with the separation of the Company’s prior President and Chief Executive Officer in January 2026. Refer to Note 12, Omnibus Incentive Plan, of our Notes to Unaudited Consolidated Financial Statements in this Report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business transaction costs. The following is a brief description of the components of operating expenses:</w:t>
      </w:r>
    </w:p>
    <w:p>
      <w:pPr>
        <w:sectPr>
          <w:pgSz w:w="11900" w:h="16838" w:orient="portrait"/>
          <w:cols w:equalWidth="0" w:num="1">
            <w:col w:w="11240"/>
          </w:cols>
          <w:pgMar w:left="320" w:top="121" w:right="3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are comprised of broker commissions, customer marketing, media and other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stock-based compensation, professional services, integration expense,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50"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impairment. </w:t>
      </w:r>
      <w:r>
        <w:rPr>
          <w:rFonts w:ascii="Times New Roman" w:cs="Times New Roman" w:eastAsia="Times New Roman" w:hAnsi="Times New Roman"/>
          <w:sz w:val="18"/>
          <w:szCs w:val="18"/>
          <w:color w:val="auto"/>
        </w:rPr>
        <w:t>Loss on impairment is comprised of impairment charges related to our brands and trademarks indefinite-lived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thirteen weeks ended February 28, 2026, our net sales decreased 9.4% to $326.0 million compared to $359.7 million for the thirteen weeks ended March 1, 2025, driven by distribution-related declines for Atkins and velocity-related declines for OWYN.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and gross profit margin decreased 460 basis points, primarily as a result of unfavorable commodity expenses and tariffs compared to the prior period. We expect to continue building on our existing capabilities and strengthening the position of our brands in the marketplace, and will continue to invest in our business and improve our operating efficiencies.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w:t>
      </w:r>
      <w:r>
        <w:rPr>
          <w:rFonts w:ascii="Times New Roman" w:cs="Times New Roman" w:eastAsia="Times New Roman" w:hAnsi="Times New Roman"/>
          <w:sz w:val="18"/>
          <w:szCs w:val="18"/>
          <w:i w:val="1"/>
          <w:iCs w:val="1"/>
          <w:color w:val="auto"/>
        </w:rPr>
        <w:t>Reconciliation of EBITDA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below for a reconciliation of EBITDA and Adjusted EBITDA to net income for each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February 28, 2026, and the Thirteen Weeks Ended March 1, 2025</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40" w:type="dxa"/>
            <w:vAlign w:val="bottom"/>
          </w:tcPr>
          <w:p>
            <w:pPr>
              <w:spacing w:after="0"/>
              <w:rPr>
                <w:sz w:val="18"/>
                <w:szCs w:val="18"/>
                <w:color w:val="auto"/>
              </w:rPr>
            </w:pPr>
          </w:p>
        </w:tc>
      </w:tr>
      <w:tr>
        <w:trPr>
          <w:trHeight w:val="24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February 28, 2026</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of Net Sales</w:t>
            </w:r>
          </w:p>
        </w:tc>
        <w:tc>
          <w:tcPr>
            <w:tcW w:w="20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March 1, 2025</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326,013</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222,980</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68.4 %</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229,518</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63.8 %</w:t>
            </w:r>
          </w:p>
        </w:tc>
      </w:tr>
      <w:tr>
        <w:trPr>
          <w:trHeight w:val="212"/>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103,033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34,875</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on impairment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316,351</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75,416</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(213,318)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54,721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13.6 %</w:t>
            </w: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(58,323)</w:t>
            </w:r>
          </w:p>
        </w:tc>
        <w:tc>
          <w:tcPr>
            <w:tcW w:w="1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4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1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10.2 %</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6"/>
        </w:trPr>
        <w:tc>
          <w:tcPr>
            <w:tcW w:w="3740" w:type="dxa"/>
            <w:vAlign w:val="bottom"/>
            <w:tcBorders>
              <w:bottom w:val="single" w:sz="8" w:color="CCEEFF"/>
            </w:tcBorders>
            <w:gridSpan w:val="2"/>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55,510</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r>
    </w:tbl>
    <w:p>
      <w:pPr>
        <w:ind w:left="720" w:right="700" w:hanging="80"/>
        <w:spacing w:after="0" w:line="228" w:lineRule="auto"/>
        <w:tabs>
          <w:tab w:leader="none" w:pos="788"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-226695</wp:posOffset>
            </wp:positionV>
            <wp:extent cx="3985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30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$326.0 million for the thirteen weeks ended February 28, 2026, compared to $359.7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1, 2025, representing a decrease of $33.6 million, or 9.4%, driven by distribution-related declines for Atkins and velocity-related declines for OWYN.</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decreased $6.5 million, or 2.8%, for the thirteen weeks ended February 28, 2026,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March 1, 2025. The cost of goods sold decrease was driven primarily by the decrease of net sales compared to the prior year period.</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$27.1 million, or 20.8%, to $103.0 million for the thirteen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March 1, 2025. Gross profit margin was 31.6% of net sales for the thirteen weeks ended February 28, 2026, a decrease of 460 basis points from 36.2% of net sales for the thirteen weeks ended March 1, 2025. The decrease in gross profit margin was primarily driven by unfavorable commodity expenses compared to the prior year period.</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$240.9 million, or 319.5%, for the thirteen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March 1, 2025,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$6.9 million, or 19.7%, for the thirteen weeks ended February 28,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March 1, 2025. The decrease was primarily related to a planned decrease in Atkins marketing spend partially offset by increases for Quest.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left="660" w:hanging="247"/>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$1.1 million, or 3.2%, for the thirteen weeks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thirteen weeks ended March 1, 2025. The decrease was primarily attributable to a decrease of $3.8 million in employee-related costs, a decrease of $1.2 million in integration expenses related to the OWYN Acquisition, and a decrease of $0.5 million in term loan transaction fees, partially offset by an increase of $4.5 million in restructuring costs primarily related to the separation of the Company’s prior President and Chief Executive Officer.</w:t>
      </w:r>
    </w:p>
    <w:p>
      <w:pPr>
        <w:spacing w:after="0" w:line="75"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$4.3 million for the thirteen weeks ended February 28, 2026, and $4.1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March 1, 2025,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zero for the thirteen weeks ended February 28, 2026, compared to $0.2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thirteen weeks ended March 1, 2025, and were comprised of expenses related to the OWYN Acquisition.</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Loss on impairment. </w:t>
      </w:r>
      <w:r>
        <w:rPr>
          <w:rFonts w:ascii="Times New Roman" w:cs="Times New Roman" w:eastAsia="Times New Roman" w:hAnsi="Times New Roman"/>
          <w:sz w:val="18"/>
          <w:szCs w:val="18"/>
          <w:color w:val="auto"/>
        </w:rPr>
        <w:t>Loss on impairment charges were $249.0 million for the thirteen weeks ended February 28, 2026 and zero for the thirteen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weeks ended March 1, 2025. Refer to Note 4, Goodwill and Intangibles, for additional information regarding the Company’s impairment assessments.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of $0.9 million increased $0.2 million for the thirteen weeks ended February 28, 2026,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March 1, 2025.</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of $5.8 million decreased $0.5 million for the thirteen weeks ended February 28, 2026,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March 1, 2025, primarily due to the decrease in interest rates on our Term Facility to 5.7% as of February 28, 2026 from 6.3% as of March 1, 2025.</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 $0.2 million gain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28, 2026, and a $0.1 million loss for the thirteen weeks ended March 1, 2025.</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Income tax benefit was $58.3 million for the thirteen weeks ended February 28, 2026, compared to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$12.2 million during the thirteen weeks ended March 1, 2025. The change in our income tax (benefit) expense was primarily driven by lower income from operations, primarily the loss on impairment.</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(loss) income</w:t>
      </w:r>
      <w:r>
        <w:rPr>
          <w:rFonts w:ascii="Times New Roman" w:cs="Times New Roman" w:eastAsia="Times New Roman" w:hAnsi="Times New Roman"/>
          <w:sz w:val="18"/>
          <w:szCs w:val="18"/>
          <w:color w:val="auto"/>
        </w:rPr>
        <w:t>. Net loss was $159.7 million for the thirteen weeks ended February 28, 2026, a decrease of $196.4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of $36.7 million for the thirteen weeks ended March 1, 2025. Net loss was primarily driven by higher operating expenses, primarily the loss on impairment, and was partially offset by lower income tax (benefit) expense and other expense.</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$12.5 million, or 18.4%, for the thirteen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March 1, 2025, driven primarily by lower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Twenty-Six Weeks Ended February 28, 2026, and the Twenty-Six Weeks Ended March 1, 2025</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(Loss), including information presented as a percentage of net sales:</w:t>
      </w:r>
    </w:p>
    <w:p>
      <w:pPr>
        <w:spacing w:after="0" w:line="109"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Twenty-Six Weeks</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Twenty-Six Weeks</w:t>
            </w:r>
          </w:p>
        </w:tc>
        <w:tc>
          <w:tcPr>
            <w:tcW w:w="1340" w:type="dxa"/>
            <w:vAlign w:val="bottom"/>
          </w:tcPr>
          <w:p>
            <w:pPr>
              <w:spacing w:after="0"/>
              <w:rPr>
                <w:sz w:val="16"/>
                <w:szCs w:val="16"/>
                <w:color w:val="auto"/>
              </w:rPr>
            </w:pPr>
          </w:p>
        </w:tc>
      </w:tr>
      <w:tr>
        <w:trPr>
          <w:trHeight w:val="210"/>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Ended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Ended</w:t>
            </w:r>
          </w:p>
        </w:tc>
        <w:tc>
          <w:tcPr>
            <w:tcW w:w="1340" w:type="dxa"/>
            <w:vAlign w:val="bottom"/>
          </w:tcPr>
          <w:p>
            <w:pPr>
              <w:spacing w:after="0"/>
              <w:rPr>
                <w:sz w:val="18"/>
                <w:szCs w:val="18"/>
                <w:color w:val="auto"/>
              </w:rPr>
            </w:pPr>
          </w:p>
        </w:tc>
      </w:tr>
      <w:tr>
        <w:trPr>
          <w:trHeight w:val="24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February 28, 2026</w:t>
            </w: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of Net Sales</w:t>
            </w:r>
          </w:p>
        </w:tc>
        <w:tc>
          <w:tcPr>
            <w:tcW w:w="16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March 1, 2025</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3"/>
        </w:trPr>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666,211</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453,278</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68.0 %</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440,300</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62.8 %</w:t>
            </w:r>
          </w:p>
        </w:tc>
      </w:tr>
      <w:tr>
        <w:trPr>
          <w:trHeight w:val="212"/>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212,933</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260,623</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57,844</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19"/>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72,881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1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8,942</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9"/>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on impairment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388,667</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58.3 %</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151,277</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21.6 %</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(175,734)</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109,346</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r>
        <w:trPr>
          <w:trHeight w:val="270"/>
        </w:trPr>
        <w:tc>
          <w:tcPr>
            <w:tcW w:w="3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19"/>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3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1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73"/>
        </w:trPr>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(184,205)</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4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12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2"/>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10.7 %</w:t>
            </w: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6"/>
        </w:trPr>
        <w:tc>
          <w:tcPr>
            <w:tcW w:w="3580" w:type="dxa"/>
            <w:vAlign w:val="bottom"/>
            <w:tcBorders>
              <w:bottom w:val="single" w:sz="8" w:color="CCEEFF"/>
            </w:tcBorders>
            <w:gridSpan w:val="2"/>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111,134</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138,069</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r>
    </w:tbl>
    <w:p>
      <w:pPr>
        <w:ind w:left="700" w:right="720" w:hanging="80"/>
        <w:spacing w:after="0" w:line="228" w:lineRule="auto"/>
        <w:tabs>
          <w:tab w:leader="none" w:pos="76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-226695</wp:posOffset>
            </wp:positionV>
            <wp:extent cx="41059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2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were $666.2 million for the twenty-six weeks ended February 28, 2026, compared to $700.9 million for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1, 2025, representing a decrease of $34.7 million, or 5.0%, driven by the distribution-related declines for Atkins and velocity-related declines for OWYN, which were partially offset by Quest volume-driven growth.</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$13.0 million, or 2.9%, for the twenty-six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March 1, 2025. The cost of goods sold increase was driven primarily by higher ingredient and packaging costs compared to the prior year period.</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$47.7 million, or 18.3%, to $212.9 million for the twenty-six weeks ended February 28, 2026,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twenty-six weeks ended March 1, 2025. Gross profit margin was 32.0% of net sales for the twenty-six weeks ended February 28, 2026, a decline of 520 basis points from 37.2% of net sales for the twenty-six weeks ended March 1, 2025. The decline in gross profit margin was primarily driven by unfavorable commodity expenses compared to the prior year period.</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$237.4 million, or 156.9%, for the twenty-six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March 1, 2025,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decreased $10.2 million, or 15.0%, for the twenty-six weeks ended February 28,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twenty-six weeks ended March 1, 2025 The decrease was primarily related to a planned decrease in Atkins marketing spend partially offset by increases for Quest.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left="660" w:hanging="247"/>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$1.2 million, or 1.6%, for the twenty-six weeks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twenty-six weeks ended March 1, 2025. The decrease was primarily attributable to a decrease of $3.6 million in employee-related costs, a decrease of $2.8 million in integration expenses related to the OWYN Acquisition, and lower general corporate expenses, partially offset by an increase of $4.5 million in restructuring costs primarily related to the separation of the Company’s prior President and Chief Executive Officer, and an increase of $2.3 million in term loan transaction fees.</w:t>
      </w:r>
    </w:p>
    <w:p>
      <w:pPr>
        <w:spacing w:after="0" w:line="7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$8.9 million and $8.3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2026, compared to the twenty-six weeks ended March 1, 2025,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zero for the twenty-six weeks ended February 28, 2026, compared to $0.8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twenty-six weeks ended March 1, 2025, and were comprised of expenses related to the OWYN Acquisition.</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Loss on impairment. </w:t>
      </w:r>
      <w:r>
        <w:rPr>
          <w:rFonts w:ascii="Times New Roman" w:cs="Times New Roman" w:eastAsia="Times New Roman" w:hAnsi="Times New Roman"/>
          <w:sz w:val="18"/>
          <w:szCs w:val="18"/>
          <w:color w:val="auto"/>
        </w:rPr>
        <w:t>Loss on impairment charges were $249.0 million for the twenty-six weeks ended February 28, 2026 and zero for the twenty-six weeks ended March 1, 2025. Refer to Note 4, Goodwill and Intangibles, for additional information regarding the Company’s impairment assessments.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of $1.4 million decreased $0.1 million for the twenty-six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March 1, 2025.</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of $10.1 million decreased $4.1 million for the twenty-six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March 1, 2025, primarily due to the decrease in interest rates on our Term Facility to 5.7% as of February 28, 2026 from 6.3% as of March 1, 2025.</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 $0.1 million gain and an immaterial loss for the twenty-six weeks ended February 28, 2026, and March 1, 2025, respectively.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expense. </w:t>
      </w:r>
      <w:r>
        <w:rPr>
          <w:rFonts w:ascii="Times New Roman" w:cs="Times New Roman" w:eastAsia="Times New Roman" w:hAnsi="Times New Roman"/>
          <w:sz w:val="18"/>
          <w:szCs w:val="18"/>
          <w:color w:val="auto"/>
        </w:rPr>
        <w:t>Income tax benefit was $49.8 million for the twenty-six weeks ended February 28, 2026, compared to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$21.8 million during the twenty-six weeks ended March 1, 2025. The change in our income tax (benefit) expense was primarily driven by lower income from operations, primarily the loss on impairment.</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(loss)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loss was $134.4 million for the twenty-six weeks ended February 28, 2026, a decrease of $209.3 million compared to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of $74.9 million for the twenty-six weeks ended March 1, 2025. Net loss was primarily driven by higher operating expenses, primarily the loss on impairment, and was partially offset by lower income tax (benefit) expense and other expense.</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decreased $26.9 million, or 19.5% for the twenty-six weeks ended February 28, 2026,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March 1, 2025, driven primarily by lower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(benefit) expense, depreciation and amortization, and Adjusted EBITDA as further adjusted to exclude the following items: loss on impairment, stock-based compensation expense, business transaction costs, purchase price accounting inventory step-up, integration expenses, term loan transaction fees, restructuring,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twenty-six weeks ended February 28, 2026, and March 1, 2025:</w:t>
      </w: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4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28, 2026</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(159,698)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r>
      <w:tr>
        <w:trPr>
          <w:trHeight w:val="2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27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r>
      <w:tr>
        <w:trPr>
          <w:trHeight w:val="267"/>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21,784</w:t>
            </w:r>
          </w:p>
        </w:tc>
      </w:tr>
      <w:tr>
        <w:trPr>
          <w:trHeight w:val="27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10,135</w:t>
            </w:r>
          </w:p>
        </w:tc>
      </w:tr>
      <w:tr>
        <w:trPr>
          <w:trHeight w:val="250"/>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119,510</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impairment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8,792</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2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Integration expense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10,621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r>
      <w:tr>
        <w:trPr>
          <w:trHeight w:val="267"/>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273"/>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 costs</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48"/>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138,069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ind w:left="1000" w:hanging="171"/>
        <w:spacing w:after="0" w:line="235" w:lineRule="auto"/>
        <w:tabs>
          <w:tab w:leader="none" w:pos="100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one-time effects from actions taken to mitigate OWYN product quality issues.</w:t>
      </w:r>
    </w:p>
    <w:p>
      <w:pPr>
        <w:spacing w:after="0" w:line="24" w:lineRule="exact"/>
        <w:rPr>
          <w:rFonts w:ascii="Times New Roman" w:cs="Times New Roman" w:eastAsia="Times New Roman" w:hAnsi="Times New Roman"/>
          <w:sz w:val="21"/>
          <w:szCs w:val="21"/>
          <w:color w:val="auto"/>
          <w:vertAlign w:val="superscript"/>
        </w:rPr>
      </w:pPr>
    </w:p>
    <w:p>
      <w:pPr>
        <w:ind w:left="980" w:hanging="151"/>
        <w:spacing w:after="0" w:line="211" w:lineRule="auto"/>
        <w:tabs>
          <w:tab w:leader="none" w:pos="9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had $107.4 million in cash as of February 28, 2026.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19, 2025, the Company entered into an eighth amendment (the “2026 Incremental Facility Amendment”) to the Credit Agreement to increase the principal borrowed on the Term Facility by $150.0 million and provided for an extension of the maturity date from March 17, 2027 to March 17, 2030. The 2026 Incremental Facility Amendment also provided for an extension of the stated maturity date of the</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Revolving Commitments and Revolving Loans (each as defined in the Credit Agreement) from December 16, 2026, to the earlier of (i) 91 days prior to the then-effective maturity date of the Term Facility and (ii) December 16, 2029. The terms of the incremental borrowing are substantially the same as the terms of the outstanding borrowings under the Term Facility. No amounts of the Term Facility were repaid as a result of the execution of the 2026 Incremental Facility Amendment.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2026 Incremental Facility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1.00%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0.00%, plus (x) 2.00% margin for the Term Loan or (y) 2.00% margin for the Revolving Credit Facility.</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closing of the 2026 Incremental Facility Amendment, the Company expensed $2.7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within the Consolidated Statements of Operations and Comprehensive Income (Loss) and capitalized $2.6 million of upfront lender fees (original issue discount) and third-party financing costs.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February 28, 2026, and August 30, 2025, respectively.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2026, the outstanding balance of the Term Facility was $400.0 million. We are not required to make principal payments on the Term Facility over the twelve months following the period ended February 28, 2026. The outstanding balance of the Term Facility is due upon its maturity in March 2030. As of February 28, 2026,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 stock repurchase program in November 2018. On January 6, 2026, the Company announced that its Board of Directors approved a $200.0 million repurchase authorization under its stock repurchase program (the “Current Authorization”).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thirteen weeks ended February 28, 2026, the Company repurchased 4,606,990 shares of common stock at an average price of $19.21 per share, inclusive of commissions and exclusive of accrued excise tax. During the twenty-six weeks ended February 28, 2026, the Company repurchased 9,590,504 shares of common stock at an average price of $19.62 per share, inclusive of commissions and exclusive of accrued excise tax. The U.S. Inflation Reduction Act of 2022 requires a 1% excise tax on the net amount of share repurchases. The Company did not repurchase any shares of common stock during the thirteen and twenty-six weeks ended March 1, 2025. As of February 28, 2026, approximately $182.5 million remained available under the Current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149"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6"/>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28, 2026</w:t>
            </w:r>
          </w:p>
        </w:tc>
        <w:tc>
          <w:tcPr>
            <w:tcW w:w="18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58,194</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63,267</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(92,386)</w:t>
            </w:r>
          </w:p>
        </w:tc>
      </w:tr>
    </w:tbl>
    <w:p>
      <w:pPr>
        <w:spacing w:after="0" w:line="3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$5.1 million to $58.2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2026, compared to $63.3 million for the twenty-six weeks ended March 1, 2025. The decrease in cash provided by operating activities was primarily attributable to changes in working capital for the twenty-six weeks ended February 28, 2026, as compared to the twenty-six weeks ended March 1, 2025. Changes in working capital, comprised of changes in accounts receivable, net, inventories, prepaid expenses, other current assets, accounts payable, accrued interest, accrued expenses and other current liabilities, and other assets and liabilities, were driven by the timing of payments and receipts, which provided cash of $23.0 million in the twenty-six weeks ended February 28, 2026, compared to $41.6 million of cash used in the twenty-six weeks ended March 1, 2025, a difference of $18.5 million. Loss from operations was $175.7 million for the twenty-six weeks ended February 28, 2026, as compared to income from operations of $109.3 million for the twenty-six weeks ended March 1, 2025. The decrease was driven by higher operating expenses, primarily the loss on impairment. Additionally, cash paid for interest was $9.8 million in the twenty-six weeks ended February 28, 2026, which was a decrease of $3.7 million as compared to the $13.5 million paid for interest in the twenty-six weeks ended March 1, 2025.</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$7.6 million for the twenty-six weeks ended February 28, 2026, compared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immaterial amount for the twenty-six weeks ended March 1, 2025. Our net cash used in investing activities for the twenty-six weeks ended February 28, 2026, was primarily comprised of $7.6 million of purchases of property and equipment. The immaterial amount of net cash used in investing activities for the twenty-six weeks ended March 1, 2025, was primarily comprised of $0.8 million of purchases of property and equipment and $0.9 million of investments in intangible and other assets, and was offset by $1.7 million of cash proceeds received from escrow related to net working capital adjustments related to the OWYN Acquisition.</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$41.8 million for the twenty-six weeks ended February 28,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$92.4 million for the twenty-six weeks ended March 1, 2025. Net cash used in financing activities for the twenty-six weeks ended February 28, 2026, primarily consisted of $188.2 million in repurchases of common stock, inclusive of commissions and exclusive of accrued excise tax, and $2.0 million in tax payments related to the issuance of restricted stock units and performance stock units, partially offset by $150.0 million in proceeds from issuance of long-term debt and $1.1 million of cash proceeds received from option exercises. Net cash used in financing activities for the twenty-six weeks ended March 1, 2025, primarily consisted of $100.0 million in principal payments on the Term Facility, and $2.5 million in tax payments related to issuance of restricted stock units and performance stock units, partially offset by $10.1 million of cash proceeds received from option exercises.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February 28, 2026.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February 28, 2026,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February 28, 2026,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3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Total number of shares</w:t>
            </w:r>
          </w:p>
        </w:tc>
        <w:tc>
          <w:tcPr>
            <w:tcW w:w="10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Average price paid</w:t>
            </w: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Total number of shares purchased as</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Maximum dollar value of shares that may</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ind w:left="600"/>
              <w:spacing w:after="0" w:line="162" w:lineRule="exact"/>
              <w:rPr>
                <w:sz w:val="20"/>
                <w:szCs w:val="20"/>
                <w:color w:val="auto"/>
              </w:rPr>
            </w:pPr>
            <w:r>
              <w:rPr>
                <w:rFonts w:ascii="Times New Roman" w:cs="Times New Roman" w:eastAsia="Times New Roman" w:hAnsi="Times New Roman"/>
                <w:sz w:val="16"/>
                <w:szCs w:val="16"/>
                <w:color w:val="auto"/>
              </w:rPr>
              <w:t>Period</w:t>
            </w: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500" w:type="dxa"/>
            <w:vAlign w:val="bottom"/>
            <w:gridSpan w:val="2"/>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part of publicly announced plans or</w:t>
            </w:r>
          </w:p>
        </w:tc>
        <w:tc>
          <w:tcPr>
            <w:tcW w:w="180" w:type="dxa"/>
            <w:vAlign w:val="bottom"/>
          </w:tcPr>
          <w:p>
            <w:pPr>
              <w:spacing w:after="0"/>
              <w:rPr>
                <w:sz w:val="7"/>
                <w:szCs w:val="7"/>
                <w:color w:val="auto"/>
              </w:rPr>
            </w:pPr>
          </w:p>
        </w:tc>
        <w:tc>
          <w:tcPr>
            <w:tcW w:w="2660" w:type="dxa"/>
            <w:vAlign w:val="bottom"/>
            <w:vMerge w:val="restart"/>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yet be purchased under the plans or</w:t>
            </w:r>
          </w:p>
        </w:tc>
        <w:tc>
          <w:tcPr>
            <w:tcW w:w="0" w:type="dxa"/>
            <w:vAlign w:val="bottom"/>
          </w:tcPr>
          <w:p>
            <w:pPr>
              <w:spacing w:after="0"/>
              <w:rPr>
                <w:sz w:val="1"/>
                <w:szCs w:val="1"/>
                <w:color w:val="auto"/>
              </w:rPr>
            </w:pPr>
          </w:p>
        </w:tc>
      </w:tr>
      <w:tr>
        <w:trPr>
          <w:trHeight w:val="81"/>
        </w:trPr>
        <w:tc>
          <w:tcPr>
            <w:tcW w:w="1720" w:type="dxa"/>
            <w:vAlign w:val="bottom"/>
            <w:gridSpan w:val="2"/>
            <w:vMerge w:val="continue"/>
          </w:tcPr>
          <w:p>
            <w:pPr>
              <w:spacing w:after="0"/>
              <w:rPr>
                <w:sz w:val="7"/>
                <w:szCs w:val="7"/>
                <w:color w:val="auto"/>
              </w:rPr>
            </w:pPr>
          </w:p>
        </w:tc>
        <w:tc>
          <w:tcPr>
            <w:tcW w:w="1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purchased</w:t>
            </w:r>
          </w:p>
        </w:tc>
        <w:tc>
          <w:tcPr>
            <w:tcW w:w="100" w:type="dxa"/>
            <w:vAlign w:val="bottom"/>
          </w:tcPr>
          <w:p>
            <w:pPr>
              <w:spacing w:after="0"/>
              <w:rPr>
                <w:sz w:val="7"/>
                <w:szCs w:val="7"/>
                <w:color w:val="auto"/>
              </w:rPr>
            </w:pPr>
          </w:p>
        </w:tc>
        <w:tc>
          <w:tcPr>
            <w:tcW w:w="1340" w:type="dxa"/>
            <w:vAlign w:val="bottom"/>
          </w:tcPr>
          <w:p>
            <w:pPr>
              <w:jc w:val="right"/>
              <w:ind w:right="304"/>
              <w:spacing w:after="0" w:line="81" w:lineRule="exact"/>
              <w:rPr>
                <w:sz w:val="20"/>
                <w:szCs w:val="20"/>
                <w:color w:val="auto"/>
              </w:rPr>
            </w:pPr>
            <w:r>
              <w:rPr>
                <w:rFonts w:ascii="Times New Roman" w:cs="Times New Roman" w:eastAsia="Times New Roman" w:hAnsi="Times New Roman"/>
                <w:sz w:val="9"/>
                <w:szCs w:val="9"/>
                <w:color w:val="auto"/>
              </w:rPr>
              <w:t>(2)</w:t>
            </w:r>
          </w:p>
        </w:tc>
        <w:tc>
          <w:tcPr>
            <w:tcW w:w="100" w:type="dxa"/>
            <w:vAlign w:val="bottom"/>
          </w:tcPr>
          <w:p>
            <w:pPr>
              <w:spacing w:after="0"/>
              <w:rPr>
                <w:sz w:val="7"/>
                <w:szCs w:val="7"/>
                <w:color w:val="auto"/>
              </w:rPr>
            </w:pPr>
          </w:p>
        </w:tc>
        <w:tc>
          <w:tcPr>
            <w:tcW w:w="25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per share</w:t>
            </w:r>
          </w:p>
        </w:tc>
        <w:tc>
          <w:tcPr>
            <w:tcW w:w="250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6"/>
                <w:szCs w:val="16"/>
                <w:color w:val="auto"/>
                <w:w w:val="96"/>
              </w:rPr>
              <w:t>programs</w:t>
            </w:r>
            <w:r>
              <w:rPr>
                <w:rFonts w:ascii="Times New Roman" w:cs="Times New Roman" w:eastAsia="Times New Roman" w:hAnsi="Times New Roman"/>
                <w:sz w:val="21"/>
                <w:szCs w:val="21"/>
                <w:color w:val="auto"/>
                <w:w w:val="96"/>
                <w:vertAlign w:val="superscript"/>
              </w:rPr>
              <w:t>(1)</w:t>
            </w:r>
          </w:p>
        </w:tc>
        <w:tc>
          <w:tcPr>
            <w:tcW w:w="180" w:type="dxa"/>
            <w:vAlign w:val="bottom"/>
          </w:tcPr>
          <w:p>
            <w:pPr>
              <w:spacing w:after="0"/>
              <w:rPr>
                <w:sz w:val="18"/>
                <w:szCs w:val="18"/>
                <w:color w:val="auto"/>
              </w:rPr>
            </w:pPr>
          </w:p>
        </w:tc>
        <w:tc>
          <w:tcPr>
            <w:tcW w:w="2660" w:type="dxa"/>
            <w:vAlign w:val="bottom"/>
          </w:tcPr>
          <w:p>
            <w:pPr>
              <w:jc w:val="right"/>
              <w:ind w:right="979"/>
              <w:spacing w:after="0" w:line="216" w:lineRule="exact"/>
              <w:rPr>
                <w:sz w:val="20"/>
                <w:szCs w:val="20"/>
                <w:color w:val="auto"/>
              </w:rPr>
            </w:pPr>
            <w:r>
              <w:rPr>
                <w:rFonts w:ascii="Times New Roman" w:cs="Times New Roman" w:eastAsia="Times New Roman" w:hAnsi="Times New Roman"/>
                <w:sz w:val="16"/>
                <w:szCs w:val="16"/>
                <w:color w:val="auto"/>
              </w:rPr>
              <w:t>programs</w:t>
            </w:r>
            <w:r>
              <w:rPr>
                <w:rFonts w:ascii="Times New Roman" w:cs="Times New Roman" w:eastAsia="Times New Roman" w:hAnsi="Times New Roman"/>
                <w:sz w:val="21"/>
                <w:szCs w:val="21"/>
                <w:color w:val="auto"/>
                <w:vertAlign w:val="superscript"/>
              </w:rPr>
              <w:t>(1)</w:t>
            </w:r>
          </w:p>
        </w:tc>
        <w:tc>
          <w:tcPr>
            <w:tcW w:w="0" w:type="dxa"/>
            <w:vAlign w:val="bottom"/>
          </w:tcPr>
          <w:p>
            <w:pPr>
              <w:spacing w:after="0"/>
              <w:rPr>
                <w:sz w:val="1"/>
                <w:szCs w:val="1"/>
                <w:color w:val="auto"/>
              </w:rPr>
            </w:pPr>
          </w:p>
        </w:tc>
      </w:tr>
      <w:tr>
        <w:trPr>
          <w:trHeight w:val="155"/>
        </w:trPr>
        <w:tc>
          <w:tcPr>
            <w:tcW w:w="16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November 30, 2025 -</w:t>
            </w:r>
          </w:p>
        </w:tc>
        <w:tc>
          <w:tcPr>
            <w:tcW w:w="100" w:type="dxa"/>
            <w:vAlign w:val="bottom"/>
            <w:tcBorders>
              <w:top w:val="single" w:sz="8" w:color="CCEEFF"/>
            </w:tcBorders>
            <w:shd w:val="clear" w:color="auto" w:fill="CCEEFF"/>
          </w:tcPr>
          <w:p>
            <w:pPr>
              <w:spacing w:after="0"/>
              <w:rPr>
                <w:sz w:val="13"/>
                <w:szCs w:val="13"/>
                <w:color w:val="auto"/>
              </w:rPr>
            </w:pP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2,230,028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19.80</w:t>
            </w:r>
          </w:p>
        </w:tc>
        <w:tc>
          <w:tcPr>
            <w:tcW w:w="100" w:type="dxa"/>
            <w:vAlign w:val="bottom"/>
            <w:tcBorders>
              <w:top w:val="single" w:sz="8" w:color="CCEEFF"/>
            </w:tcBorders>
            <w:shd w:val="clear" w:color="auto" w:fill="CCEEFF"/>
          </w:tcPr>
          <w:p>
            <w:pPr>
              <w:spacing w:after="0"/>
              <w:rPr>
                <w:sz w:val="13"/>
                <w:szCs w:val="13"/>
                <w:color w:val="auto"/>
              </w:rPr>
            </w:pPr>
          </w:p>
        </w:tc>
        <w:tc>
          <w:tcPr>
            <w:tcW w:w="2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2,230,028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227,843,042</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3, 2026</w:t>
            </w:r>
          </w:p>
        </w:tc>
        <w:tc>
          <w:tcPr>
            <w:tcW w:w="1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2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January 4, 2026 -</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1,319,409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ind w:right="4"/>
              <w:spacing w:after="0"/>
              <w:rPr>
                <w:sz w:val="20"/>
                <w:szCs w:val="20"/>
                <w:color w:val="auto"/>
              </w:rPr>
            </w:pPr>
            <w:r>
              <w:rPr>
                <w:rFonts w:ascii="Times New Roman" w:cs="Times New Roman" w:eastAsia="Times New Roman" w:hAnsi="Times New Roman"/>
                <w:sz w:val="16"/>
                <w:szCs w:val="16"/>
                <w:color w:val="auto"/>
              </w:rPr>
              <w:t>20.38</w:t>
            </w:r>
          </w:p>
        </w:tc>
        <w:tc>
          <w:tcPr>
            <w:tcW w:w="100" w:type="dxa"/>
            <w:vAlign w:val="bottom"/>
          </w:tcPr>
          <w:p>
            <w:pPr>
              <w:spacing w:after="0"/>
              <w:rPr>
                <w:sz w:val="14"/>
                <w:szCs w:val="14"/>
                <w:color w:val="auto"/>
              </w:rPr>
            </w:pPr>
          </w:p>
        </w:tc>
        <w:tc>
          <w:tcPr>
            <w:tcW w:w="2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1,319,409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200,952,579</w:t>
            </w:r>
          </w:p>
        </w:tc>
        <w:tc>
          <w:tcPr>
            <w:tcW w:w="0" w:type="dxa"/>
            <w:vAlign w:val="bottom"/>
          </w:tcPr>
          <w:p>
            <w:pPr>
              <w:spacing w:after="0"/>
              <w:rPr>
                <w:sz w:val="1"/>
                <w:szCs w:val="1"/>
                <w:color w:val="auto"/>
              </w:rPr>
            </w:pPr>
          </w:p>
        </w:tc>
      </w:tr>
      <w:tr>
        <w:trPr>
          <w:trHeight w:val="213"/>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31, 2026</w:t>
            </w: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February 1, 2026 -</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4"/>
                <w:szCs w:val="14"/>
                <w:color w:val="auto"/>
              </w:rPr>
            </w:pPr>
          </w:p>
        </w:tc>
        <w:tc>
          <w:tcPr>
            <w:tcW w:w="2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1,057,553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182,536,578</w:t>
            </w:r>
          </w:p>
        </w:tc>
        <w:tc>
          <w:tcPr>
            <w:tcW w:w="0" w:type="dxa"/>
            <w:vAlign w:val="bottom"/>
          </w:tcPr>
          <w:p>
            <w:pPr>
              <w:spacing w:after="0"/>
              <w:rPr>
                <w:sz w:val="1"/>
                <w:szCs w:val="1"/>
                <w:color w:val="auto"/>
              </w:rPr>
            </w:pPr>
          </w:p>
        </w:tc>
      </w:tr>
      <w:tr>
        <w:trPr>
          <w:trHeight w:val="216"/>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28, 2026</w:t>
            </w: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4,606,990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4,606,990</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182,536,578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3810</wp:posOffset>
            </wp:positionV>
            <wp:extent cx="5572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12" w:lineRule="exact"/>
        <w:rPr>
          <w:sz w:val="20"/>
          <w:szCs w:val="20"/>
          <w:color w:val="auto"/>
        </w:rPr>
      </w:pPr>
    </w:p>
    <w:p>
      <w:pPr>
        <w:jc w:val="both"/>
        <w:ind w:left="720" w:right="20" w:firstLine="1"/>
        <w:spacing w:after="0" w:line="276" w:lineRule="auto"/>
        <w:tabs>
          <w:tab w:leader="none" w:pos="869"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shares repurchased under our stock repurchase program adopted in November 2018. On January 6, 2026, the Company announced that its Board of Directors approved a $200.0 million repurchase authorization under its stock repurchase program (the “Current Authorization”). As of February 28, 2026, approximately $182.5 million remained available under the Current Authorization. Under the stock repurchase program, we may repurchase shares from time to time in the open market or in privately negotiated transactions. The stock repurchase program does not obligate us to acquire any specific number of shares over any specific period of time. We may suspend or discontinue the stock repurchase program at any time, and the stock repurchase program does not have an expiration date.</w:t>
      </w:r>
    </w:p>
    <w:p>
      <w:pPr>
        <w:spacing w:after="0" w:line="21" w:lineRule="exact"/>
        <w:rPr>
          <w:rFonts w:ascii="Times New Roman" w:cs="Times New Roman" w:eastAsia="Times New Roman" w:hAnsi="Times New Roman"/>
          <w:sz w:val="19"/>
          <w:szCs w:val="19"/>
          <w:color w:val="auto"/>
          <w:vertAlign w:val="superscript"/>
        </w:rPr>
      </w:pPr>
    </w:p>
    <w:p>
      <w:pPr>
        <w:ind w:left="720" w:right="40" w:firstLine="1"/>
        <w:spacing w:after="0" w:line="210" w:lineRule="auto"/>
        <w:tabs>
          <w:tab w:leader="none" w:pos="887"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Average price paid per share includes commissions, but excludes our liability under the 1% excise tax on the net amount of share repurchases required by the Inflation Reduction Act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-904240</wp:posOffset>
            </wp:positionV>
            <wp:extent cx="5572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February 28, 2026,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60" w:type="dxa"/>
            <w:vAlign w:val="bottom"/>
            <w:tcBorders>
              <w:bottom w:val="single" w:sz="8" w:color="CCEEFF"/>
            </w:tcBorders>
          </w:tcPr>
          <w:p>
            <w:pPr>
              <w:spacing w:after="0"/>
              <w:rPr>
                <w:sz w:val="18"/>
                <w:szCs w:val="18"/>
                <w:color w:val="auto"/>
              </w:rPr>
            </w:pPr>
          </w:p>
        </w:tc>
        <w:tc>
          <w:tcPr>
            <w:tcW w:w="8920" w:type="dxa"/>
            <w:vAlign w:val="bottom"/>
            <w:tcBorders>
              <w:bottom w:val="single" w:sz="8" w:color="CCEEFF"/>
            </w:tcBorders>
            <w:gridSpan w:val="13"/>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83"/>
        </w:trPr>
        <w:tc>
          <w:tcPr>
            <w:tcW w:w="320" w:type="dxa"/>
            <w:vAlign w:val="bottom"/>
            <w:tcBorders>
              <w:bottom w:val="single" w:sz="8" w:color="CCEEFF"/>
            </w:tcBorders>
            <w:gridSpan w:val="2"/>
            <w:shd w:val="clear" w:color="auto" w:fill="CCEEFF"/>
          </w:tcPr>
          <w:p>
            <w:pPr>
              <w:ind w:left="20"/>
              <w:spacing w:after="0" w:line="158" w:lineRule="exact"/>
              <w:rPr>
                <w:rFonts w:ascii="Times New Roman" w:cs="Times New Roman" w:eastAsia="Times New Roman" w:hAnsi="Times New Roman"/>
                <w:sz w:val="16"/>
                <w:szCs w:val="16"/>
                <w:color w:val="0000FF"/>
                <w:w w:val="99"/>
              </w:rPr>
            </w:pPr>
            <w:hyperlink r:id="rId47">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40" w:type="dxa"/>
            <w:vAlign w:val="bottom"/>
            <w:tcBorders>
              <w:bottom w:val="single" w:sz="8" w:color="0000FF"/>
            </w:tcBorders>
            <w:gridSpan w:val="9"/>
            <w:shd w:val="clear" w:color="auto" w:fill="CCEEFF"/>
          </w:tcPr>
          <w:p>
            <w:pPr>
              <w:spacing w:after="0" w:line="138" w:lineRule="exact"/>
              <w:rPr>
                <w:rFonts w:ascii="Times New Roman" w:cs="Times New Roman" w:eastAsia="Times New Roman" w:hAnsi="Times New Roman"/>
                <w:sz w:val="16"/>
                <w:szCs w:val="16"/>
                <w:color w:val="0000FF"/>
              </w:rPr>
            </w:pPr>
            <w:hyperlink r:id="rId47">
              <w:r>
                <w:rPr>
                  <w:rFonts w:ascii="Times New Roman" w:cs="Times New Roman" w:eastAsia="Times New Roman" w:hAnsi="Times New Roman"/>
                  <w:sz w:val="16"/>
                  <w:szCs w:val="16"/>
                  <w:color w:val="0000FF"/>
                </w:rPr>
                <w:t>Employment Agreement, dated January 19, 2026, between The Simply Good Foods Company and Joseph E. Scalzo (incorporated by</w:t>
              </w:r>
            </w:hyperlink>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43"/>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500" w:type="dxa"/>
            <w:vAlign w:val="bottom"/>
            <w:tcBorders>
              <w:top w:val="single" w:sz="8" w:color="CCEEFF"/>
              <w:bottom w:val="single" w:sz="8" w:color="0000FF"/>
            </w:tcBorders>
            <w:gridSpan w:val="2"/>
            <w:shd w:val="clear" w:color="auto" w:fill="CCEEFF"/>
          </w:tcPr>
          <w:p>
            <w:pPr>
              <w:spacing w:after="0" w:line="122" w:lineRule="exact"/>
              <w:rPr>
                <w:rFonts w:ascii="Times New Roman" w:cs="Times New Roman" w:eastAsia="Times New Roman" w:hAnsi="Times New Roman"/>
                <w:sz w:val="14"/>
                <w:szCs w:val="14"/>
                <w:color w:val="0000FF"/>
              </w:rPr>
            </w:pPr>
            <w:hyperlink r:id="rId47">
              <w:r>
                <w:rPr>
                  <w:rFonts w:ascii="Times New Roman" w:cs="Times New Roman" w:eastAsia="Times New Roman" w:hAnsi="Times New Roman"/>
                  <w:sz w:val="14"/>
                  <w:szCs w:val="14"/>
                  <w:color w:val="0000FF"/>
                </w:rPr>
                <w:t>reference to Exhibit 10.1 to our Form 8-K filed on January 21, 2026).</w:t>
              </w:r>
            </w:hyperlink>
          </w:p>
        </w:tc>
        <w:tc>
          <w:tcPr>
            <w:tcW w:w="4340" w:type="dxa"/>
            <w:vAlign w:val="bottom"/>
            <w:tcBorders>
              <w:top w:val="single" w:sz="8" w:color="CCEEFF"/>
              <w:bottom w:val="single" w:sz="8" w:color="CCEEFF"/>
            </w:tcBorders>
            <w:gridSpan w:val="7"/>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75"/>
        </w:trPr>
        <w:tc>
          <w:tcPr>
            <w:tcW w:w="320" w:type="dxa"/>
            <w:vAlign w:val="bottom"/>
            <w:gridSpan w:val="2"/>
          </w:tcPr>
          <w:p>
            <w:pPr>
              <w:ind w:left="20"/>
              <w:spacing w:after="0" w:line="175" w:lineRule="exact"/>
              <w:rPr>
                <w:rFonts w:ascii="Times New Roman" w:cs="Times New Roman" w:eastAsia="Times New Roman" w:hAnsi="Times New Roman"/>
                <w:sz w:val="16"/>
                <w:szCs w:val="16"/>
                <w:color w:val="0000FF"/>
                <w:w w:val="99"/>
              </w:rPr>
            </w:pPr>
            <w:hyperlink r:id="rId48">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2</w:t>
              </w:r>
            </w:hyperlink>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920" w:type="dxa"/>
            <w:vAlign w:val="bottom"/>
            <w:gridSpan w:val="13"/>
          </w:tcPr>
          <w:p>
            <w:pPr>
              <w:spacing w:after="0" w:line="175"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The Simply Good Foods Company Stand-Alone Inducement Award - Nonqualified Stock Option Grant Notice and Agreement with</w:t>
              </w:r>
            </w:hyperlink>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8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48">
              <w:r>
                <w:rPr>
                  <w:rFonts w:ascii="Times New Roman" w:cs="Times New Roman" w:eastAsia="Times New Roman" w:hAnsi="Times New Roman"/>
                  <w:sz w:val="16"/>
                  <w:szCs w:val="16"/>
                  <w:color w:val="0000FF"/>
                </w:rPr>
                <w:t>Joseph E. Scalzo (incorporated by reference to Exhibit 10.2 to our Form 8-K filed on January 21, 2026).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320" w:type="dxa"/>
            <w:vAlign w:val="bottom"/>
            <w:gridSpan w:val="2"/>
            <w:shd w:val="clear" w:color="auto" w:fill="CCEEFF"/>
          </w:tcPr>
          <w:p>
            <w:pPr>
              <w:ind w:left="20"/>
              <w:spacing w:after="0" w:line="175" w:lineRule="exact"/>
              <w:rPr>
                <w:rFonts w:ascii="Times New Roman" w:cs="Times New Roman" w:eastAsia="Times New Roman" w:hAnsi="Times New Roman"/>
                <w:sz w:val="16"/>
                <w:szCs w:val="16"/>
                <w:color w:val="0000FF"/>
                <w:w w:val="99"/>
              </w:rPr>
            </w:pPr>
            <w:hyperlink r:id="rId49">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3</w:t>
              </w:r>
            </w:hyperlink>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920" w:type="dxa"/>
            <w:vAlign w:val="bottom"/>
            <w:gridSpan w:val="13"/>
            <w:shd w:val="clear" w:color="auto" w:fill="CCEEFF"/>
          </w:tcPr>
          <w:p>
            <w:pPr>
              <w:spacing w:after="0" w:line="175"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Separation Agreement and General Release, dated January 18, 2026, by and between Geoff E. Tanner and Simply Good Foods USA,</w:t>
              </w:r>
            </w:hyperlink>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60" w:type="dxa"/>
            <w:vAlign w:val="bottom"/>
            <w:tcBorders>
              <w:top w:val="single" w:sz="8" w:color="0000FF"/>
              <w:bottom w:val="single" w:sz="8" w:color="0000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49">
              <w:r>
                <w:rPr>
                  <w:rFonts w:ascii="Times New Roman" w:cs="Times New Roman" w:eastAsia="Times New Roman" w:hAnsi="Times New Roman"/>
                  <w:sz w:val="16"/>
                  <w:szCs w:val="16"/>
                  <w:color w:val="0000FF"/>
                </w:rPr>
                <w:t>Inc., and for certain purposes therein, The Simply Good Foods Company (incorporated by reference to Exhibit 10.3 to our Form 8-K</w:t>
              </w:r>
            </w:hyperlink>
          </w:p>
        </w:tc>
        <w:tc>
          <w:tcPr>
            <w:tcW w:w="40" w:type="dxa"/>
            <w:vAlign w:val="bottom"/>
            <w:tcBorders>
              <w:top w:val="single" w:sz="8" w:color="CCEEFF"/>
              <w:bottom w:val="single" w:sz="8" w:color="0000FF"/>
            </w:tcBorders>
            <w:gridSpan w:val="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9"/>
              </w:rPr>
            </w:pPr>
            <w:hyperlink r:id="rId49">
              <w:r>
                <w:rPr>
                  <w:rFonts w:ascii="Times New Roman" w:cs="Times New Roman" w:eastAsia="Times New Roman" w:hAnsi="Times New Roman"/>
                  <w:sz w:val="16"/>
                  <w:szCs w:val="16"/>
                  <w:color w:val="0000FF"/>
                  <w:w w:val="99"/>
                </w:rPr>
                <w:t>filed on January 21, 2026).</w:t>
              </w:r>
            </w:hyperlink>
          </w:p>
        </w:tc>
        <w:tc>
          <w:tcPr>
            <w:tcW w:w="7160" w:type="dxa"/>
            <w:vAlign w:val="bottom"/>
            <w:tcBorders>
              <w:bottom w:val="single" w:sz="8" w:color="CCEEFF"/>
            </w:tcBorders>
            <w:gridSpan w:val="11"/>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75"/>
        </w:trPr>
        <w:tc>
          <w:tcPr>
            <w:tcW w:w="320" w:type="dxa"/>
            <w:vAlign w:val="bottom"/>
            <w:gridSpan w:val="2"/>
          </w:tcPr>
          <w:p>
            <w:pPr>
              <w:ind w:left="20"/>
              <w:spacing w:after="0" w:line="175" w:lineRule="exact"/>
              <w:rPr>
                <w:rFonts w:ascii="Times New Roman" w:cs="Times New Roman" w:eastAsia="Times New Roman" w:hAnsi="Times New Roman"/>
                <w:sz w:val="16"/>
                <w:szCs w:val="16"/>
                <w:color w:val="0000FF"/>
                <w:w w:val="99"/>
              </w:rPr>
            </w:pPr>
            <w:hyperlink r:id="rId50">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4</w:t>
              </w:r>
            </w:hyperlink>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920" w:type="dxa"/>
            <w:vAlign w:val="bottom"/>
            <w:gridSpan w:val="13"/>
          </w:tcPr>
          <w:p>
            <w:pPr>
              <w:spacing w:after="0" w:line="175"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The Simply Good Foods Company Incentive Plan (dated as of January 28, 2026) (incorporated by reference to Exhibit 99.1 to our</w:t>
              </w:r>
            </w:hyperlink>
          </w:p>
        </w:tc>
      </w:tr>
      <w:tr>
        <w:trPr>
          <w:trHeight w:val="142"/>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50">
              <w:r>
                <w:rPr>
                  <w:rFonts w:ascii="Times New Roman" w:cs="Times New Roman" w:eastAsia="Times New Roman" w:hAnsi="Times New Roman"/>
                  <w:sz w:val="16"/>
                  <w:szCs w:val="16"/>
                  <w:color w:val="0000FF"/>
                </w:rPr>
                <w:t>Registration Statement on Form S-8, File Number 333-293244, filed on February 6, 2026).</w:t>
              </w:r>
            </w:hyperlink>
          </w:p>
        </w:tc>
        <w:tc>
          <w:tcPr>
            <w:tcW w:w="100" w:type="dxa"/>
            <w:vAlign w:val="bottom"/>
            <w:gridSpan w:val="5"/>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60" w:type="dxa"/>
            <w:vAlign w:val="bottom"/>
            <w:shd w:val="clear" w:color="auto" w:fill="CCEEFF"/>
          </w:tcPr>
          <w:p>
            <w:pPr>
              <w:spacing w:after="0"/>
              <w:rPr>
                <w:sz w:val="15"/>
                <w:szCs w:val="15"/>
                <w:color w:val="auto"/>
              </w:rPr>
            </w:pPr>
          </w:p>
        </w:tc>
        <w:tc>
          <w:tcPr>
            <w:tcW w:w="892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27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60" w:type="dxa"/>
            <w:vAlign w:val="bottom"/>
          </w:tcPr>
          <w:p>
            <w:pPr>
              <w:spacing w:after="0"/>
              <w:rPr>
                <w:sz w:val="15"/>
                <w:szCs w:val="15"/>
                <w:color w:val="auto"/>
              </w:rPr>
            </w:pPr>
          </w:p>
        </w:tc>
        <w:tc>
          <w:tcPr>
            <w:tcW w:w="892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27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60" w:type="dxa"/>
            <w:vAlign w:val="bottom"/>
            <w:shd w:val="clear" w:color="auto" w:fill="CCEEFF"/>
          </w:tcPr>
          <w:p>
            <w:pPr>
              <w:spacing w:after="0"/>
              <w:rPr>
                <w:sz w:val="15"/>
                <w:szCs w:val="15"/>
                <w:color w:val="auto"/>
              </w:rPr>
            </w:pPr>
          </w:p>
        </w:tc>
        <w:tc>
          <w:tcPr>
            <w:tcW w:w="892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27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60" w:type="dxa"/>
            <w:vAlign w:val="bottom"/>
          </w:tcPr>
          <w:p>
            <w:pPr>
              <w:spacing w:after="0"/>
              <w:rPr>
                <w:sz w:val="14"/>
                <w:szCs w:val="14"/>
                <w:color w:val="auto"/>
              </w:rPr>
            </w:pPr>
          </w:p>
        </w:tc>
        <w:tc>
          <w:tcPr>
            <w:tcW w:w="8920" w:type="dxa"/>
            <w:vAlign w:val="bottom"/>
            <w:gridSpan w:val="13"/>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3"/>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9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9"/>
        </w:trPr>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160" w:type="dxa"/>
            <w:vAlign w:val="bottom"/>
            <w:shd w:val="clear" w:color="auto" w:fill="CCEEFF"/>
          </w:tcPr>
          <w:p>
            <w:pPr>
              <w:spacing w:after="0"/>
              <w:rPr>
                <w:sz w:val="19"/>
                <w:szCs w:val="19"/>
                <w:color w:val="auto"/>
              </w:rPr>
            </w:pPr>
          </w:p>
        </w:tc>
        <w:tc>
          <w:tcPr>
            <w:tcW w:w="89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160" w:type="dxa"/>
            <w:vAlign w:val="bottom"/>
          </w:tcPr>
          <w:p>
            <w:pPr>
              <w:spacing w:after="0"/>
              <w:rPr>
                <w:sz w:val="18"/>
                <w:szCs w:val="18"/>
                <w:color w:val="auto"/>
              </w:rPr>
            </w:pPr>
          </w:p>
        </w:tc>
        <w:tc>
          <w:tcPr>
            <w:tcW w:w="89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9"/>
        </w:trPr>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160" w:type="dxa"/>
            <w:vAlign w:val="bottom"/>
            <w:shd w:val="clear" w:color="auto" w:fill="CCEEFF"/>
          </w:tcPr>
          <w:p>
            <w:pPr>
              <w:spacing w:after="0"/>
              <w:rPr>
                <w:sz w:val="19"/>
                <w:szCs w:val="19"/>
                <w:color w:val="auto"/>
              </w:rPr>
            </w:pPr>
          </w:p>
        </w:tc>
        <w:tc>
          <w:tcPr>
            <w:tcW w:w="89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3"/>
        </w:trPr>
        <w:tc>
          <w:tcPr>
            <w:tcW w:w="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160" w:type="dxa"/>
            <w:vAlign w:val="bottom"/>
          </w:tcPr>
          <w:p>
            <w:pPr>
              <w:spacing w:after="0"/>
              <w:rPr>
                <w:sz w:val="18"/>
                <w:szCs w:val="18"/>
                <w:color w:val="auto"/>
              </w:rPr>
            </w:pPr>
          </w:p>
        </w:tc>
        <w:tc>
          <w:tcPr>
            <w:tcW w:w="89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9"/>
        </w:trPr>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160" w:type="dxa"/>
            <w:vAlign w:val="bottom"/>
            <w:shd w:val="clear" w:color="auto" w:fill="CCEEFF"/>
          </w:tcPr>
          <w:p>
            <w:pPr>
              <w:spacing w:after="0"/>
              <w:rPr>
                <w:sz w:val="19"/>
                <w:szCs w:val="19"/>
                <w:color w:val="auto"/>
              </w:rPr>
            </w:pPr>
          </w:p>
        </w:tc>
        <w:tc>
          <w:tcPr>
            <w:tcW w:w="89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ind w:left="1760" w:hanging="1113"/>
        <w:spacing w:after="0"/>
        <w:tabs>
          <w:tab w:leader="none" w:pos="1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31"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660" w:type="dxa"/>
        <w:tblCellMar>
          <w:top w:w="0" w:type="dxa"/>
          <w:left w:w="0" w:type="dxa"/>
          <w:bottom w:w="0" w:type="dxa"/>
          <w:right w:w="0" w:type="dxa"/>
        </w:tblCellMar>
      </w:tblPr>
      <w:tr>
        <w:trPr>
          <w:trHeight w:val="212"/>
        </w:trPr>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tc>
      </w:tr>
      <w:tr>
        <w:trPr>
          <w:trHeight w:val="408"/>
        </w:trPr>
        <w:tc>
          <w:tcPr>
            <w:tcW w:w="2280" w:type="dxa"/>
            <w:vAlign w:val="bottom"/>
          </w:tcPr>
          <w:p>
            <w:pPr>
              <w:spacing w:after="0"/>
              <w:rPr>
                <w:sz w:val="24"/>
                <w:szCs w:val="24"/>
                <w:color w:val="auto"/>
              </w:rPr>
            </w:pPr>
          </w:p>
        </w:tc>
        <w:tc>
          <w:tcPr>
            <w:tcW w:w="566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By: /s/ Christopher J. Bealer</w:t>
            </w: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r>
        <w:trPr>
          <w:trHeight w:val="415"/>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2026</w:t>
            </w:r>
          </w:p>
        </w:tc>
        <w:tc>
          <w:tcPr>
            <w:tcW w:w="5660" w:type="dxa"/>
            <w:vAlign w:val="bottom"/>
            <w:gridSpan w:val="2"/>
          </w:tcPr>
          <w:p>
            <w:pPr>
              <w:ind w:left="800"/>
              <w:spacing w:after="0"/>
              <w:rPr>
                <w:sz w:val="20"/>
                <w:szCs w:val="20"/>
                <w:color w:val="auto"/>
              </w:rPr>
            </w:pPr>
            <w:r>
              <w:rPr>
                <w:rFonts w:ascii="Times New Roman" w:cs="Times New Roman" w:eastAsia="Times New Roman" w:hAnsi="Times New Roman"/>
                <w:sz w:val="32"/>
                <w:szCs w:val="32"/>
                <w:color w:val="auto"/>
                <w:vertAlign w:val="subscript"/>
              </w:rPr>
              <w:t>Name:</w:t>
            </w:r>
            <w:r>
              <w:rPr>
                <w:rFonts w:ascii="Times New Roman" w:cs="Times New Roman" w:eastAsia="Times New Roman" w:hAnsi="Times New Roman"/>
                <w:sz w:val="16"/>
                <w:szCs w:val="16"/>
                <w:color w:val="auto"/>
              </w:rPr>
              <w:t xml:space="preserve"> Christopher J. Bealer</w:t>
            </w:r>
          </w:p>
        </w:tc>
      </w:tr>
      <w:tr>
        <w:trPr>
          <w:trHeight w:val="322"/>
        </w:trPr>
        <w:tc>
          <w:tcPr>
            <w:tcW w:w="2280" w:type="dxa"/>
            <w:vAlign w:val="bottom"/>
          </w:tcPr>
          <w:p>
            <w:pPr>
              <w:spacing w:after="0"/>
              <w:rPr>
                <w:sz w:val="24"/>
                <w:szCs w:val="24"/>
                <w:color w:val="auto"/>
              </w:rPr>
            </w:pPr>
          </w:p>
        </w:tc>
        <w:tc>
          <w:tcPr>
            <w:tcW w:w="5660" w:type="dxa"/>
            <w:vAlign w:val="bottom"/>
            <w:gridSpan w:val="2"/>
          </w:tcPr>
          <w:p>
            <w:pPr>
              <w:ind w:left="880"/>
              <w:spacing w:after="0" w:line="322" w:lineRule="exact"/>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Chief Financial Officer</w:t>
            </w:r>
          </w:p>
        </w:tc>
      </w:tr>
      <w:tr>
        <w:trPr>
          <w:trHeight w:val="212"/>
        </w:trPr>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121" w:right="6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Scalzo, certify that:</w:t>
      </w:r>
    </w:p>
    <w:p>
      <w:pPr>
        <w:spacing w:after="0" w:line="225" w:lineRule="exact"/>
        <w:rPr>
          <w:sz w:val="20"/>
          <w:szCs w:val="20"/>
          <w:color w:val="auto"/>
        </w:rPr>
      </w:pPr>
    </w:p>
    <w:p>
      <w:pPr>
        <w:ind w:left="420" w:hanging="23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2026</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Joseph E. Scalzo</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Joseph E. Scalzo</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Bealer, certify that:</w:t>
      </w:r>
    </w:p>
    <w:p>
      <w:pPr>
        <w:spacing w:after="0" w:line="225" w:lineRule="exact"/>
        <w:rPr>
          <w:sz w:val="20"/>
          <w:szCs w:val="20"/>
          <w:color w:val="auto"/>
        </w:rPr>
      </w:pPr>
    </w:p>
    <w:p>
      <w:pPr>
        <w:ind w:left="420" w:hanging="232"/>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2026</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Christopher J. Bealer</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Christopher J. Bealer</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February 28, 2026,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ectPr>
          <w:pgSz w:w="11900" w:h="16838" w:orient="portrait"/>
          <w:cols w:equalWidth="0" w:num="1">
            <w:col w:w="11240"/>
          </w:cols>
          <w:pgMar w:left="320" w:top="887" w:right="339" w:bottom="1440" w:gutter="0" w:footer="0" w:header="0"/>
        </w:sectPr>
      </w:pPr>
    </w:p>
    <w:p>
      <w:pPr>
        <w:spacing w:after="0" w:line="328" w:lineRule="exact"/>
        <w:rPr>
          <w:sz w:val="20"/>
          <w:szCs w:val="20"/>
          <w:color w:val="auto"/>
        </w:rPr>
      </w:pPr>
    </w:p>
    <w:p>
      <w:pPr>
        <w:ind w:left="220"/>
        <w:spacing w:after="0"/>
        <w:tabs>
          <w:tab w:leader="none" w:pos="1780" w:val="left"/>
        </w:tabs>
        <w:rPr>
          <w:sz w:val="20"/>
          <w:szCs w:val="20"/>
          <w:color w:val="auto"/>
        </w:rPr>
      </w:pPr>
      <w:r>
        <w:rPr>
          <w:rFonts w:ascii="Times New Roman" w:cs="Times New Roman" w:eastAsia="Times New Roman" w:hAnsi="Times New Roman"/>
          <w:sz w:val="16"/>
          <w:szCs w:val="16"/>
          <w:color w:val="auto"/>
        </w:rPr>
        <w:t>Date: April 9, 2026</w:t>
      </w:r>
      <w:r>
        <w:rPr>
          <w:sz w:val="20"/>
          <w:szCs w:val="20"/>
          <w:color w:val="auto"/>
        </w:rPr>
        <w:tab/>
      </w:r>
      <w:r>
        <w:rPr>
          <w:rFonts w:ascii="Times New Roman" w:cs="Times New Roman" w:eastAsia="Times New Roman" w:hAnsi="Times New Roman"/>
          <w:sz w:val="15"/>
          <w:szCs w:val="15"/>
          <w:color w:val="auto"/>
        </w:rPr>
        <w:t>By:</w:t>
      </w:r>
    </w:p>
    <w:p>
      <w:pPr>
        <w:spacing w:after="0" w:line="20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Name:</w:t>
      </w:r>
    </w:p>
    <w:p>
      <w:pPr>
        <w:spacing w:after="0" w:line="9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tabs>
          <w:tab w:leader="none" w:pos="1780" w:val="left"/>
        </w:tabs>
        <w:rPr>
          <w:sz w:val="20"/>
          <w:szCs w:val="20"/>
          <w:color w:val="auto"/>
        </w:rPr>
      </w:pPr>
      <w:r>
        <w:rPr>
          <w:rFonts w:ascii="Times New Roman" w:cs="Times New Roman" w:eastAsia="Times New Roman" w:hAnsi="Times New Roman"/>
          <w:sz w:val="16"/>
          <w:szCs w:val="16"/>
          <w:color w:val="auto"/>
        </w:rPr>
        <w:t>Date: April 9, 2026</w:t>
      </w:r>
      <w:r>
        <w:rPr>
          <w:sz w:val="20"/>
          <w:szCs w:val="20"/>
          <w:color w:val="auto"/>
        </w:rPr>
        <w:tab/>
      </w:r>
      <w:r>
        <w:rPr>
          <w:rFonts w:ascii="Times New Roman" w:cs="Times New Roman" w:eastAsia="Times New Roman" w:hAnsi="Times New Roman"/>
          <w:sz w:val="15"/>
          <w:szCs w:val="15"/>
          <w:color w:val="auto"/>
        </w:rPr>
        <w:t>By:</w:t>
      </w:r>
    </w:p>
    <w:p>
      <w:pPr>
        <w:spacing w:after="0" w:line="7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5"/>
          <w:szCs w:val="15"/>
          <w:color w:val="auto"/>
        </w:rPr>
        <w:t>Name:</w:t>
      </w:r>
    </w:p>
    <w:p>
      <w:pPr>
        <w:spacing w:after="0" w:line="9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Joseph E. Scalzo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123190</wp:posOffset>
            </wp:positionV>
            <wp:extent cx="221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E. Scalzo</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Christopher J. Bealer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2219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Christopher J. Bealer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sectPr>
      <w:pgSz w:w="11900" w:h="16838" w:orient="portrait"/>
      <w:cols w:equalWidth="0" w:num="2">
        <w:col w:w="2220" w:space="260"/>
        <w:col w:w="8760"/>
      </w:cols>
      <w:pgMar w:left="320" w:top="88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Roman"/>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7">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0">
    <w:nsid w:val="628C895D"/>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7" Type="http://schemas.openxmlformats.org/officeDocument/2006/relationships/hyperlink" Target="https://www.sec.gov/Archives/edgar/data/1702744/000110465926005379/tm263640d1_ex10-1.htm" TargetMode="External"/><Relationship Id="rId48" Type="http://schemas.openxmlformats.org/officeDocument/2006/relationships/hyperlink" Target="https://www.sec.gov/Archives/edgar/data/1702744/000110465926005379/tm263640d1_ex10-2.htm" TargetMode="External"/><Relationship Id="rId49" Type="http://schemas.openxmlformats.org/officeDocument/2006/relationships/hyperlink" Target="https://www.sec.gov/Archives/edgar/data/1702744/000110465926005379/tm263640d1_ex10-3.htm" TargetMode="External"/><Relationship Id="rId50" Type="http://schemas.openxmlformats.org/officeDocument/2006/relationships/hyperlink" Target="https://www.sec.gov/Archives/edgar/data/1702744/000110465926011163/tm265046d1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2026-04-09T07:29:35Z</dcterms:created>
  <dcterms:modified xsi:type="dcterms:W3CDTF">2026-04-09T07:29:35Z</dcterms:modified>
</cp:coreProperties>
</file>