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7" w:lineRule="exact"/>
        <w:rPr>
          <w:sz w:val="24"/>
          <w:szCs w:val="24"/>
          <w:color w:val="auto"/>
        </w:rPr>
      </w:pPr>
    </w:p>
    <w:p>
      <w:pPr>
        <w:ind w:left="1120"/>
        <w:spacing w:after="0"/>
        <w:rPr>
          <w:sz w:val="20"/>
          <w:szCs w:val="20"/>
          <w:color w:val="auto"/>
        </w:rPr>
      </w:pPr>
      <w:r>
        <w:rPr>
          <w:rFonts w:ascii="Arial" w:cs="Arial" w:eastAsia="Arial" w:hAnsi="Arial"/>
          <w:sz w:val="14"/>
          <w:szCs w:val="14"/>
          <w:b w:val="1"/>
          <w:bCs w:val="1"/>
          <w:color w:val="auto"/>
        </w:rPr>
        <w:t>(Mark One)</w:t>
      </w:r>
    </w:p>
    <w:p>
      <w:pPr>
        <w:spacing w:after="0" w:line="95" w:lineRule="exact"/>
        <w:rPr>
          <w:sz w:val="24"/>
          <w:szCs w:val="24"/>
          <w:color w:val="auto"/>
        </w:rPr>
      </w:pPr>
    </w:p>
    <w:p>
      <w:pPr>
        <w:ind w:left="2180" w:right="860" w:hanging="768"/>
        <w:spacing w:after="0" w:line="258" w:lineRule="auto"/>
        <w:tabs>
          <w:tab w:leader="none" w:pos="2180" w:val="left"/>
        </w:tabs>
        <w:numPr>
          <w:ilvl w:val="0"/>
          <w:numId w:val="1"/>
        </w:numPr>
        <w:rPr>
          <w:rFonts w:ascii="MS PGothic" w:cs="MS PGothic" w:eastAsia="MS PGothic" w:hAnsi="MS PGothic"/>
          <w:sz w:val="16"/>
          <w:szCs w:val="16"/>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8"/>
          <w:szCs w:val="18"/>
          <w:color w:val="auto"/>
        </w:rPr>
        <w:t>For the quarterly period ended February 29, 2020</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41" w:lineRule="exact"/>
        <w:rPr>
          <w:sz w:val="24"/>
          <w:szCs w:val="24"/>
          <w:color w:val="auto"/>
        </w:rPr>
      </w:pPr>
    </w:p>
    <w:p>
      <w:pPr>
        <w:ind w:left="1620" w:right="20" w:hanging="876"/>
        <w:spacing w:after="0" w:line="267" w:lineRule="auto"/>
        <w:tabs>
          <w:tab w:leader="none" w:pos="1620" w:val="left"/>
        </w:tabs>
        <w:numPr>
          <w:ilvl w:val="0"/>
          <w:numId w:val="2"/>
        </w:numPr>
        <w:rPr>
          <w:rFonts w:ascii="Arial" w:cs="Arial" w:eastAsia="Arial" w:hAnsi="Arial"/>
          <w:sz w:val="16"/>
          <w:szCs w:val="16"/>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001-38115</w:t>
      </w:r>
    </w:p>
    <w:p>
      <w:pPr>
        <w:spacing w:after="0" w:line="26"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Simply Good Foods Company</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ectPr>
          <w:pgSz w:w="11900" w:h="16838" w:orient="portrait"/>
          <w:cols w:equalWidth="0" w:num="1">
            <w:col w:w="11240"/>
          </w:cols>
          <w:pgMar w:left="320" w:top="593" w:right="339" w:bottom="0" w:gutter="0" w:footer="0" w:header="0"/>
        </w:sectPr>
      </w:pPr>
    </w:p>
    <w:p>
      <w:pPr>
        <w:spacing w:after="0" w:line="148"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82-1038121</w:t>
      </w:r>
    </w:p>
    <w:p>
      <w:pPr>
        <w:spacing w:after="0" w:line="95" w:lineRule="exact"/>
        <w:rPr>
          <w:sz w:val="24"/>
          <w:szCs w:val="24"/>
          <w:color w:val="auto"/>
        </w:rPr>
      </w:pPr>
    </w:p>
    <w:p>
      <w:pPr>
        <w:sectPr>
          <w:pgSz w:w="11900" w:h="16838" w:orient="portrait"/>
          <w:cols w:equalWidth="0" w:num="2">
            <w:col w:w="7880" w:space="720"/>
            <w:col w:w="2640"/>
          </w:cols>
          <w:pgMar w:left="320" w:top="593" w:right="339" w:bottom="0" w:gutter="0" w:footer="0" w:header="0"/>
          <w:type w:val="continuous"/>
        </w:sectPr>
      </w:pPr>
    </w:p>
    <w:tbl>
      <w:tblPr>
        <w:tblLayout w:type="fixed"/>
        <w:tblInd w:w="1100" w:type="dxa"/>
        <w:tblCellMar>
          <w:top w:w="0" w:type="dxa"/>
          <w:left w:w="0" w:type="dxa"/>
          <w:bottom w:w="0" w:type="dxa"/>
          <w:right w:w="0" w:type="dxa"/>
        </w:tblCellMar>
      </w:tblPr>
      <w:tr>
        <w:trPr>
          <w:trHeight w:val="203"/>
        </w:trPr>
        <w:tc>
          <w:tcPr>
            <w:tcW w:w="4360" w:type="dxa"/>
            <w:vAlign w:val="bottom"/>
          </w:tcPr>
          <w:p>
            <w:pPr>
              <w:jc w:val="center"/>
              <w:ind w:right="2319"/>
              <w:spacing w:after="0"/>
              <w:rPr>
                <w:sz w:val="20"/>
                <w:szCs w:val="20"/>
                <w:color w:val="auto"/>
              </w:rPr>
            </w:pPr>
            <w:r>
              <w:rPr>
                <w:rFonts w:ascii="Arial" w:cs="Arial" w:eastAsia="Arial" w:hAnsi="Arial"/>
                <w:sz w:val="16"/>
                <w:szCs w:val="16"/>
                <w:color w:val="auto"/>
                <w:w w:val="93"/>
              </w:rPr>
              <w:t>(State or other jurisdiction of</w:t>
            </w:r>
          </w:p>
        </w:tc>
        <w:tc>
          <w:tcPr>
            <w:tcW w:w="4760" w:type="dxa"/>
            <w:vAlign w:val="bottom"/>
            <w:vMerge w:val="restart"/>
          </w:tcPr>
          <w:p>
            <w:pPr>
              <w:ind w:left="2400"/>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98"/>
        </w:trPr>
        <w:tc>
          <w:tcPr>
            <w:tcW w:w="4360" w:type="dxa"/>
            <w:vAlign w:val="bottom"/>
            <w:vMerge w:val="restart"/>
          </w:tcPr>
          <w:p>
            <w:pPr>
              <w:jc w:val="center"/>
              <w:ind w:right="2339"/>
              <w:spacing w:after="0"/>
              <w:rPr>
                <w:sz w:val="20"/>
                <w:szCs w:val="20"/>
                <w:color w:val="auto"/>
              </w:rPr>
            </w:pPr>
            <w:r>
              <w:rPr>
                <w:rFonts w:ascii="Arial" w:cs="Arial" w:eastAsia="Arial" w:hAnsi="Arial"/>
                <w:sz w:val="16"/>
                <w:szCs w:val="16"/>
                <w:color w:val="auto"/>
                <w:w w:val="93"/>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6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1225 17th Street, Suite 1000</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6" w:lineRule="exact"/>
        <w:rPr>
          <w:sz w:val="24"/>
          <w:szCs w:val="24"/>
          <w:color w:val="auto"/>
        </w:rPr>
      </w:pPr>
    </w:p>
    <w:tbl>
      <w:tblPr>
        <w:tblLayout w:type="fixed"/>
        <w:tblInd w:w="1020" w:type="dxa"/>
        <w:tblCellMar>
          <w:top w:w="0" w:type="dxa"/>
          <w:left w:w="0" w:type="dxa"/>
          <w:bottom w:w="0" w:type="dxa"/>
          <w:right w:w="0" w:type="dxa"/>
        </w:tblCellMar>
      </w:tblPr>
      <w:tr>
        <w:trPr>
          <w:trHeight w:val="206"/>
        </w:trPr>
        <w:tc>
          <w:tcPr>
            <w:tcW w:w="32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Title of each class</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Trading symbol</w:t>
            </w:r>
          </w:p>
        </w:tc>
        <w:tc>
          <w:tcPr>
            <w:tcW w:w="330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47"/>
        </w:trPr>
        <w:tc>
          <w:tcPr>
            <w:tcW w:w="3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17"/>
        </w:trPr>
        <w:tc>
          <w:tcPr>
            <w:tcW w:w="32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Common Stock, par value $0.01 per share</w:t>
            </w:r>
          </w:p>
        </w:tc>
        <w:tc>
          <w:tcPr>
            <w:tcW w:w="270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SMPL</w:t>
            </w:r>
          </w:p>
        </w:tc>
        <w:tc>
          <w:tcPr>
            <w:tcW w:w="3300" w:type="dxa"/>
            <w:vAlign w:val="bottom"/>
          </w:tcPr>
          <w:p>
            <w:pPr>
              <w:jc w:val="center"/>
              <w:spacing w:after="0"/>
              <w:rPr>
                <w:sz w:val="20"/>
                <w:szCs w:val="20"/>
                <w:color w:val="auto"/>
              </w:rPr>
            </w:pPr>
            <w:r>
              <w:rPr>
                <w:rFonts w:ascii="Arial" w:cs="Arial" w:eastAsia="Arial" w:hAnsi="Arial"/>
                <w:sz w:val="16"/>
                <w:szCs w:val="16"/>
                <w:color w:val="auto"/>
                <w:w w:val="86"/>
              </w:rPr>
              <w:t>Nasdaq</w:t>
            </w:r>
          </w:p>
        </w:tc>
      </w:tr>
    </w:tbl>
    <w:p>
      <w:pPr>
        <w:spacing w:after="0" w:line="200" w:lineRule="exact"/>
        <w:rPr>
          <w:sz w:val="24"/>
          <w:szCs w:val="24"/>
          <w:color w:val="auto"/>
        </w:rPr>
      </w:pPr>
    </w:p>
    <w:p>
      <w:pPr>
        <w:spacing w:after="0" w:line="25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93" w:right="339" w:bottom="0" w:gutter="0" w:footer="0" w:header="0"/>
          <w:type w:val="continuous"/>
        </w:sectPr>
      </w:pPr>
    </w:p>
    <w:p>
      <w:pPr>
        <w:spacing w:after="0" w:line="134"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4100" w:space="620"/>
            <w:col w:w="1700" w:space="720"/>
            <w:col w:w="1080" w:space="60"/>
            <w:col w:w="2960"/>
          </w:cols>
          <w:pgMar w:left="320" w:top="593" w:right="339" w:bottom="0" w:gutter="0" w:footer="0" w:header="0"/>
          <w:type w:val="continuous"/>
        </w:sectPr>
      </w:pPr>
    </w:p>
    <w:p>
      <w:pPr>
        <w:spacing w:after="0" w:line="30" w:lineRule="exact"/>
        <w:rPr>
          <w:sz w:val="24"/>
          <w:szCs w:val="24"/>
          <w:color w:val="auto"/>
        </w:rPr>
      </w:pPr>
    </w:p>
    <w:p>
      <w:pPr>
        <w:ind w:left="26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9" w:lineRule="exact"/>
        <w:rPr>
          <w:sz w:val="24"/>
          <w:szCs w:val="24"/>
          <w:color w:val="auto"/>
        </w:rPr>
      </w:pPr>
    </w:p>
    <w:p>
      <w:pPr>
        <w:sectPr>
          <w:pgSz w:w="11900" w:h="16838" w:orient="portrait"/>
          <w:cols w:equalWidth="0" w:num="4">
            <w:col w:w="4020" w:space="700"/>
            <w:col w:w="1000" w:space="720"/>
            <w:col w:w="1780" w:space="60"/>
            <w:col w:w="2960"/>
          </w:cols>
          <w:pgMar w:left="320" w:top="593" w:right="339" w:bottom="0" w:gutter="0" w:footer="0" w:header="0"/>
          <w:type w:val="continuous"/>
        </w:sectPr>
      </w:pPr>
    </w:p>
    <w:p>
      <w:pPr>
        <w:spacing w:after="0" w:line="30" w:lineRule="exact"/>
        <w:rPr>
          <w:sz w:val="24"/>
          <w:szCs w:val="24"/>
          <w:color w:val="auto"/>
        </w:rPr>
      </w:pPr>
    </w:p>
    <w:p>
      <w:pPr>
        <w:ind w:left="644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2">
            <w:col w:w="8220" w:space="60"/>
            <w:col w:w="2960"/>
          </w:cols>
          <w:pgMar w:left="320" w:top="593"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April 3, 2020, there were 95,378,514 shares of common stock, par value $0.01 per share, issued and outstanding.</w:t>
      </w:r>
    </w:p>
    <w:p>
      <w:pPr>
        <w:sectPr>
          <w:pgSz w:w="11900" w:h="16838" w:orient="portrait"/>
          <w:cols w:equalWidth="0" w:num="1">
            <w:col w:w="11240"/>
          </w:cols>
          <w:pgMar w:left="320" w:top="593" w:right="33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60"/>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 THE QUARTER ENDED FEBRUARY 29,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860" w:type="dxa"/>
            <w:vAlign w:val="bottom"/>
            <w:gridSpan w:val="3"/>
          </w:tcPr>
          <w:p>
            <w:pPr>
              <w:ind w:left="520"/>
              <w:spacing w:after="0"/>
              <w:rPr>
                <w:sz w:val="20"/>
                <w:szCs w:val="20"/>
                <w:color w:val="auto"/>
              </w:rPr>
            </w:pPr>
            <w:r>
              <w:rPr>
                <w:rFonts w:ascii="Arial" w:cs="Arial" w:eastAsia="Arial" w:hAnsi="Arial"/>
                <w:sz w:val="16"/>
                <w:szCs w:val="16"/>
                <w:b w:val="1"/>
                <w:bCs w:val="1"/>
                <w:color w:val="auto"/>
                <w:w w:val="83"/>
              </w:rPr>
              <w:t>Page</w:t>
            </w:r>
          </w:p>
        </w:tc>
      </w:tr>
      <w:tr>
        <w:trPr>
          <w:trHeight w:val="271"/>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140" w:type="dxa"/>
            <w:vAlign w:val="bottom"/>
          </w:tcPr>
          <w:p>
            <w:pPr>
              <w:jc w:val="center"/>
              <w:ind w:right="1959"/>
              <w:spacing w:after="0"/>
              <w:rPr>
                <w:rFonts w:ascii="Arial" w:cs="Arial" w:eastAsia="Arial" w:hAnsi="Arial"/>
                <w:sz w:val="16"/>
                <w:szCs w:val="16"/>
                <w:b w:val="1"/>
                <w:bCs w:val="1"/>
                <w:u w:val="single" w:color="auto"/>
                <w:color w:val="0000EE"/>
                <w:w w:val="95"/>
              </w:rPr>
            </w:pPr>
            <w:hyperlink w:anchor="page4">
              <w:r>
                <w:rPr>
                  <w:rFonts w:ascii="Arial" w:cs="Arial" w:eastAsia="Arial" w:hAnsi="Arial"/>
                  <w:sz w:val="16"/>
                  <w:szCs w:val="16"/>
                  <w:b w:val="1"/>
                  <w:bCs w:val="1"/>
                  <w:u w:val="single" w:color="auto"/>
                  <w:color w:val="0000EE"/>
                  <w:w w:val="95"/>
                </w:rPr>
                <w:t>PART I. Financial Information</w:t>
              </w:r>
            </w:hyperlink>
          </w:p>
        </w:tc>
        <w:tc>
          <w:tcPr>
            <w:tcW w:w="5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4">
              <w:r>
                <w:rPr>
                  <w:rFonts w:ascii="Arial" w:cs="Arial" w:eastAsia="Arial" w:hAnsi="Arial"/>
                  <w:sz w:val="16"/>
                  <w:szCs w:val="16"/>
                  <w:u w:val="single" w:color="auto"/>
                  <w:color w:val="0000EE"/>
                </w:rPr>
                <w:t>Item 1</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 (Unaudited):</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3</w:t>
              </w:r>
            </w:hyperlink>
          </w:p>
        </w:tc>
        <w:tc>
          <w:tcPr>
            <w:tcW w:w="20" w:type="dxa"/>
            <w:vAlign w:val="bottom"/>
          </w:tcPr>
          <w:p>
            <w:pPr>
              <w:spacing w:after="0"/>
              <w:rPr>
                <w:sz w:val="22"/>
                <w:szCs w:val="22"/>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
              <w:r>
                <w:rPr>
                  <w:rFonts w:ascii="Arial" w:cs="Arial" w:eastAsia="Arial" w:hAnsi="Arial"/>
                  <w:sz w:val="16"/>
                  <w:szCs w:val="16"/>
                  <w:u w:val="single" w:color="auto"/>
                  <w:color w:val="0000EE"/>
                  <w:w w:val="89"/>
                </w:rPr>
                <w:t>3</w:t>
              </w:r>
            </w:hyperlink>
          </w:p>
        </w:tc>
        <w:tc>
          <w:tcPr>
            <w:tcW w:w="20" w:type="dxa"/>
            <w:vAlign w:val="bottom"/>
          </w:tcPr>
          <w:p>
            <w:pPr>
              <w:spacing w:after="0"/>
              <w:rPr>
                <w:sz w:val="23"/>
                <w:szCs w:val="23"/>
                <w:color w:val="auto"/>
              </w:rPr>
            </w:pPr>
          </w:p>
        </w:tc>
      </w:tr>
      <w:tr>
        <w:trPr>
          <w:trHeight w:val="257"/>
        </w:trPr>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Operations and Comprehensive Income</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5">
              <w:r>
                <w:rPr>
                  <w:rFonts w:ascii="Arial" w:cs="Arial" w:eastAsia="Arial" w:hAnsi="Arial"/>
                  <w:sz w:val="16"/>
                  <w:szCs w:val="16"/>
                  <w:u w:val="single" w:color="auto"/>
                  <w:color w:val="0000EE"/>
                  <w:w w:val="89"/>
                </w:rPr>
                <w:t>4</w:t>
              </w:r>
            </w:hyperlink>
          </w:p>
        </w:tc>
        <w:tc>
          <w:tcPr>
            <w:tcW w:w="20" w:type="dxa"/>
            <w:vAlign w:val="bottom"/>
          </w:tcPr>
          <w:p>
            <w:pPr>
              <w:spacing w:after="0"/>
              <w:rPr>
                <w:sz w:val="22"/>
                <w:szCs w:val="22"/>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6">
              <w:r>
                <w:rPr>
                  <w:rFonts w:ascii="Arial" w:cs="Arial" w:eastAsia="Arial" w:hAnsi="Arial"/>
                  <w:sz w:val="16"/>
                  <w:szCs w:val="16"/>
                  <w:u w:val="single" w:color="auto"/>
                  <w:color w:val="0000EE"/>
                  <w:w w:val="89"/>
                </w:rPr>
                <w:t>5</w:t>
              </w:r>
            </w:hyperlink>
          </w:p>
        </w:tc>
        <w:tc>
          <w:tcPr>
            <w:tcW w:w="20" w:type="dxa"/>
            <w:vAlign w:val="bottom"/>
          </w:tcPr>
          <w:p>
            <w:pPr>
              <w:spacing w:after="0"/>
              <w:rPr>
                <w:sz w:val="23"/>
                <w:szCs w:val="23"/>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Condensed Consolidated Statements of Stockholders’ Equity</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8">
              <w:r>
                <w:rPr>
                  <w:rFonts w:ascii="Arial" w:cs="Arial" w:eastAsia="Arial" w:hAnsi="Arial"/>
                  <w:sz w:val="16"/>
                  <w:szCs w:val="16"/>
                  <w:u w:val="single" w:color="auto"/>
                  <w:color w:val="0000EE"/>
                  <w:w w:val="89"/>
                </w:rPr>
                <w:t>7</w:t>
              </w:r>
            </w:hyperlink>
          </w:p>
        </w:tc>
        <w:tc>
          <w:tcPr>
            <w:tcW w:w="20" w:type="dxa"/>
            <w:vAlign w:val="bottom"/>
          </w:tcPr>
          <w:p>
            <w:pPr>
              <w:spacing w:after="0"/>
              <w:rPr>
                <w:sz w:val="23"/>
                <w:szCs w:val="23"/>
                <w:color w:val="auto"/>
              </w:rPr>
            </w:pPr>
          </w:p>
        </w:tc>
      </w:tr>
      <w:tr>
        <w:trPr>
          <w:trHeight w:val="270"/>
        </w:trPr>
        <w:tc>
          <w:tcPr>
            <w:tcW w:w="4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Notes to Unaudited Condensed Consolidated Financial Statements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9">
              <w:r>
                <w:rPr>
                  <w:rFonts w:ascii="Arial" w:cs="Arial" w:eastAsia="Arial" w:hAnsi="Arial"/>
                  <w:sz w:val="16"/>
                  <w:szCs w:val="16"/>
                  <w:u w:val="single" w:color="auto"/>
                  <w:color w:val="0000EE"/>
                  <w:w w:val="89"/>
                </w:rPr>
                <w:t>8</w:t>
              </w:r>
            </w:hyperlink>
          </w:p>
        </w:tc>
        <w:tc>
          <w:tcPr>
            <w:tcW w:w="20" w:type="dxa"/>
            <w:vAlign w:val="bottom"/>
          </w:tcPr>
          <w:p>
            <w:pPr>
              <w:spacing w:after="0"/>
              <w:rPr>
                <w:sz w:val="23"/>
                <w:szCs w:val="23"/>
                <w:color w:val="auto"/>
              </w:rPr>
            </w:pPr>
          </w:p>
        </w:tc>
      </w:tr>
      <w:tr>
        <w:trPr>
          <w:trHeight w:val="270"/>
        </w:trPr>
        <w:tc>
          <w:tcPr>
            <w:tcW w:w="1860" w:type="dxa"/>
            <w:vAlign w:val="bottom"/>
            <w:gridSpan w:val="2"/>
          </w:tcPr>
          <w:p>
            <w:pPr>
              <w:spacing w:after="0"/>
              <w:rPr>
                <w:rFonts w:ascii="Arial" w:cs="Arial" w:eastAsia="Arial" w:hAnsi="Arial"/>
                <w:sz w:val="16"/>
                <w:szCs w:val="16"/>
                <w:color w:val="0000EE"/>
              </w:rPr>
            </w:pPr>
            <w:hyperlink w:anchor="page25">
              <w:r>
                <w:rPr>
                  <w:rFonts w:ascii="Arial" w:cs="Arial" w:eastAsia="Arial" w:hAnsi="Arial"/>
                  <w:sz w:val="16"/>
                  <w:szCs w:val="16"/>
                  <w:u w:val="single" w:color="auto"/>
                  <w:color w:val="0000EE"/>
                </w:rPr>
                <w:t>Item 2</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Management’s Discussion and Analysis of Financial Condition and Results of Operations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25">
              <w:r>
                <w:rPr>
                  <w:rFonts w:ascii="Arial" w:cs="Arial" w:eastAsia="Arial" w:hAnsi="Arial"/>
                  <w:sz w:val="16"/>
                  <w:szCs w:val="16"/>
                  <w:u w:val="single" w:color="auto"/>
                  <w:color w:val="0000EE"/>
                  <w:w w:val="89"/>
                </w:rPr>
                <w:t>24</w:t>
              </w:r>
            </w:hyperlink>
          </w:p>
        </w:tc>
        <w:tc>
          <w:tcPr>
            <w:tcW w:w="20" w:type="dxa"/>
            <w:vAlign w:val="bottom"/>
          </w:tcPr>
          <w:p>
            <w:pPr>
              <w:spacing w:after="0"/>
              <w:rPr>
                <w:sz w:val="23"/>
                <w:szCs w:val="23"/>
                <w:color w:val="auto"/>
              </w:rPr>
            </w:pPr>
          </w:p>
        </w:tc>
      </w:tr>
      <w:tr>
        <w:trPr>
          <w:trHeight w:val="256"/>
        </w:trPr>
        <w:tc>
          <w:tcPr>
            <w:tcW w:w="1860" w:type="dxa"/>
            <w:vAlign w:val="bottom"/>
            <w:gridSpan w:val="2"/>
          </w:tcPr>
          <w:p>
            <w:pPr>
              <w:spacing w:after="0"/>
              <w:rPr>
                <w:rFonts w:ascii="Arial" w:cs="Arial" w:eastAsia="Arial" w:hAnsi="Arial"/>
                <w:sz w:val="16"/>
                <w:szCs w:val="16"/>
                <w:color w:val="0000EE"/>
              </w:rPr>
            </w:pPr>
            <w:hyperlink w:anchor="page36">
              <w:r>
                <w:rPr>
                  <w:rFonts w:ascii="Arial" w:cs="Arial" w:eastAsia="Arial" w:hAnsi="Arial"/>
                  <w:sz w:val="16"/>
                  <w:szCs w:val="16"/>
                  <w:u w:val="single" w:color="auto"/>
                  <w:color w:val="0000EE"/>
                </w:rPr>
                <w:t>Item 3</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Quantitative and Qualitative Disclosures about Market Risk</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6">
              <w:r>
                <w:rPr>
                  <w:rFonts w:ascii="Arial" w:cs="Arial" w:eastAsia="Arial" w:hAnsi="Arial"/>
                  <w:sz w:val="16"/>
                  <w:szCs w:val="16"/>
                  <w:u w:val="single" w:color="auto"/>
                  <w:color w:val="0000EE"/>
                  <w:w w:val="89"/>
                </w:rPr>
                <w:t>35</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6">
              <w:r>
                <w:rPr>
                  <w:rFonts w:ascii="Arial" w:cs="Arial" w:eastAsia="Arial" w:hAnsi="Arial"/>
                  <w:sz w:val="16"/>
                  <w:szCs w:val="16"/>
                  <w:u w:val="single" w:color="auto"/>
                  <w:color w:val="0000EE"/>
                </w:rPr>
                <w:t>Item 4</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6">
              <w:r>
                <w:rPr>
                  <w:rFonts w:ascii="Arial" w:cs="Arial" w:eastAsia="Arial" w:hAnsi="Arial"/>
                  <w:sz w:val="16"/>
                  <w:szCs w:val="16"/>
                  <w:u w:val="single" w:color="auto"/>
                  <w:color w:val="0000EE"/>
                </w:rPr>
                <w:t>Controls and Procedures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6">
              <w:r>
                <w:rPr>
                  <w:rFonts w:ascii="Arial" w:cs="Arial" w:eastAsia="Arial" w:hAnsi="Arial"/>
                  <w:sz w:val="16"/>
                  <w:szCs w:val="16"/>
                  <w:u w:val="single" w:color="auto"/>
                  <w:color w:val="0000EE"/>
                  <w:w w:val="89"/>
                </w:rPr>
                <w:t>35</w:t>
              </w:r>
            </w:hyperlink>
          </w:p>
        </w:tc>
        <w:tc>
          <w:tcPr>
            <w:tcW w:w="2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140" w:type="dxa"/>
            <w:vAlign w:val="bottom"/>
          </w:tcPr>
          <w:p>
            <w:pPr>
              <w:jc w:val="center"/>
              <w:ind w:right="1979"/>
              <w:spacing w:after="0"/>
              <w:rPr>
                <w:rFonts w:ascii="Arial" w:cs="Arial" w:eastAsia="Arial" w:hAnsi="Arial"/>
                <w:sz w:val="16"/>
                <w:szCs w:val="16"/>
                <w:b w:val="1"/>
                <w:bCs w:val="1"/>
                <w:u w:val="single" w:color="auto"/>
                <w:color w:val="0000EE"/>
                <w:w w:val="97"/>
              </w:rPr>
            </w:pPr>
            <w:hyperlink w:anchor="page37">
              <w:r>
                <w:rPr>
                  <w:rFonts w:ascii="Arial" w:cs="Arial" w:eastAsia="Arial" w:hAnsi="Arial"/>
                  <w:sz w:val="16"/>
                  <w:szCs w:val="16"/>
                  <w:b w:val="1"/>
                  <w:bCs w:val="1"/>
                  <w:u w:val="single" w:color="auto"/>
                  <w:color w:val="0000EE"/>
                  <w:w w:val="97"/>
                </w:rPr>
                <w:t>PART II. Other Information</w:t>
              </w:r>
            </w:hyperlink>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u w:val="single" w:color="auto"/>
                  <w:color w:val="0000EE"/>
                </w:rPr>
                <w:t>Item 1</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Legal Proceedings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36</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u w:val="single" w:color="auto"/>
                  <w:color w:val="0000EE"/>
                </w:rPr>
                <w:t>Item 1A</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Risk Factors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36</w:t>
              </w:r>
            </w:hyperlink>
          </w:p>
        </w:tc>
        <w:tc>
          <w:tcPr>
            <w:tcW w:w="20" w:type="dxa"/>
            <w:vAlign w:val="bottom"/>
          </w:tcPr>
          <w:p>
            <w:pPr>
              <w:spacing w:after="0"/>
              <w:rPr>
                <w:sz w:val="22"/>
                <w:szCs w:val="22"/>
                <w:color w:val="auto"/>
              </w:rPr>
            </w:pPr>
          </w:p>
        </w:tc>
      </w:tr>
      <w:tr>
        <w:trPr>
          <w:trHeight w:val="256"/>
        </w:trPr>
        <w:tc>
          <w:tcPr>
            <w:tcW w:w="186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u w:val="single" w:color="auto"/>
                  <w:color w:val="0000EE"/>
                </w:rPr>
                <w:t>Item 2</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Unregistered Sales of Equity Securities and Use of Proceeds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36</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u w:val="single" w:color="auto"/>
                  <w:color w:val="0000EE"/>
                </w:rPr>
                <w:t>Item 3</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Defaults Upon Senior Securities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36</w:t>
              </w:r>
            </w:hyperlink>
          </w:p>
        </w:tc>
        <w:tc>
          <w:tcPr>
            <w:tcW w:w="20" w:type="dxa"/>
            <w:vAlign w:val="bottom"/>
          </w:tcPr>
          <w:p>
            <w:pPr>
              <w:spacing w:after="0"/>
              <w:rPr>
                <w:sz w:val="22"/>
                <w:szCs w:val="22"/>
                <w:color w:val="auto"/>
              </w:rPr>
            </w:pPr>
          </w:p>
        </w:tc>
      </w:tr>
      <w:tr>
        <w:trPr>
          <w:trHeight w:val="257"/>
        </w:trPr>
        <w:tc>
          <w:tcPr>
            <w:tcW w:w="1860" w:type="dxa"/>
            <w:vAlign w:val="bottom"/>
            <w:gridSpan w:val="2"/>
          </w:tcPr>
          <w:p>
            <w:pPr>
              <w:spacing w:after="0"/>
              <w:rPr>
                <w:rFonts w:ascii="Arial" w:cs="Arial" w:eastAsia="Arial" w:hAnsi="Arial"/>
                <w:sz w:val="16"/>
                <w:szCs w:val="16"/>
                <w:color w:val="0000EE"/>
              </w:rPr>
            </w:pPr>
            <w:hyperlink w:anchor="page37">
              <w:r>
                <w:rPr>
                  <w:rFonts w:ascii="Arial" w:cs="Arial" w:eastAsia="Arial" w:hAnsi="Arial"/>
                  <w:sz w:val="16"/>
                  <w:szCs w:val="16"/>
                  <w:u w:val="single" w:color="auto"/>
                  <w:color w:val="0000EE"/>
                </w:rPr>
                <w:t>Item 4</w:t>
              </w:r>
            </w:hyperlink>
            <w:r>
              <w:rPr>
                <w:rFonts w:ascii="Arial" w:cs="Arial" w:eastAsia="Arial" w:hAnsi="Arial"/>
                <w:sz w:val="16"/>
                <w:szCs w:val="16"/>
                <w:color w:val="000000"/>
              </w:rPr>
              <w:t>.</w:t>
            </w:r>
          </w:p>
        </w:tc>
        <w:tc>
          <w:tcPr>
            <w:tcW w:w="6320" w:type="dxa"/>
            <w:vAlign w:val="bottom"/>
            <w:gridSpan w:val="3"/>
          </w:tcPr>
          <w:p>
            <w:pPr>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Mine Safety Disclosures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7">
              <w:r>
                <w:rPr>
                  <w:rFonts w:ascii="Arial" w:cs="Arial" w:eastAsia="Arial" w:hAnsi="Arial"/>
                  <w:sz w:val="16"/>
                  <w:szCs w:val="16"/>
                  <w:u w:val="single" w:color="auto"/>
                  <w:color w:val="0000EE"/>
                  <w:w w:val="89"/>
                </w:rPr>
                <w:t>36</w:t>
              </w:r>
            </w:hyperlink>
          </w:p>
        </w:tc>
        <w:tc>
          <w:tcPr>
            <w:tcW w:w="20" w:type="dxa"/>
            <w:vAlign w:val="bottom"/>
          </w:tcPr>
          <w:p>
            <w:pPr>
              <w:spacing w:after="0"/>
              <w:rPr>
                <w:sz w:val="22"/>
                <w:szCs w:val="22"/>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6"/>
                <w:szCs w:val="16"/>
                <w:color w:val="0000EE"/>
              </w:rPr>
              <w:t>Item 5</w:t>
            </w:r>
            <w:r>
              <w:rPr>
                <w:rFonts w:ascii="Arial" w:cs="Arial" w:eastAsia="Arial" w:hAnsi="Arial"/>
                <w:sz w:val="16"/>
                <w:szCs w:val="16"/>
                <w:color w:val="000000"/>
              </w:rPr>
              <w:t>.</w:t>
            </w:r>
          </w:p>
        </w:tc>
        <w:tc>
          <w:tcPr>
            <w:tcW w:w="6320" w:type="dxa"/>
            <w:vAlign w:val="bottom"/>
            <w:gridSpan w:val="3"/>
          </w:tcPr>
          <w:p>
            <w:pPr>
              <w:spacing w:after="0"/>
              <w:rPr>
                <w:sz w:val="20"/>
                <w:szCs w:val="20"/>
                <w:color w:val="auto"/>
              </w:rPr>
            </w:pPr>
            <w:r>
              <w:rPr>
                <w:rFonts w:ascii="Arial" w:cs="Arial" w:eastAsia="Arial" w:hAnsi="Arial"/>
                <w:sz w:val="16"/>
                <w:szCs w:val="16"/>
                <w:color w:val="0000EE"/>
              </w:rPr>
              <w:t>Other Information</w:t>
            </w:r>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8">
              <w:r>
                <w:rPr>
                  <w:rFonts w:ascii="Arial" w:cs="Arial" w:eastAsia="Arial" w:hAnsi="Arial"/>
                  <w:sz w:val="16"/>
                  <w:szCs w:val="16"/>
                  <w:u w:val="single" w:color="auto"/>
                  <w:color w:val="0000EE"/>
                  <w:w w:val="89"/>
                </w:rPr>
                <w:t>36</w:t>
              </w:r>
            </w:hyperlink>
          </w:p>
        </w:tc>
        <w:tc>
          <w:tcPr>
            <w:tcW w:w="20" w:type="dxa"/>
            <w:vAlign w:val="bottom"/>
          </w:tcPr>
          <w:p>
            <w:pPr>
              <w:spacing w:after="0"/>
              <w:rPr>
                <w:sz w:val="19"/>
                <w:szCs w:val="19"/>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860" w:type="dxa"/>
            <w:vAlign w:val="bottom"/>
            <w:gridSpan w:val="2"/>
          </w:tcPr>
          <w:p>
            <w:pPr>
              <w:spacing w:after="0"/>
              <w:rPr>
                <w:sz w:val="20"/>
                <w:szCs w:val="20"/>
                <w:color w:val="auto"/>
              </w:rPr>
            </w:pPr>
            <w:r>
              <w:rPr>
                <w:rFonts w:ascii="Arial" w:cs="Arial" w:eastAsia="Arial" w:hAnsi="Arial"/>
                <w:sz w:val="16"/>
                <w:szCs w:val="16"/>
                <w:color w:val="0000EE"/>
              </w:rPr>
              <w:t>Item 6</w:t>
            </w:r>
            <w:r>
              <w:rPr>
                <w:rFonts w:ascii="Arial" w:cs="Arial" w:eastAsia="Arial" w:hAnsi="Arial"/>
                <w:sz w:val="16"/>
                <w:szCs w:val="16"/>
                <w:color w:val="000000"/>
              </w:rPr>
              <w:t>.</w:t>
            </w:r>
          </w:p>
        </w:tc>
        <w:tc>
          <w:tcPr>
            <w:tcW w:w="6320" w:type="dxa"/>
            <w:vAlign w:val="bottom"/>
            <w:gridSpan w:val="3"/>
          </w:tcPr>
          <w:p>
            <w:pPr>
              <w:spacing w:after="0"/>
              <w:rPr>
                <w:sz w:val="20"/>
                <w:szCs w:val="20"/>
                <w:color w:val="auto"/>
              </w:rPr>
            </w:pPr>
            <w:r>
              <w:rPr>
                <w:rFonts w:ascii="Arial" w:cs="Arial" w:eastAsia="Arial" w:hAnsi="Arial"/>
                <w:sz w:val="16"/>
                <w:szCs w:val="16"/>
                <w:color w:val="0000EE"/>
              </w:rPr>
              <w:t>Exhibits</w:t>
            </w:r>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39">
              <w:r>
                <w:rPr>
                  <w:rFonts w:ascii="Arial" w:cs="Arial" w:eastAsia="Arial" w:hAnsi="Arial"/>
                  <w:sz w:val="16"/>
                  <w:szCs w:val="16"/>
                  <w:u w:val="single" w:color="auto"/>
                  <w:color w:val="0000EE"/>
                  <w:w w:val="89"/>
                </w:rPr>
                <w:t>37</w:t>
              </w:r>
            </w:hyperlink>
          </w:p>
        </w:tc>
        <w:tc>
          <w:tcPr>
            <w:tcW w:w="20" w:type="dxa"/>
            <w:vAlign w:val="bottom"/>
          </w:tcPr>
          <w:p>
            <w:pPr>
              <w:spacing w:after="0"/>
              <w:rPr>
                <w:sz w:val="20"/>
                <w:szCs w:val="20"/>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5"/>
        </w:trPr>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20" w:type="dxa"/>
            <w:vAlign w:val="bottom"/>
            <w:gridSpan w:val="3"/>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Signatures</w:t>
              </w:r>
            </w:hyperlink>
          </w:p>
        </w:tc>
        <w:tc>
          <w:tcPr>
            <w:tcW w:w="840" w:type="dxa"/>
            <w:vAlign w:val="bottom"/>
            <w:gridSpan w:val="2"/>
          </w:tcPr>
          <w:p>
            <w:pPr>
              <w:jc w:val="center"/>
              <w:ind w:left="439"/>
              <w:spacing w:after="0"/>
              <w:rPr>
                <w:rFonts w:ascii="Arial" w:cs="Arial" w:eastAsia="Arial" w:hAnsi="Arial"/>
                <w:sz w:val="16"/>
                <w:szCs w:val="16"/>
                <w:u w:val="single" w:color="auto"/>
                <w:color w:val="0000EE"/>
                <w:w w:val="89"/>
              </w:rPr>
            </w:pPr>
            <w:hyperlink w:anchor="page40">
              <w:r>
                <w:rPr>
                  <w:rFonts w:ascii="Arial" w:cs="Arial" w:eastAsia="Arial" w:hAnsi="Arial"/>
                  <w:sz w:val="16"/>
                  <w:szCs w:val="16"/>
                  <w:u w:val="single" w:color="auto"/>
                  <w:color w:val="0000EE"/>
                  <w:w w:val="89"/>
                </w:rPr>
                <w:t>38</w:t>
              </w:r>
            </w:hyperlink>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99"/>
          </w:cols>
          <w:pgMar w:left="1360" w:top="337" w:right="1440" w:bottom="1440" w:gutter="0" w:footer="0" w:header="0"/>
        </w:sectPr>
      </w:pPr>
    </w:p>
    <w:bookmarkStart w:id="3" w:name="page4"/>
    <w:bookmarkEnd w:id="3"/>
    <w:p>
      <w:pPr>
        <w:ind w:left="44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February 29, 2020</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w w:val="94"/>
              </w:rPr>
              <w:t>August 31, 2019</w:t>
            </w:r>
          </w:p>
        </w:tc>
      </w:tr>
      <w:tr>
        <w:trPr>
          <w:trHeight w:val="47"/>
        </w:trPr>
        <w:tc>
          <w:tcPr>
            <w:tcW w:w="69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266,341</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89,966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44,240</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38,085</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Prepaid expenses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w:t>
            </w:r>
          </w:p>
        </w:tc>
      </w:tr>
      <w:tr>
        <w:trPr>
          <w:trHeight w:val="217"/>
        </w:trPr>
        <w:tc>
          <w:tcPr>
            <w:tcW w:w="696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235,634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357,607</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Long-term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1,149,410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306,139</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570,716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471,427</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Other long-term assets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4,021</w:t>
            </w:r>
          </w:p>
        </w:tc>
      </w:tr>
      <w:tr>
        <w:trPr>
          <w:trHeight w:val="33"/>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2,001,348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1,141,650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15,730</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Accrued interest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1,693</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29,933</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Current maturities of long-term debt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33"/>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48,032</w:t>
            </w:r>
          </w:p>
        </w:tc>
      </w:tr>
      <w:tr>
        <w:trPr>
          <w:trHeight w:val="270"/>
        </w:trPr>
        <w:tc>
          <w:tcPr>
            <w:tcW w:w="6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Long-term debt, less current maturities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624,076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190,259</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65,383</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804,315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304,206</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See commitments and contingencies (Note 10)</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Preferred stock, $0.01 par value, 100,000,000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960" w:type="dxa"/>
            <w:vAlign w:val="bottom"/>
          </w:tcPr>
          <w:p>
            <w:pPr>
              <w:ind w:left="160"/>
              <w:spacing w:after="0"/>
              <w:rPr>
                <w:sz w:val="20"/>
                <w:szCs w:val="20"/>
                <w:color w:val="auto"/>
              </w:rPr>
            </w:pPr>
            <w:r>
              <w:rPr>
                <w:rFonts w:ascii="Arial" w:cs="Arial" w:eastAsia="Arial" w:hAnsi="Arial"/>
                <w:sz w:val="16"/>
                <w:szCs w:val="16"/>
                <w:color w:val="auto"/>
                <w:w w:val="93"/>
              </w:rPr>
              <w:t>Common stock, $0.01 par value, 600,000,000 shares authorized, 95,476,537 and 81,973,284 issued at</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6"/>
        </w:trPr>
        <w:tc>
          <w:tcPr>
            <w:tcW w:w="6960" w:type="dxa"/>
            <w:vAlign w:val="bottom"/>
          </w:tcPr>
          <w:p>
            <w:pPr>
              <w:ind w:left="160"/>
              <w:spacing w:after="0"/>
              <w:rPr>
                <w:sz w:val="20"/>
                <w:szCs w:val="20"/>
                <w:color w:val="auto"/>
              </w:rPr>
            </w:pPr>
            <w:r>
              <w:rPr>
                <w:rFonts w:ascii="Arial" w:cs="Arial" w:eastAsia="Arial" w:hAnsi="Arial"/>
                <w:sz w:val="16"/>
                <w:szCs w:val="16"/>
                <w:color w:val="auto"/>
              </w:rPr>
              <w:t>February 29, 2020 and August 31, 2019, respectively</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820</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0"/>
        </w:trPr>
        <w:tc>
          <w:tcPr>
            <w:tcW w:w="6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Treasury stock, 98,234 and 98,234 shares at cost at February 29, 2020 and August 31, 2019,</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9"/>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respectively</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Additional paid-in-capital</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1,087,506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733,775</w:t>
            </w:r>
          </w:p>
        </w:tc>
      </w:tr>
      <w:tr>
        <w:trPr>
          <w:trHeight w:val="33"/>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105,830</w:t>
            </w:r>
          </w:p>
        </w:tc>
      </w:tr>
      <w:tr>
        <w:trPr>
          <w:trHeight w:val="237"/>
        </w:trPr>
        <w:tc>
          <w:tcPr>
            <w:tcW w:w="6960" w:type="dxa"/>
            <w:vAlign w:val="bottom"/>
          </w:tcPr>
          <w:p>
            <w:pPr>
              <w:ind w:left="1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33"/>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837,444</w:t>
            </w:r>
          </w:p>
        </w:tc>
      </w:tr>
      <w:tr>
        <w:trPr>
          <w:trHeight w:val="243"/>
        </w:trPr>
        <w:tc>
          <w:tcPr>
            <w:tcW w:w="69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2,001,348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1,141,650</w:t>
            </w:r>
          </w:p>
        </w:tc>
      </w:tr>
      <w:tr>
        <w:trPr>
          <w:trHeight w:val="20"/>
        </w:trPr>
        <w:tc>
          <w:tcPr>
            <w:tcW w:w="69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8540" w:type="dxa"/>
            <w:vAlign w:val="bottom"/>
            <w:gridSpan w:val="4"/>
          </w:tcPr>
          <w:p>
            <w:pPr>
              <w:ind w:left="218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640"/>
          </w:cols>
          <w:pgMar w:left="320" w:top="337" w:right="939" w:bottom="1440" w:gutter="0" w:footer="0" w:header="0"/>
        </w:sectPr>
      </w:pPr>
    </w:p>
    <w:p>
      <w:pPr>
        <w:spacing w:after="0" w:line="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640"/>
          </w:cols>
          <w:pgMar w:left="320" w:top="337" w:right="9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920" w:right="1980"/>
        <w:spacing w:after="0" w:line="266" w:lineRule="auto"/>
        <w:rPr>
          <w:sz w:val="20"/>
          <w:szCs w:val="20"/>
          <w:color w:val="auto"/>
        </w:rPr>
      </w:pPr>
      <w:r>
        <w:rPr>
          <w:rFonts w:ascii="Arial" w:cs="Arial" w:eastAsia="Arial" w:hAnsi="Arial"/>
          <w:sz w:val="18"/>
          <w:szCs w:val="18"/>
          <w:b w:val="1"/>
          <w:bCs w:val="1"/>
          <w:color w:val="auto"/>
        </w:rPr>
        <w:t xml:space="preserve">The Simply Good Foods Company and Subsidiaries Condensed Consolidated Statements of Operations and Comprehensive Income </w:t>
      </w:r>
      <w:r>
        <w:rPr>
          <w:rFonts w:ascii="Arial" w:cs="Arial" w:eastAsia="Arial" w:hAnsi="Arial"/>
          <w:sz w:val="18"/>
          <w:szCs w:val="18"/>
          <w:i w:val="1"/>
          <w:iCs w:val="1"/>
          <w:color w:val="auto"/>
        </w:rPr>
        <w:t>(Unaudited, dollars in thousands, except share and per share data)</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4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5"/>
          </w:tcPr>
          <w:p>
            <w:pPr>
              <w:ind w:left="400"/>
              <w:spacing w:after="0"/>
              <w:rPr>
                <w:sz w:val="20"/>
                <w:szCs w:val="20"/>
                <w:color w:val="auto"/>
              </w:rPr>
            </w:pPr>
            <w:r>
              <w:rPr>
                <w:rFonts w:ascii="Arial" w:cs="Arial" w:eastAsia="Arial" w:hAnsi="Arial"/>
                <w:sz w:val="16"/>
                <w:szCs w:val="16"/>
                <w:color w:val="auto"/>
              </w:rPr>
              <w:t>Thirteen Weeks Ended</w:t>
            </w:r>
          </w:p>
        </w:tc>
        <w:tc>
          <w:tcPr>
            <w:tcW w:w="320" w:type="dxa"/>
            <w:vAlign w:val="bottom"/>
          </w:tcPr>
          <w:p>
            <w:pPr>
              <w:spacing w:after="0"/>
              <w:rPr>
                <w:sz w:val="19"/>
                <w:szCs w:val="19"/>
                <w:color w:val="auto"/>
              </w:rPr>
            </w:pPr>
          </w:p>
        </w:tc>
        <w:tc>
          <w:tcPr>
            <w:tcW w:w="2500" w:type="dxa"/>
            <w:vAlign w:val="bottom"/>
            <w:gridSpan w:val="4"/>
          </w:tcPr>
          <w:p>
            <w:pPr>
              <w:jc w:val="right"/>
              <w:ind w:right="479"/>
              <w:spacing w:after="0"/>
              <w:rPr>
                <w:sz w:val="20"/>
                <w:szCs w:val="20"/>
                <w:color w:val="auto"/>
              </w:rPr>
            </w:pPr>
            <w:r>
              <w:rPr>
                <w:rFonts w:ascii="Arial" w:cs="Arial" w:eastAsia="Arial" w:hAnsi="Arial"/>
                <w:sz w:val="16"/>
                <w:szCs w:val="16"/>
                <w:color w:val="auto"/>
              </w:rPr>
              <w:t>Twenty-Six Weeks Ended</w:t>
            </w:r>
          </w:p>
        </w:tc>
      </w:tr>
      <w:tr>
        <w:trPr>
          <w:trHeight w:val="33"/>
        </w:trPr>
        <w:tc>
          <w:tcPr>
            <w:tcW w:w="424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color w:val="auto"/>
              </w:rPr>
              <w:t>February 29, 2020</w:t>
            </w:r>
          </w:p>
        </w:tc>
        <w:tc>
          <w:tcPr>
            <w:tcW w:w="1480" w:type="dxa"/>
            <w:vAlign w:val="bottom"/>
            <w:gridSpan w:val="3"/>
          </w:tcPr>
          <w:p>
            <w:pPr>
              <w:ind w:left="80"/>
              <w:spacing w:after="0"/>
              <w:rPr>
                <w:sz w:val="20"/>
                <w:szCs w:val="20"/>
                <w:color w:val="auto"/>
              </w:rPr>
            </w:pPr>
            <w:r>
              <w:rPr>
                <w:rFonts w:ascii="Arial" w:cs="Arial" w:eastAsia="Arial" w:hAnsi="Arial"/>
                <w:sz w:val="16"/>
                <w:szCs w:val="16"/>
                <w:color w:val="auto"/>
              </w:rPr>
              <w:t>February 23, 2019</w:t>
            </w:r>
          </w:p>
        </w:tc>
        <w:tc>
          <w:tcPr>
            <w:tcW w:w="1460" w:type="dxa"/>
            <w:vAlign w:val="bottom"/>
            <w:gridSpan w:val="3"/>
          </w:tcPr>
          <w:p>
            <w:pPr>
              <w:ind w:left="60"/>
              <w:spacing w:after="0"/>
              <w:rPr>
                <w:sz w:val="20"/>
                <w:szCs w:val="20"/>
                <w:color w:val="auto"/>
              </w:rPr>
            </w:pPr>
            <w:r>
              <w:rPr>
                <w:rFonts w:ascii="Arial" w:cs="Arial" w:eastAsia="Arial" w:hAnsi="Arial"/>
                <w:sz w:val="16"/>
                <w:szCs w:val="16"/>
                <w:color w:val="auto"/>
              </w:rPr>
              <w:t>February 29, 2020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6"/>
              </w:rPr>
              <w:t>February 23, 2019</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244,731</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141,707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74,145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231,654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143,156</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85,394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49,655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147,600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101,575</w:t>
            </w:r>
          </w:p>
        </w:tc>
      </w:tr>
      <w:tr>
        <w:trPr>
          <w:trHeight w:val="297"/>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Selling and marketing</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27,041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45,475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30,048</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25,730</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3,751</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Business transaction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r>
      <w:tr>
        <w:trPr>
          <w:trHeight w:val="220"/>
        </w:trPr>
        <w:tc>
          <w:tcPr>
            <w:tcW w:w="4240" w:type="dxa"/>
            <w:vAlign w:val="bottom"/>
          </w:tcPr>
          <w:p>
            <w:pPr>
              <w:ind w:left="160"/>
              <w:spacing w:after="0"/>
              <w:rPr>
                <w:sz w:val="20"/>
                <w:szCs w:val="20"/>
                <w:color w:val="auto"/>
              </w:rPr>
            </w:pPr>
            <w:r>
              <w:rPr>
                <w:rFonts w:ascii="Arial" w:cs="Arial" w:eastAsia="Arial" w:hAnsi="Arial"/>
                <w:sz w:val="16"/>
                <w:szCs w:val="16"/>
                <w:color w:val="auto"/>
                <w:w w:val="96"/>
              </w:rPr>
              <w:t>Loss in fair value change of contingent consideration - TRA</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6"/>
        </w:trPr>
        <w:tc>
          <w:tcPr>
            <w:tcW w:w="4240" w:type="dxa"/>
            <w:vAlign w:val="bottom"/>
          </w:tcPr>
          <w:p>
            <w:pPr>
              <w:ind w:left="160"/>
              <w:spacing w:after="0"/>
              <w:rPr>
                <w:sz w:val="20"/>
                <w:szCs w:val="20"/>
                <w:color w:val="auto"/>
              </w:rPr>
            </w:pPr>
            <w:r>
              <w:rPr>
                <w:rFonts w:ascii="Arial" w:cs="Arial" w:eastAsia="Arial" w:hAnsi="Arial"/>
                <w:sz w:val="16"/>
                <w:szCs w:val="16"/>
                <w:color w:val="auto"/>
              </w:rPr>
              <w:t>liability</w:t>
            </w:r>
          </w:p>
        </w:tc>
        <w:tc>
          <w:tcPr>
            <w:tcW w:w="30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125,316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61,391</w:t>
            </w:r>
          </w:p>
        </w:tc>
      </w:tr>
      <w:tr>
        <w:trPr>
          <w:trHeight w:val="297"/>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40,184</w:t>
            </w:r>
          </w:p>
        </w:tc>
      </w:tr>
      <w:tr>
        <w:trPr>
          <w:trHeight w:val="297"/>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(6,605)</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Gain on settlement of TRA liability</w:t>
            </w:r>
          </w:p>
        </w:tc>
        <w:tc>
          <w:tcPr>
            <w:tcW w:w="3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Gain (loss) on foreign currency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(3,553)</w:t>
            </w:r>
          </w:p>
        </w:tc>
      </w:tr>
      <w:tr>
        <w:trPr>
          <w:trHeight w:val="297"/>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36,631</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8,652</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27,979</w:t>
            </w:r>
          </w:p>
        </w:tc>
      </w:tr>
      <w:tr>
        <w:trPr>
          <w:trHeight w:val="297"/>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27,942</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 from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237"/>
        </w:trPr>
        <w:tc>
          <w:tcPr>
            <w:tcW w:w="42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95,339,489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81,900,352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92,524,061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79,595,330</w:t>
            </w:r>
          </w:p>
        </w:tc>
      </w:tr>
      <w:tr>
        <w:trPr>
          <w:trHeight w:val="237"/>
        </w:trPr>
        <w:tc>
          <w:tcPr>
            <w:tcW w:w="4240" w:type="dxa"/>
            <w:vAlign w:val="bottom"/>
          </w:tcPr>
          <w:p>
            <w:pPr>
              <w:ind w:left="16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100,336,571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85,350,196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97,597,614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84,062,479</w:t>
            </w:r>
          </w:p>
        </w:tc>
      </w:tr>
      <w:tr>
        <w:trPr>
          <w:trHeight w:val="229"/>
        </w:trPr>
        <w:tc>
          <w:tcPr>
            <w:tcW w:w="8660" w:type="dxa"/>
            <w:vAlign w:val="bottom"/>
            <w:gridSpan w:val="10"/>
          </w:tcPr>
          <w:p>
            <w:pPr>
              <w:ind w:left="218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40"/>
          </w:cols>
          <w:pgMar w:left="320" w:top="125" w:right="9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9"/>
        <w:spacing w:after="0"/>
        <w:rPr>
          <w:sz w:val="20"/>
          <w:szCs w:val="20"/>
          <w:color w:val="auto"/>
        </w:rPr>
      </w:pPr>
      <w:r>
        <w:rPr>
          <w:rFonts w:ascii="Arial" w:cs="Arial" w:eastAsia="Arial" w:hAnsi="Arial"/>
          <w:sz w:val="18"/>
          <w:szCs w:val="18"/>
          <w:i w:val="1"/>
          <w:iCs w:val="1"/>
          <w:color w:val="auto"/>
        </w:rPr>
        <w:t>(Unaudited, dollars in thousands)</w:t>
      </w:r>
    </w:p>
    <w:p>
      <w:pPr>
        <w:spacing w:after="0" w:line="161"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4"/>
          </w:tcPr>
          <w:p>
            <w:pPr>
              <w:jc w:val="right"/>
              <w:ind w:right="479"/>
              <w:spacing w:after="0"/>
              <w:rPr>
                <w:sz w:val="20"/>
                <w:szCs w:val="20"/>
                <w:color w:val="auto"/>
              </w:rPr>
            </w:pPr>
            <w:r>
              <w:rPr>
                <w:rFonts w:ascii="Arial" w:cs="Arial" w:eastAsia="Arial" w:hAnsi="Arial"/>
                <w:sz w:val="16"/>
                <w:szCs w:val="16"/>
                <w:color w:val="auto"/>
              </w:rPr>
              <w:t>Twenty-Six Weeks Ended</w:t>
            </w:r>
          </w:p>
        </w:tc>
      </w:tr>
      <w:tr>
        <w:trPr>
          <w:trHeight w:val="46"/>
        </w:trPr>
        <w:tc>
          <w:tcPr>
            <w:tcW w:w="7200" w:type="dxa"/>
            <w:vAlign w:val="bottom"/>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31"/>
        </w:trPr>
        <w:tc>
          <w:tcPr>
            <w:tcW w:w="7200" w:type="dxa"/>
            <w:vAlign w:val="bottom"/>
          </w:tcPr>
          <w:p>
            <w:pPr>
              <w:spacing w:after="0"/>
              <w:rPr>
                <w:sz w:val="20"/>
                <w:szCs w:val="20"/>
                <w:color w:val="auto"/>
              </w:rPr>
            </w:pPr>
          </w:p>
        </w:tc>
        <w:tc>
          <w:tcPr>
            <w:tcW w:w="1460" w:type="dxa"/>
            <w:vAlign w:val="bottom"/>
            <w:gridSpan w:val="3"/>
          </w:tcPr>
          <w:p>
            <w:pPr>
              <w:ind w:left="60"/>
              <w:spacing w:after="0"/>
              <w:rPr>
                <w:sz w:val="20"/>
                <w:szCs w:val="20"/>
                <w:color w:val="auto"/>
              </w:rPr>
            </w:pPr>
            <w:r>
              <w:rPr>
                <w:rFonts w:ascii="Arial" w:cs="Arial" w:eastAsia="Arial" w:hAnsi="Arial"/>
                <w:sz w:val="16"/>
                <w:szCs w:val="16"/>
                <w:color w:val="auto"/>
              </w:rPr>
              <w:t>February 29, 2020</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6"/>
              </w:rPr>
              <w:t>February 23, 2019</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6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5,864</w:t>
            </w:r>
          </w:p>
        </w:tc>
        <w:tc>
          <w:tcPr>
            <w:tcW w:w="10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27,979</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7,119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3,825</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Amortization of deferred financing costs and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2,478</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fair value change of contingent consideration - TRA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Gain on settlement of TRA liability</w:t>
            </w:r>
          </w:p>
        </w:tc>
        <w:tc>
          <w:tcPr>
            <w:tcW w:w="3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(1,534)</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Unrealized (gain) loss on foreign currency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2,485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8,463</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Amortization of operating lease right-of-use asset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acquisition:</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(8,774)</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(15,855)</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(5,808)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(2,092)</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6,143</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3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1,949</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Other assets and liabilities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(used in)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21,831</w:t>
            </w:r>
          </w:p>
        </w:tc>
      </w:tr>
      <w:tr>
        <w:trPr>
          <w:trHeight w:val="277"/>
        </w:trPr>
        <w:tc>
          <w:tcPr>
            <w:tcW w:w="7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Issuance of note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6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(984,201)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(985,932)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0"/>
        </w:trPr>
        <w:tc>
          <w:tcPr>
            <w:tcW w:w="7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179705</wp:posOffset>
            </wp:positionV>
            <wp:extent cx="636905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ectPr>
          <w:pgSz w:w="11900" w:h="16838" w:orient="portrait"/>
          <w:cols w:equalWidth="0" w:num="1">
            <w:col w:w="10640"/>
          </w:cols>
          <w:pgMar w:left="320" w:top="125" w:right="939" w:bottom="433" w:gutter="0" w:footer="0" w:header="0"/>
        </w:sectPr>
      </w:pPr>
    </w:p>
    <w:p>
      <w:pPr>
        <w:spacing w:after="0" w:line="31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Financing activities</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Proceeds from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43815</wp:posOffset>
            </wp:positionV>
            <wp:extent cx="636905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4"/>
          <w:szCs w:val="14"/>
          <w:color w:val="auto"/>
        </w:rPr>
        <w:t>Tax payments related to issuance of restricted stock units</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Payments on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43815</wp:posOffset>
            </wp:positionV>
            <wp:extent cx="636905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Cash received from warrant exercises</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43815</wp:posOffset>
            </wp:positionV>
            <wp:extent cx="63690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Settlement of TRA liability</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Principal 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43815</wp:posOffset>
            </wp:positionV>
            <wp:extent cx="63690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Proceeds from issuance of common stock</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Equity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43815</wp:posOffset>
            </wp:positionV>
            <wp:extent cx="63690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Proceeds from issuance of long term debt</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34925</wp:posOffset>
            </wp:positionV>
            <wp:extent cx="636905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223520</wp:posOffset>
            </wp:positionV>
            <wp:extent cx="63690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36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Net (decrease)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34925</wp:posOffset>
            </wp:positionV>
            <wp:extent cx="636905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9050" cy="171450"/>
                    </a:xfrm>
                    <a:prstGeom prst="rect">
                      <a:avLst/>
                    </a:prstGeom>
                    <a:noFill/>
                  </pic:spPr>
                </pic:pic>
              </a:graphicData>
            </a:graphic>
          </wp:anchor>
        </w:drawing>
      </w:r>
    </w:p>
    <w:p>
      <w:pPr>
        <w:spacing w:after="0" w:line="6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Effect of exchange rate on cash</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34925</wp:posOffset>
            </wp:positionV>
            <wp:extent cx="636905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69050" cy="179705"/>
                    </a:xfrm>
                    <a:prstGeom prst="rect">
                      <a:avLst/>
                    </a:prstGeom>
                    <a:noFill/>
                  </pic:spPr>
                </pic:pic>
              </a:graphicData>
            </a:graphic>
          </wp:anchor>
        </w:drawing>
      </w:r>
    </w:p>
    <w:p>
      <w:pPr>
        <w:spacing w:after="0" w:line="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ind w:left="2500" w:hanging="1476"/>
        <w:spacing w:after="0"/>
        <w:tabs>
          <w:tab w:leader="none" w:pos="2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361</w:t>
      </w:r>
    </w:p>
    <w:p>
      <w:pPr>
        <w:spacing w:after="0" w:line="86" w:lineRule="exact"/>
        <w:rPr>
          <w:rFonts w:ascii="Arial" w:cs="Arial" w:eastAsia="Arial" w:hAnsi="Arial"/>
          <w:sz w:val="16"/>
          <w:szCs w:val="16"/>
          <w:color w:val="auto"/>
        </w:rPr>
      </w:pPr>
    </w:p>
    <w:p>
      <w:pPr>
        <w:ind w:left="2600" w:hanging="1549"/>
        <w:spacing w:after="0"/>
        <w:tabs>
          <w:tab w:leader="none" w:pos="2600" w:val="left"/>
        </w:tabs>
        <w:numPr>
          <w:ilvl w:val="1"/>
          <w:numId w:val="3"/>
        </w:numPr>
        <w:rPr>
          <w:rFonts w:ascii="Arial" w:cs="Arial" w:eastAsia="Arial" w:hAnsi="Arial"/>
          <w:sz w:val="16"/>
          <w:szCs w:val="16"/>
          <w:color w:val="auto"/>
        </w:rPr>
      </w:pPr>
      <w:r>
        <w:rPr>
          <w:rFonts w:ascii="Arial" w:cs="Arial" w:eastAsia="Arial" w:hAnsi="Arial"/>
          <w:sz w:val="16"/>
          <w:szCs w:val="16"/>
          <w:color w:val="auto"/>
        </w:rPr>
        <w:t>(5)</w:t>
      </w:r>
    </w:p>
    <w:p>
      <w:pPr>
        <w:spacing w:after="0" w:line="86" w:lineRule="exact"/>
        <w:rPr>
          <w:sz w:val="20"/>
          <w:szCs w:val="20"/>
          <w:color w:val="auto"/>
        </w:rPr>
      </w:pPr>
    </w:p>
    <w:p>
      <w:pPr>
        <w:ind w:left="2580" w:hanging="1610"/>
        <w:spacing w:after="0"/>
        <w:tabs>
          <w:tab w:leader="none" w:pos="2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113,464</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(127)</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(26,468)</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(21,000)</w:t>
      </w:r>
      <w:r>
        <w:rPr>
          <w:rFonts w:ascii="Arial" w:cs="Arial" w:eastAsia="Arial" w:hAnsi="Arial"/>
          <w:sz w:val="15"/>
          <w:szCs w:val="15"/>
          <w:color w:val="auto"/>
        </w:rPr>
        <w:t>(1,000)</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352,542—</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(3,323)—</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460,000—</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(8,208)—</w:t>
      </w:r>
    </w:p>
    <w:p>
      <w:pPr>
        <w:spacing w:after="0" w:line="8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780,705</w:t>
      </w:r>
      <w:r>
        <w:rPr>
          <w:rFonts w:ascii="Arial" w:cs="Arial" w:eastAsia="Arial" w:hAnsi="Arial"/>
          <w:sz w:val="14"/>
          <w:szCs w:val="14"/>
          <w:color w:val="auto"/>
        </w:rPr>
        <w:t>86,225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800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(220,113)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107,169</w:t>
            </w:r>
          </w:p>
        </w:tc>
      </w:tr>
      <w:tr>
        <w:trPr>
          <w:trHeight w:val="270"/>
        </w:trPr>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70"/>
        </w:trPr>
        <w:tc>
          <w:tcPr>
            <w:tcW w:w="40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266,341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111,971</w:t>
            </w:r>
          </w:p>
        </w:tc>
      </w:tr>
      <w:tr>
        <w:trPr>
          <w:trHeight w:val="3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46,115</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218,897</w:t>
            </w:r>
          </w:p>
        </w:tc>
      </w:tr>
      <w:tr>
        <w:trPr>
          <w:trHeight w:val="33"/>
        </w:trPr>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00" w:space="720"/>
            <w:col w:w="2820"/>
          </w:cols>
          <w:pgMar w:left="320" w:top="125" w:right="939" w:bottom="433" w:gutter="0" w:footer="0" w:header="0"/>
          <w:type w:val="continuous"/>
        </w:sect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640"/>
          </w:cols>
          <w:pgMar w:left="320" w:top="125" w:right="939" w:bottom="433"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392"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color w:val="auto"/>
              </w:rPr>
              <w:t>Twenty-Six Weeks Ended</w:t>
            </w:r>
          </w:p>
        </w:tc>
        <w:tc>
          <w:tcPr>
            <w:tcW w:w="480" w:type="dxa"/>
            <w:vAlign w:val="bottom"/>
          </w:tcPr>
          <w:p>
            <w:pPr>
              <w:spacing w:after="0"/>
              <w:rPr>
                <w:sz w:val="17"/>
                <w:szCs w:val="17"/>
                <w:color w:val="auto"/>
              </w:rPr>
            </w:pPr>
          </w:p>
        </w:tc>
      </w:tr>
      <w:tr>
        <w:trPr>
          <w:trHeight w:val="47"/>
        </w:trPr>
        <w:tc>
          <w:tcPr>
            <w:tcW w:w="724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r>
      <w:tr>
        <w:trPr>
          <w:trHeight w:val="231"/>
        </w:trPr>
        <w:tc>
          <w:tcPr>
            <w:tcW w:w="724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color w:val="auto"/>
              </w:rPr>
              <w:t>February 29, 2020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w w:val="94"/>
              </w:rPr>
              <w:t>February 23, 2019</w:t>
            </w:r>
          </w:p>
        </w:tc>
      </w:tr>
      <w:tr>
        <w:trPr>
          <w:trHeight w:val="33"/>
        </w:trPr>
        <w:tc>
          <w:tcPr>
            <w:tcW w:w="7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7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Supplemental disclosures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37"/>
        </w:trPr>
        <w:tc>
          <w:tcPr>
            <w:tcW w:w="7240" w:type="dxa"/>
            <w:vAlign w:val="bottom"/>
          </w:tcPr>
          <w:p>
            <w:pPr>
              <w:ind w:left="16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13,814</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3,988</w:t>
            </w:r>
          </w:p>
        </w:tc>
      </w:tr>
      <w:tr>
        <w:trPr>
          <w:trHeight w:val="33"/>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Cash paid for taxes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37"/>
        </w:trPr>
        <w:tc>
          <w:tcPr>
            <w:tcW w:w="7240" w:type="dxa"/>
            <w:vAlign w:val="bottom"/>
          </w:tcPr>
          <w:p>
            <w:pPr>
              <w:ind w:left="20"/>
              <w:spacing w:after="0"/>
              <w:rPr>
                <w:sz w:val="20"/>
                <w:szCs w:val="20"/>
                <w:color w:val="auto"/>
              </w:rPr>
            </w:pPr>
            <w:r>
              <w:rPr>
                <w:rFonts w:ascii="Arial" w:cs="Arial" w:eastAsia="Arial" w:hAnsi="Arial"/>
                <w:sz w:val="16"/>
                <w:szCs w:val="16"/>
                <w:color w:val="auto"/>
              </w:rPr>
              <w:t>Non-cash investing and financing transaction</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3"/>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lease right-of-use assets recognized at ASU No 2016-02 transition</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240" w:type="dxa"/>
            <w:vAlign w:val="bottom"/>
          </w:tcPr>
          <w:p>
            <w:pPr>
              <w:ind w:left="160"/>
              <w:spacing w:after="0"/>
              <w:rPr>
                <w:sz w:val="20"/>
                <w:szCs w:val="20"/>
                <w:color w:val="auto"/>
              </w:rPr>
            </w:pPr>
            <w:r>
              <w:rPr>
                <w:rFonts w:ascii="Arial" w:cs="Arial" w:eastAsia="Arial" w:hAnsi="Arial"/>
                <w:sz w:val="16"/>
                <w:szCs w:val="16"/>
                <w:color w:val="auto"/>
              </w:rPr>
              <w:t>Finance lease right-of-use assets recognized at ASU No 2016-02 transition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72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lease right-of-use assets recognized after ASU No 2016-02 transition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jc w:val="center"/>
        <w:ind w:right="-599"/>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640"/>
          </w:cols>
          <w:pgMar w:left="320" w:top="125"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Simply Good Foods Company and Subsidiaries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(Unaudited, dollars in thousands, except share data)</w:t>
      </w:r>
    </w:p>
    <w:p>
      <w:pPr>
        <w:spacing w:after="0" w:line="370" w:lineRule="exact"/>
        <w:rPr>
          <w:sz w:val="20"/>
          <w:szCs w:val="20"/>
          <w:color w:val="auto"/>
        </w:rPr>
      </w:pPr>
    </w:p>
    <w:tbl>
      <w:tblPr>
        <w:tblLayout w:type="fixed"/>
        <w:tblInd w:w="480" w:type="dxa"/>
        <w:tblCellMar>
          <w:top w:w="0" w:type="dxa"/>
          <w:left w:w="0" w:type="dxa"/>
          <w:bottom w:w="0" w:type="dxa"/>
          <w:right w:w="0" w:type="dxa"/>
        </w:tblCellMar>
      </w:tblPr>
      <w:tr>
        <w:trPr>
          <w:trHeight w:val="179"/>
        </w:trPr>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5"/>
          </w:tcPr>
          <w:p>
            <w:pPr>
              <w:jc w:val="right"/>
              <w:spacing w:after="0"/>
              <w:rPr>
                <w:sz w:val="20"/>
                <w:szCs w:val="20"/>
                <w:color w:val="auto"/>
              </w:rPr>
            </w:pPr>
            <w:r>
              <w:rPr>
                <w:rFonts w:ascii="Arial" w:cs="Arial" w:eastAsia="Arial" w:hAnsi="Arial"/>
                <w:sz w:val="15"/>
                <w:szCs w:val="15"/>
                <w:b w:val="1"/>
                <w:bCs w:val="1"/>
                <w:color w:val="auto"/>
              </w:rPr>
              <w:t>Common 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8"/>
          </w:tcPr>
          <w:p>
            <w:pPr>
              <w:ind w:left="260"/>
              <w:spacing w:after="0"/>
              <w:rPr>
                <w:sz w:val="20"/>
                <w:szCs w:val="20"/>
                <w:color w:val="auto"/>
              </w:rPr>
            </w:pPr>
            <w:r>
              <w:rPr>
                <w:rFonts w:ascii="Arial" w:cs="Arial" w:eastAsia="Arial" w:hAnsi="Arial"/>
                <w:sz w:val="15"/>
                <w:szCs w:val="15"/>
                <w:b w:val="1"/>
                <w:bCs w:val="1"/>
                <w:color w:val="auto"/>
              </w:rPr>
              <w:t>Treasury Stock</w:t>
            </w:r>
          </w:p>
        </w:tc>
        <w:tc>
          <w:tcPr>
            <w:tcW w:w="20" w:type="dxa"/>
            <w:vAlign w:val="bottom"/>
          </w:tcPr>
          <w:p>
            <w:pPr>
              <w:spacing w:after="0"/>
              <w:rPr>
                <w:sz w:val="15"/>
                <w:szCs w:val="15"/>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95"/>
              </w:rPr>
              <w:t>Additional</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2"/>
              </w:rPr>
              <w:t>Accumulated Other</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18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3"/>
            <w:vMerge w:val="restart"/>
          </w:tcPr>
          <w:p>
            <w:pPr>
              <w:jc w:val="center"/>
              <w:ind w:right="260"/>
              <w:spacing w:after="0" w:line="145" w:lineRule="exact"/>
              <w:rPr>
                <w:sz w:val="20"/>
                <w:szCs w:val="20"/>
                <w:color w:val="auto"/>
              </w:rPr>
            </w:pPr>
            <w:r>
              <w:rPr>
                <w:rFonts w:ascii="Arial" w:cs="Arial" w:eastAsia="Arial" w:hAnsi="Arial"/>
                <w:sz w:val="15"/>
                <w:szCs w:val="15"/>
                <w:b w:val="1"/>
                <w:bCs w:val="1"/>
                <w:color w:val="auto"/>
                <w:w w:val="99"/>
              </w:rPr>
              <w:t>Paid-In</w:t>
            </w:r>
          </w:p>
        </w:tc>
        <w:tc>
          <w:tcPr>
            <w:tcW w:w="20" w:type="dxa"/>
            <w:vAlign w:val="bottom"/>
          </w:tcPr>
          <w:p>
            <w:pPr>
              <w:spacing w:after="0"/>
              <w:rPr>
                <w:sz w:val="6"/>
                <w:szCs w:val="6"/>
                <w:color w:val="auto"/>
              </w:rPr>
            </w:pPr>
          </w:p>
        </w:tc>
        <w:tc>
          <w:tcPr>
            <w:tcW w:w="1440" w:type="dxa"/>
            <w:vAlign w:val="bottom"/>
            <w:gridSpan w:val="3"/>
            <w:vMerge w:val="restart"/>
          </w:tcPr>
          <w:p>
            <w:pPr>
              <w:ind w:left="40"/>
              <w:spacing w:after="0" w:line="145" w:lineRule="exact"/>
              <w:rPr>
                <w:sz w:val="20"/>
                <w:szCs w:val="20"/>
                <w:color w:val="auto"/>
              </w:rPr>
            </w:pPr>
            <w:r>
              <w:rPr>
                <w:rFonts w:ascii="Arial" w:cs="Arial" w:eastAsia="Arial" w:hAnsi="Arial"/>
                <w:sz w:val="15"/>
                <w:szCs w:val="15"/>
                <w:b w:val="1"/>
                <w:bCs w:val="1"/>
                <w:color w:val="auto"/>
              </w:rPr>
              <w:t>Retained Earnings</w:t>
            </w:r>
          </w:p>
        </w:tc>
        <w:tc>
          <w:tcPr>
            <w:tcW w:w="15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vMerge w:val="restart"/>
          </w:tcPr>
          <w:p>
            <w:pPr>
              <w:jc w:val="right"/>
              <w:ind w:right="220"/>
              <w:spacing w:after="0" w:line="145"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50"/>
        </w:trPr>
        <w:tc>
          <w:tcPr>
            <w:tcW w:w="188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4"/>
                <w:szCs w:val="4"/>
                <w:color w:val="auto"/>
              </w:rPr>
            </w:pPr>
          </w:p>
        </w:tc>
        <w:tc>
          <w:tcPr>
            <w:tcW w:w="80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4"/>
                <w:szCs w:val="4"/>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4"/>
                <w:szCs w:val="4"/>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520" w:type="dxa"/>
            <w:vAlign w:val="bottom"/>
            <w:gridSpan w:val="3"/>
            <w:vMerge w:val="restart"/>
          </w:tcPr>
          <w:p>
            <w:pPr>
              <w:ind w:left="20"/>
              <w:spacing w:after="0" w:line="168" w:lineRule="exact"/>
              <w:rPr>
                <w:sz w:val="20"/>
                <w:szCs w:val="20"/>
                <w:color w:val="auto"/>
              </w:rPr>
            </w:pPr>
            <w:r>
              <w:rPr>
                <w:rFonts w:ascii="Arial" w:cs="Arial" w:eastAsia="Arial" w:hAnsi="Arial"/>
                <w:sz w:val="15"/>
                <w:szCs w:val="15"/>
                <w:b w:val="1"/>
                <w:bCs w:val="1"/>
                <w:color w:val="auto"/>
                <w:w w:val="97"/>
              </w:rPr>
              <w:t>Comprehensive Loss</w:t>
            </w: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jc w:val="center"/>
              <w:ind w:right="260"/>
              <w:spacing w:after="0"/>
              <w:rPr>
                <w:sz w:val="20"/>
                <w:szCs w:val="20"/>
                <w:color w:val="auto"/>
              </w:rPr>
            </w:pPr>
            <w:r>
              <w:rPr>
                <w:rFonts w:ascii="Arial" w:cs="Arial" w:eastAsia="Arial" w:hAnsi="Arial"/>
                <w:sz w:val="15"/>
                <w:szCs w:val="15"/>
                <w:b w:val="1"/>
                <w:bCs w:val="1"/>
                <w:color w:val="auto"/>
                <w:w w:val="99"/>
              </w:rPr>
              <w:t>Capital</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99"/>
              </w:rPr>
              <w:t>Balance at August 31, 2019</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81,973,284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221"/>
              <w:spacing w:after="0"/>
              <w:rPr>
                <w:sz w:val="20"/>
                <w:szCs w:val="20"/>
                <w:color w:val="auto"/>
              </w:rPr>
            </w:pPr>
            <w:r>
              <w:rPr>
                <w:rFonts w:ascii="Arial" w:cs="Arial" w:eastAsia="Arial" w:hAnsi="Arial"/>
                <w:sz w:val="15"/>
                <w:szCs w:val="15"/>
                <w:color w:val="auto"/>
                <w:w w:val="9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7"/>
              </w:rPr>
              <w:t>820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98,234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1"/>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rPr>
              <w:t>733,775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105,830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837,444</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880" w:type="dxa"/>
            <w:vAlign w:val="bottom"/>
          </w:tcPr>
          <w:p>
            <w:pPr>
              <w:ind w:left="160"/>
              <w:spacing w:after="0"/>
              <w:rPr>
                <w:sz w:val="20"/>
                <w:szCs w:val="20"/>
                <w:color w:val="auto"/>
              </w:rPr>
            </w:pPr>
            <w:r>
              <w:rPr>
                <w:rFonts w:ascii="Arial" w:cs="Arial" w:eastAsia="Arial" w:hAnsi="Arial"/>
                <w:sz w:val="15"/>
                <w:szCs w:val="15"/>
                <w:color w:val="auto"/>
              </w:rPr>
              <w:t>Net loss</w:t>
            </w:r>
          </w:p>
        </w:tc>
        <w:tc>
          <w:tcPr>
            <w:tcW w:w="2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(4,793)</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Stock-based</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compensation</w:t>
            </w: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1,673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1,673</w:t>
            </w:r>
          </w:p>
        </w:tc>
        <w:tc>
          <w:tcPr>
            <w:tcW w:w="0" w:type="dxa"/>
            <w:vAlign w:val="bottom"/>
          </w:tcPr>
          <w:p>
            <w:pPr>
              <w:spacing w:after="0"/>
              <w:rPr>
                <w:sz w:val="1"/>
                <w:szCs w:val="1"/>
                <w:color w:val="auto"/>
              </w:rPr>
            </w:pPr>
          </w:p>
        </w:tc>
      </w:tr>
      <w:tr>
        <w:trPr>
          <w:trHeight w:val="176"/>
        </w:trPr>
        <w:tc>
          <w:tcPr>
            <w:tcW w:w="1880" w:type="dxa"/>
            <w:vAlign w:val="bottom"/>
          </w:tcPr>
          <w:p>
            <w:pPr>
              <w:ind w:left="160"/>
              <w:spacing w:after="0"/>
              <w:rPr>
                <w:sz w:val="20"/>
                <w:szCs w:val="20"/>
                <w:color w:val="auto"/>
              </w:rPr>
            </w:pPr>
            <w:r>
              <w:rPr>
                <w:rFonts w:ascii="Arial" w:cs="Arial" w:eastAsia="Arial" w:hAnsi="Arial"/>
                <w:sz w:val="15"/>
                <w:szCs w:val="15"/>
                <w:color w:val="auto"/>
              </w:rPr>
              <w:t>Foreign currency</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880" w:type="dxa"/>
            <w:vAlign w:val="bottom"/>
          </w:tcPr>
          <w:p>
            <w:pPr>
              <w:ind w:left="160"/>
              <w:spacing w:after="0"/>
              <w:rPr>
                <w:sz w:val="20"/>
                <w:szCs w:val="20"/>
                <w:color w:val="auto"/>
              </w:rPr>
            </w:pPr>
            <w:r>
              <w:rPr>
                <w:rFonts w:ascii="Arial" w:cs="Arial" w:eastAsia="Arial" w:hAnsi="Arial"/>
                <w:sz w:val="15"/>
                <w:szCs w:val="15"/>
                <w:color w:val="auto"/>
              </w:rPr>
              <w:t>translation adjustments</w:t>
            </w:r>
          </w:p>
        </w:tc>
        <w:tc>
          <w:tcPr>
            <w:tcW w:w="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1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Public equity offering</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13,379,205</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349,085</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349,219</w:t>
            </w:r>
          </w:p>
        </w:tc>
        <w:tc>
          <w:tcPr>
            <w:tcW w:w="0" w:type="dxa"/>
            <w:vAlign w:val="bottom"/>
          </w:tcPr>
          <w:p>
            <w:pPr>
              <w:spacing w:after="0"/>
              <w:rPr>
                <w:sz w:val="1"/>
                <w:szCs w:val="1"/>
                <w:color w:val="auto"/>
              </w:rPr>
            </w:pPr>
          </w:p>
        </w:tc>
      </w:tr>
      <w:tr>
        <w:trPr>
          <w:trHeight w:val="176"/>
        </w:trPr>
        <w:tc>
          <w:tcPr>
            <w:tcW w:w="1880" w:type="dxa"/>
            <w:vAlign w:val="bottom"/>
          </w:tcPr>
          <w:p>
            <w:pPr>
              <w:ind w:left="160"/>
              <w:spacing w:after="0"/>
              <w:rPr>
                <w:sz w:val="20"/>
                <w:szCs w:val="20"/>
                <w:color w:val="auto"/>
              </w:rPr>
            </w:pPr>
            <w:r>
              <w:rPr>
                <w:rFonts w:ascii="Arial" w:cs="Arial" w:eastAsia="Arial" w:hAnsi="Arial"/>
                <w:sz w:val="15"/>
                <w:szCs w:val="15"/>
                <w:color w:val="auto"/>
              </w:rPr>
              <w:t>Shares issued upon</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60"/>
              <w:spacing w:after="0" w:line="162" w:lineRule="exact"/>
              <w:rPr>
                <w:sz w:val="20"/>
                <w:szCs w:val="20"/>
                <w:color w:val="auto"/>
              </w:rPr>
            </w:pPr>
            <w:r>
              <w:rPr>
                <w:rFonts w:ascii="Arial" w:cs="Arial" w:eastAsia="Arial" w:hAnsi="Arial"/>
                <w:sz w:val="15"/>
                <w:szCs w:val="15"/>
                <w:color w:val="auto"/>
              </w:rPr>
              <w:t>vesting of Restricted</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80" w:type="dxa"/>
            <w:vAlign w:val="bottom"/>
          </w:tcPr>
          <w:p>
            <w:pPr>
              <w:ind w:left="160"/>
              <w:spacing w:after="0"/>
              <w:rPr>
                <w:sz w:val="20"/>
                <w:szCs w:val="20"/>
                <w:color w:val="auto"/>
              </w:rPr>
            </w:pPr>
            <w:r>
              <w:rPr>
                <w:rFonts w:ascii="Arial" w:cs="Arial" w:eastAsia="Arial" w:hAnsi="Arial"/>
                <w:sz w:val="15"/>
                <w:szCs w:val="15"/>
                <w:color w:val="auto"/>
              </w:rPr>
              <w:t>Stock Units</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46,911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Exercise of options to</w:t>
            </w: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 common 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17,372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rPr>
              <w:t>208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56"/>
        </w:trPr>
        <w:tc>
          <w:tcPr>
            <w:tcW w:w="1880" w:type="dxa"/>
            <w:vAlign w:val="bottom"/>
          </w:tcPr>
          <w:p>
            <w:pPr>
              <w:ind w:left="20"/>
              <w:spacing w:after="0" w:line="156" w:lineRule="exact"/>
              <w:rPr>
                <w:sz w:val="20"/>
                <w:szCs w:val="20"/>
                <w:color w:val="auto"/>
              </w:rPr>
            </w:pPr>
            <w:r>
              <w:rPr>
                <w:rFonts w:ascii="Arial" w:cs="Arial" w:eastAsia="Arial" w:hAnsi="Arial"/>
                <w:sz w:val="15"/>
                <w:szCs w:val="15"/>
                <w:color w:val="auto"/>
              </w:rPr>
              <w:t>Balance at November 30,</w:t>
            </w:r>
          </w:p>
        </w:tc>
        <w:tc>
          <w:tcPr>
            <w:tcW w:w="8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5"/>
                <w:szCs w:val="15"/>
                <w:color w:val="auto"/>
              </w:rPr>
              <w:t>95,416,772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gridSpan w:val="2"/>
            <w:vMerge w:val="restart"/>
          </w:tcPr>
          <w:p>
            <w:pPr>
              <w:jc w:val="right"/>
              <w:ind w:right="221"/>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87"/>
              </w:rPr>
              <w:t>954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5"/>
                <w:szCs w:val="15"/>
                <w:color w:val="auto"/>
              </w:rPr>
              <w:t>98,234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gridSpan w:val="2"/>
            <w:vMerge w:val="restart"/>
          </w:tcPr>
          <w:p>
            <w:pPr>
              <w:jc w:val="right"/>
              <w:ind w:right="1"/>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(2,145)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5"/>
                <w:szCs w:val="15"/>
                <w:color w:val="auto"/>
              </w:rPr>
              <w:t>1,084,671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gridSpan w:val="2"/>
            <w:vMerge w:val="restart"/>
          </w:tcPr>
          <w:p>
            <w:pPr>
              <w:jc w:val="right"/>
              <w:ind w:right="2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101,037</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(836)</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1,183,681</w:t>
            </w:r>
          </w:p>
        </w:tc>
        <w:tc>
          <w:tcPr>
            <w:tcW w:w="0" w:type="dxa"/>
            <w:vAlign w:val="bottom"/>
          </w:tcPr>
          <w:p>
            <w:pPr>
              <w:spacing w:after="0"/>
              <w:rPr>
                <w:sz w:val="1"/>
                <w:szCs w:val="1"/>
                <w:color w:val="auto"/>
              </w:rPr>
            </w:pPr>
          </w:p>
        </w:tc>
      </w:tr>
      <w:tr>
        <w:trPr>
          <w:trHeight w:val="22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2019</w:t>
            </w:r>
          </w:p>
        </w:tc>
        <w:tc>
          <w:tcPr>
            <w:tcW w:w="880" w:type="dxa"/>
            <w:vAlign w:val="bottom"/>
            <w:tcBorders>
              <w:bottom w:val="single" w:sz="8" w:color="auto"/>
            </w:tcBorders>
            <w:gridSpan w:val="2"/>
            <w:vMerge w:val="continue"/>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gridSpan w:val="2"/>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gridSpan w:val="2"/>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Stock-based</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2,122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translation adjustments</w:t>
            </w: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Shares issued upon</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tcPr>
          <w:p>
            <w:pPr>
              <w:ind w:left="160"/>
              <w:spacing w:after="0"/>
              <w:rPr>
                <w:sz w:val="20"/>
                <w:szCs w:val="20"/>
                <w:color w:val="auto"/>
              </w:rPr>
            </w:pPr>
            <w:r>
              <w:rPr>
                <w:rFonts w:ascii="Arial" w:cs="Arial" w:eastAsia="Arial" w:hAnsi="Arial"/>
                <w:sz w:val="16"/>
                <w:szCs w:val="16"/>
                <w:color w:val="auto"/>
              </w:rPr>
              <w:t>vesting of Restricted</w:t>
            </w: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rPr>
              <w:t>Stock Units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 of options to</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8"/>
              </w:rPr>
              <w:t>purchase common stock</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58,994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723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6"/>
                <w:szCs w:val="16"/>
                <w:color w:val="auto"/>
              </w:rPr>
              <w:t>Balance at February 29,</w:t>
            </w:r>
          </w:p>
        </w:tc>
        <w:tc>
          <w:tcPr>
            <w:tcW w:w="88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99"/>
              </w:rPr>
              <w:t>95,476,537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gridSpan w:val="2"/>
            <w:vMerge w:val="restart"/>
          </w:tcPr>
          <w:p>
            <w:pPr>
              <w:jc w:val="right"/>
              <w:ind w:right="2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2"/>
              </w:rPr>
              <w:t>955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rPr>
              <w:t>98,234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gridSpan w:val="2"/>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8"/>
              </w:rPr>
              <w:t>(2,145)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w w:val="98"/>
              </w:rPr>
              <w:t>1,087,506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gridSpan w:val="2"/>
            <w:vMerge w:val="restart"/>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111,694</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5"/>
              </w:rPr>
              <w:t>1,197,033</w:t>
            </w:r>
          </w:p>
        </w:tc>
        <w:tc>
          <w:tcPr>
            <w:tcW w:w="0" w:type="dxa"/>
            <w:vAlign w:val="bottom"/>
          </w:tcPr>
          <w:p>
            <w:pPr>
              <w:spacing w:after="0"/>
              <w:rPr>
                <w:sz w:val="1"/>
                <w:szCs w:val="1"/>
                <w:color w:val="auto"/>
              </w:rPr>
            </w:pPr>
          </w:p>
        </w:tc>
      </w:tr>
      <w:tr>
        <w:trPr>
          <w:trHeight w:val="224"/>
        </w:trPr>
        <w:tc>
          <w:tcPr>
            <w:tcW w:w="1880" w:type="dxa"/>
            <w:vAlign w:val="bottom"/>
          </w:tcPr>
          <w:p>
            <w:pPr>
              <w:ind w:left="20"/>
              <w:spacing w:after="0"/>
              <w:rPr>
                <w:sz w:val="20"/>
                <w:szCs w:val="20"/>
                <w:color w:val="auto"/>
              </w:rPr>
            </w:pPr>
            <w:r>
              <w:rPr>
                <w:rFonts w:ascii="Arial" w:cs="Arial" w:eastAsia="Arial" w:hAnsi="Arial"/>
                <w:sz w:val="16"/>
                <w:szCs w:val="16"/>
                <w:color w:val="auto"/>
              </w:rPr>
              <w:t>2020</w:t>
            </w:r>
          </w:p>
        </w:tc>
        <w:tc>
          <w:tcPr>
            <w:tcW w:w="880" w:type="dxa"/>
            <w:vAlign w:val="bottom"/>
            <w:tcBorders>
              <w:bottom w:val="single" w:sz="8" w:color="auto"/>
            </w:tcBorders>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Borders>
              <w:bottom w:val="single" w:sz="8" w:color="auto"/>
            </w:tcBorders>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gridSpan w:val="2"/>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Arial" w:cs="Arial" w:eastAsia="Arial" w:hAnsi="Arial"/>
                <w:sz w:val="15"/>
                <w:szCs w:val="15"/>
                <w:b w:val="1"/>
                <w:bCs w:val="1"/>
                <w:color w:val="auto"/>
              </w:rPr>
              <w:t>Common Stock</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8"/>
          </w:tcPr>
          <w:p>
            <w:pPr>
              <w:ind w:left="280"/>
              <w:spacing w:after="0"/>
              <w:rPr>
                <w:sz w:val="20"/>
                <w:szCs w:val="20"/>
                <w:color w:val="auto"/>
              </w:rPr>
            </w:pPr>
            <w:r>
              <w:rPr>
                <w:rFonts w:ascii="Arial" w:cs="Arial" w:eastAsia="Arial" w:hAnsi="Arial"/>
                <w:sz w:val="15"/>
                <w:szCs w:val="15"/>
                <w:b w:val="1"/>
                <w:bCs w:val="1"/>
                <w:color w:val="auto"/>
              </w:rPr>
              <w:t>Treasury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2"/>
              </w:rPr>
              <w:t>Additional</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Accumulated Other</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3"/>
            <w:vMerge w:val="restart"/>
          </w:tcPr>
          <w:p>
            <w:pPr>
              <w:jc w:val="center"/>
              <w:ind w:right="200"/>
              <w:spacing w:after="0" w:line="145" w:lineRule="exact"/>
              <w:rPr>
                <w:sz w:val="20"/>
                <w:szCs w:val="20"/>
                <w:color w:val="auto"/>
              </w:rPr>
            </w:pPr>
            <w:r>
              <w:rPr>
                <w:rFonts w:ascii="Arial" w:cs="Arial" w:eastAsia="Arial" w:hAnsi="Arial"/>
                <w:sz w:val="15"/>
                <w:szCs w:val="15"/>
                <w:b w:val="1"/>
                <w:bCs w:val="1"/>
                <w:color w:val="auto"/>
                <w:w w:val="95"/>
              </w:rPr>
              <w:t>Paid-In</w:t>
            </w:r>
          </w:p>
        </w:tc>
        <w:tc>
          <w:tcPr>
            <w:tcW w:w="20" w:type="dxa"/>
            <w:vAlign w:val="bottom"/>
          </w:tcPr>
          <w:p>
            <w:pPr>
              <w:spacing w:after="0"/>
              <w:rPr>
                <w:sz w:val="7"/>
                <w:szCs w:val="7"/>
                <w:color w:val="auto"/>
              </w:rPr>
            </w:pPr>
          </w:p>
        </w:tc>
        <w:tc>
          <w:tcPr>
            <w:tcW w:w="1440" w:type="dxa"/>
            <w:vAlign w:val="bottom"/>
            <w:gridSpan w:val="3"/>
            <w:vMerge w:val="restart"/>
          </w:tcPr>
          <w:p>
            <w:pPr>
              <w:ind w:left="40"/>
              <w:spacing w:after="0" w:line="145" w:lineRule="exact"/>
              <w:rPr>
                <w:sz w:val="20"/>
                <w:szCs w:val="20"/>
                <w:color w:val="auto"/>
              </w:rPr>
            </w:pPr>
            <w:r>
              <w:rPr>
                <w:rFonts w:ascii="Arial" w:cs="Arial" w:eastAsia="Arial" w:hAnsi="Arial"/>
                <w:sz w:val="15"/>
                <w:szCs w:val="15"/>
                <w:b w:val="1"/>
                <w:bCs w:val="1"/>
                <w:color w:val="auto"/>
              </w:rPr>
              <w:t>Retained Earnings</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line="145" w:lineRule="exact"/>
              <w:rPr>
                <w:sz w:val="20"/>
                <w:szCs w:val="20"/>
                <w:color w:val="auto"/>
              </w:rPr>
            </w:pPr>
            <w:r>
              <w:rPr>
                <w:rFonts w:ascii="Arial" w:cs="Arial" w:eastAsia="Arial" w:hAnsi="Arial"/>
                <w:sz w:val="15"/>
                <w:szCs w:val="15"/>
                <w:b w:val="1"/>
                <w:bCs w:val="1"/>
                <w:color w:val="auto"/>
                <w:w w:val="88"/>
              </w:rPr>
              <w:t>Comprehensive</w:t>
            </w:r>
          </w:p>
        </w:tc>
        <w:tc>
          <w:tcPr>
            <w:tcW w:w="160" w:type="dxa"/>
            <w:vAlign w:val="bottom"/>
          </w:tcPr>
          <w:p>
            <w:pPr>
              <w:spacing w:after="0"/>
              <w:rPr>
                <w:sz w:val="7"/>
                <w:szCs w:val="7"/>
                <w:color w:val="auto"/>
              </w:rPr>
            </w:pPr>
          </w:p>
        </w:tc>
        <w:tc>
          <w:tcPr>
            <w:tcW w:w="780" w:type="dxa"/>
            <w:vAlign w:val="bottom"/>
            <w:vMerge w:val="restart"/>
          </w:tcPr>
          <w:p>
            <w:pPr>
              <w:jc w:val="right"/>
              <w:ind w:right="220"/>
              <w:spacing w:after="0" w:line="145"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44"/>
        </w:trPr>
        <w:tc>
          <w:tcPr>
            <w:tcW w:w="188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gridSpan w:val="3"/>
            <w:vMerge w:val="restart"/>
          </w:tcPr>
          <w:p>
            <w:pPr>
              <w:ind w:left="22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3"/>
                <w:szCs w:val="3"/>
                <w:color w:val="auto"/>
              </w:rPr>
            </w:pPr>
          </w:p>
        </w:tc>
        <w:tc>
          <w:tcPr>
            <w:tcW w:w="800" w:type="dxa"/>
            <w:vAlign w:val="bottom"/>
            <w:gridSpan w:val="4"/>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3"/>
                <w:szCs w:val="3"/>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3"/>
                <w:szCs w:val="3"/>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5"/>
                <w:szCs w:val="15"/>
                <w:b w:val="1"/>
                <w:bCs w:val="1"/>
                <w:color w:val="auto"/>
              </w:rPr>
              <w:t>Amount</w:t>
            </w: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95"/>
              </w:rPr>
              <w:t>Capital</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Income (Loss)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8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August 25,</w:t>
            </w:r>
          </w:p>
        </w:tc>
        <w:tc>
          <w:tcPr>
            <w:tcW w:w="20" w:type="dxa"/>
            <w:vAlign w:val="bottom"/>
            <w:vMerge w:val="restart"/>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9"/>
              </w:rPr>
              <w:t>70,605,675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38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706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614,399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vMerge w:val="restart"/>
            <w:shd w:val="clear" w:color="auto" w:fill="CCEEFF"/>
          </w:tcPr>
          <w:p>
            <w:pPr>
              <w:spacing w:after="0"/>
              <w:rPr>
                <w:sz w:val="17"/>
                <w:szCs w:val="17"/>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58,294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672,601</w:t>
            </w: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15,257</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Foreign currency</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2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issued upon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vesting of Restricted</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Units</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67,500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Exercise of options to</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w w:val="98"/>
              </w:rPr>
              <w:t>purchase common stock</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4,444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Warrant Conversion</w:t>
            </w:r>
          </w:p>
        </w:tc>
        <w:tc>
          <w:tcPr>
            <w:tcW w:w="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11,200,299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112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113,352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113,464</w:t>
            </w:r>
          </w:p>
        </w:tc>
        <w:tc>
          <w:tcPr>
            <w:tcW w:w="0" w:type="dxa"/>
            <w:vAlign w:val="bottom"/>
          </w:tcPr>
          <w:p>
            <w:pPr>
              <w:spacing w:after="0"/>
              <w:rPr>
                <w:sz w:val="1"/>
                <w:szCs w:val="1"/>
                <w:color w:val="auto"/>
              </w:rPr>
            </w:pPr>
          </w:p>
        </w:tc>
      </w:tr>
      <w:tr>
        <w:trPr>
          <w:trHeight w:val="200"/>
        </w:trPr>
        <w:tc>
          <w:tcPr>
            <w:tcW w:w="1880" w:type="dxa"/>
            <w:vAlign w:val="bottom"/>
          </w:tcPr>
          <w:p>
            <w:pPr>
              <w:ind w:left="20"/>
              <w:spacing w:after="0"/>
              <w:rPr>
                <w:sz w:val="20"/>
                <w:szCs w:val="20"/>
                <w:color w:val="auto"/>
              </w:rPr>
            </w:pPr>
            <w:r>
              <w:rPr>
                <w:rFonts w:ascii="Arial" w:cs="Arial" w:eastAsia="Arial" w:hAnsi="Arial"/>
                <w:sz w:val="16"/>
                <w:szCs w:val="16"/>
                <w:color w:val="auto"/>
              </w:rPr>
              <w:t>Balance at November 24,</w:t>
            </w:r>
          </w:p>
        </w:tc>
        <w:tc>
          <w:tcPr>
            <w:tcW w:w="20" w:type="dxa"/>
            <w:vAlign w:val="bottom"/>
            <w:vMerge w:val="restart"/>
          </w:tcPr>
          <w:p>
            <w:pPr>
              <w:spacing w:after="0"/>
              <w:rPr>
                <w:sz w:val="17"/>
                <w:szCs w:val="17"/>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9"/>
              </w:rPr>
              <w:t>81,877,918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80" w:type="dxa"/>
            <w:vAlign w:val="bottom"/>
            <w:tcBorders>
              <w:top w:val="single" w:sz="8" w:color="auto"/>
            </w:tcBorders>
            <w:vMerge w:val="restart"/>
          </w:tcPr>
          <w:p>
            <w:pPr>
              <w:jc w:val="right"/>
              <w:ind w:right="181"/>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7"/>
              </w:rPr>
              <w:t>819</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728,864</w:t>
            </w: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2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73,551</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802,578</w:t>
            </w:r>
          </w:p>
        </w:tc>
        <w:tc>
          <w:tcPr>
            <w:tcW w:w="0" w:type="dxa"/>
            <w:vAlign w:val="bottom"/>
          </w:tcPr>
          <w:p>
            <w:pPr>
              <w:spacing w:after="0"/>
              <w:rPr>
                <w:sz w:val="1"/>
                <w:szCs w:val="1"/>
                <w:color w:val="auto"/>
              </w:rPr>
            </w:pPr>
          </w:p>
        </w:tc>
      </w:tr>
      <w:tr>
        <w:trPr>
          <w:trHeight w:val="25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2018</w:t>
            </w:r>
          </w:p>
        </w:tc>
        <w:tc>
          <w:tcPr>
            <w:tcW w:w="20" w:type="dxa"/>
            <w:vAlign w:val="bottom"/>
            <w:tcBorders>
              <w:bottom w:val="single" w:sz="8" w:color="CCEEFF"/>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3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12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Stock-based</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2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common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Foreign currency</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20" w:type="dxa"/>
            <w:vAlign w:val="bottom"/>
          </w:tcPr>
          <w:p>
            <w:pPr>
              <w:spacing w:after="0"/>
              <w:rPr>
                <w:sz w:val="17"/>
                <w:szCs w:val="17"/>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issued upon</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vesting of Restricted</w:t>
            </w: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Units</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0"/>
        </w:trPr>
        <w:tc>
          <w:tcPr>
            <w:tcW w:w="1880" w:type="dxa"/>
            <w:vAlign w:val="bottom"/>
          </w:tcPr>
          <w:p>
            <w:pPr>
              <w:ind w:left="160"/>
              <w:spacing w:after="0"/>
              <w:rPr>
                <w:sz w:val="20"/>
                <w:szCs w:val="20"/>
                <w:color w:val="auto"/>
              </w:rPr>
            </w:pPr>
            <w:r>
              <w:rPr>
                <w:rFonts w:ascii="Arial" w:cs="Arial" w:eastAsia="Arial" w:hAnsi="Arial"/>
                <w:sz w:val="16"/>
                <w:szCs w:val="16"/>
                <w:color w:val="auto"/>
              </w:rPr>
              <w:t>Exercise of options to</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80" w:type="dxa"/>
            <w:vAlign w:val="bottom"/>
          </w:tcPr>
          <w:p>
            <w:pPr>
              <w:ind w:left="160"/>
              <w:spacing w:after="0"/>
              <w:rPr>
                <w:sz w:val="20"/>
                <w:szCs w:val="20"/>
                <w:color w:val="auto"/>
              </w:rPr>
            </w:pPr>
            <w:r>
              <w:rPr>
                <w:rFonts w:ascii="Arial" w:cs="Arial" w:eastAsia="Arial" w:hAnsi="Arial"/>
                <w:sz w:val="16"/>
                <w:szCs w:val="16"/>
                <w:color w:val="auto"/>
                <w:w w:val="98"/>
              </w:rPr>
              <w:t>purchase common stock</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36,790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33"/>
        </w:trPr>
        <w:tc>
          <w:tcPr>
            <w:tcW w:w="1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February 23,</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81,915,213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819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730,584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86,273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816,714</w:t>
            </w:r>
          </w:p>
        </w:tc>
        <w:tc>
          <w:tcPr>
            <w:tcW w:w="0" w:type="dxa"/>
            <w:vAlign w:val="bottom"/>
          </w:tcPr>
          <w:p>
            <w:pPr>
              <w:spacing w:after="0"/>
              <w:rPr>
                <w:sz w:val="1"/>
                <w:szCs w:val="1"/>
                <w:color w:val="auto"/>
              </w:rPr>
            </w:pPr>
          </w:p>
        </w:tc>
      </w:tr>
      <w:tr>
        <w:trPr>
          <w:trHeight w:val="219"/>
        </w:trPr>
        <w:tc>
          <w:tcPr>
            <w:tcW w:w="1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8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0"/>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ectPr>
          <w:pgSz w:w="11900" w:h="16838" w:orient="portrait"/>
          <w:cols w:equalWidth="0" w:num="1">
            <w:col w:w="10780"/>
          </w:cols>
          <w:pgMar w:left="320" w:top="125" w:right="799" w:bottom="258"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780"/>
          </w:cols>
          <w:pgMar w:left="320" w:top="125" w:right="799" w:bottom="258"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18"/>
          <w:szCs w:val="18"/>
          <w:i w:val="1"/>
          <w:iCs w:val="1"/>
          <w:color w:val="auto"/>
        </w:rPr>
        <w:t>(Unaudited, dollars 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Principles of Consolidation</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The Simply Good Foods Company (“Simply Good Foods”) was formed by Conyers Park Acquisition Corp. (“Conyers Park”) on March 30, 2017. On April 10, 2017, Conyers Park and NCP-ATK Holdings, Inc., among others, entered into a definitive merger agreement (the “Merger Agreement”), pursuant to which on July 7, 2017, Conyers Park merged into Simply Good Foods and as a result acquired the companies which conducted the Atkins® brand business (the “Acquisition of Atkins”). The common stock of Simply Good Foods is listed on the Nasdaq Capital Market under the symbol “SMPL.”</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21, 2019, our wholly owned subsidiary Atkins Nutritionals, Inc. (“Atkins”) entered into a Stock and Unit Purchase Agreement (the "Purchase Agreement") to acquire Quest Nutrition, LLC ("Quest"), a healthy lifestyle food company (the "Acquisition of Quest"). On November 7, 2019, pursuant to the Purchase Agreement, Atkins completed the Acquisition of Quest, via Atkins’ direct or indirect acquisition of 100% of the equity interests of Voyage Holdings, LLC (“Voyage Holdings”), and VMG Quest Blocker, Inc. (“Voyage Blocker” and, together with Voyage Holdings, the “Target Companies”) for a cash purchase price of approximately $1.0 billion (subject to customary adjustments for the Target Companies’ levels of cash, indebtedness, net working capital and transaction expenses as of the closing date).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maintains its accounting records on a 52/53-week fiscal year, ending on the last Saturday in August of each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brands that specialize in providing products for consumers that follow certain nutritional philosophies, dietary approaches and/or health-and-wellness trends: Atkins® for those following a low-carb lifestyle; Quest® for consumers seeking to partner with a brand that makes the foods they crave work for them, not against them, through a variety of protein-rich foods and beverages that also limit sugars and simple carbs; and SimplyProtein® for consumers looking for protein-enhanced snacks made with fewer, simple ingredients.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 and broader health-and-wellness food space.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Prior Year Amounts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Certain prior year amounts have been reclassified to conform to the current year presentation including (i) Selling and Marketing expenses, which have been combined as Selling and marketing on the Consolidated Statements of Operations and Comprehensive Income and (ii) other operating expense, which has been combined with General and administrative expense on the Consolidated Statements of Operations and Comprehensive Income.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interim condensed consolidated financial statements and related notes of the Company and its subsidiaries are unaudited. The unaudited interim condensed consolidated financial statements have been prepared in accordance with U.S. Generally Accepted Accounting Principles (“GAAP”) and the rules and regulations of the Securities and Exchange Commission (the “SEC”). The unaudited interim condensed consolidated financial statements reflect all adjustments and disclosures which are, in our opinion, necessary for a fair presentation of the results of operations, financial position and cash flows for the indicated periods. All such adjustments were of a normal and recurring nature unless otherwise disclosed. The results reported in these unaudited interim condensed consolidated financial statements are not necessarily indicative of the results that may be reported for the entire fiscal year and should be read in conjunction with our consolidated financial statements for the fiscal year ended August 31, 2019, included in our Annual Report on Form 10-K (“Annual Report”), filed with the SEC on October 30, 2019. The year-end balance sheet data was derived from the audited financial statements and, in accordance with the instructions to Form 10-Q, certain information and footnote disclosures required by GAAP have been condensed or omitted.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consolidated financial statements included in our Annual Report for a description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During the fourth quarter ended August 31, 2019, the Company changed its accounting principle related to the presentation of third party delivery costs associated with shipping and handling activities previously included as operating expenses in </w:t>
      </w:r>
      <w:r>
        <w:rPr>
          <w:rFonts w:ascii="Arial" w:cs="Arial" w:eastAsia="Arial" w:hAnsi="Arial"/>
          <w:sz w:val="18"/>
          <w:szCs w:val="18"/>
          <w:i w:val="1"/>
          <w:iCs w:val="1"/>
          <w:color w:val="auto"/>
        </w:rPr>
        <w:t>Distribution</w:t>
      </w:r>
      <w:r>
        <w:rPr>
          <w:rFonts w:ascii="Arial" w:cs="Arial" w:eastAsia="Arial" w:hAnsi="Arial"/>
          <w:sz w:val="18"/>
          <w:szCs w:val="18"/>
          <w:color w:val="auto"/>
        </w:rPr>
        <w:t xml:space="preserve"> in the Consolidated Statements of Operations and Comprehensive Income. The Company now presents these expenses within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Consolidated Statements of Operations and Comprehensive Income. In connection with the change in accounting principle, the Company also changed its definition of shipping and handling costs to include costs paid to third-party warehouse operators associated with delivering product to a customer, previously included in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w:t>
      </w:r>
      <w:r>
        <w:rPr>
          <w:rFonts w:ascii="Arial" w:cs="Arial" w:eastAsia="Arial" w:hAnsi="Arial"/>
          <w:sz w:val="18"/>
          <w:szCs w:val="18"/>
          <w:i w:val="1"/>
          <w:iCs w:val="1"/>
          <w:color w:val="auto"/>
        </w:rPr>
        <w:t>and administrative</w:t>
      </w:r>
      <w:r>
        <w:rPr>
          <w:rFonts w:ascii="Arial" w:cs="Arial" w:eastAsia="Arial" w:hAnsi="Arial"/>
          <w:sz w:val="18"/>
          <w:szCs w:val="18"/>
          <w:color w:val="auto"/>
        </w:rPr>
        <w:t>, and</w:t>
      </w:r>
      <w:r>
        <w:rPr>
          <w:rFonts w:ascii="Arial" w:cs="Arial" w:eastAsia="Arial" w:hAnsi="Arial"/>
          <w:sz w:val="18"/>
          <w:szCs w:val="18"/>
          <w:i w:val="1"/>
          <w:iCs w:val="1"/>
          <w:color w:val="auto"/>
        </w:rPr>
        <w:t xml:space="preserve"> Depreciation and amortization </w:t>
      </w:r>
      <w:r>
        <w:rPr>
          <w:rFonts w:ascii="Arial" w:cs="Arial" w:eastAsia="Arial" w:hAnsi="Arial"/>
          <w:sz w:val="18"/>
          <w:szCs w:val="18"/>
          <w:color w:val="auto"/>
        </w:rPr>
        <w:t>of the assets at the third-party warehouse, previously included in</w:t>
      </w:r>
      <w:r>
        <w:rPr>
          <w:rFonts w:ascii="Arial" w:cs="Arial" w:eastAsia="Arial" w:hAnsi="Arial"/>
          <w:sz w:val="18"/>
          <w:szCs w:val="18"/>
          <w:i w:val="1"/>
          <w:iCs w:val="1"/>
          <w:color w:val="auto"/>
        </w:rPr>
        <w:t xml:space="preserve"> Depreciation and amortization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the previous definition of shipping and handling costs, the Company only included delivery costs in </w:t>
      </w:r>
      <w:r>
        <w:rPr>
          <w:rFonts w:ascii="Arial" w:cs="Arial" w:eastAsia="Arial" w:hAnsi="Arial"/>
          <w:sz w:val="18"/>
          <w:szCs w:val="18"/>
          <w:i w:val="1"/>
          <w:iCs w:val="1"/>
          <w:color w:val="auto"/>
        </w:rPr>
        <w:t>Distribution</w:t>
      </w:r>
      <w:r>
        <w:rPr>
          <w:rFonts w:ascii="Arial" w:cs="Arial" w:eastAsia="Arial" w:hAnsi="Arial"/>
          <w:sz w:val="18"/>
          <w:szCs w:val="18"/>
          <w:color w:val="auto"/>
        </w:rPr>
        <w:t>. The effect of the adjustment is as follows:</w:t>
      </w:r>
    </w:p>
    <w:p>
      <w:pPr>
        <w:spacing w:after="0" w:line="142"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Change in Accounting</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Other Operating</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Thirteen Weeks Ended February 23, 2019</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color w:val="auto"/>
              </w:rPr>
              <w:t>As Reported</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Principle and Presentation</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Expense</w:t>
            </w:r>
          </w:p>
        </w:tc>
        <w:tc>
          <w:tcPr>
            <w:tcW w:w="200" w:type="dxa"/>
            <w:vAlign w:val="bottom"/>
          </w:tcPr>
          <w:p>
            <w:pPr>
              <w:spacing w:after="0"/>
              <w:rPr>
                <w:sz w:val="17"/>
                <w:szCs w:val="17"/>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33"/>
        </w:trPr>
        <w:tc>
          <w:tcPr>
            <w:tcW w:w="3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66,166</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7,979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74,145</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Distribution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(5,797)</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15,855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13,732</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550"/>
        </w:trPr>
        <w:tc>
          <w:tcPr>
            <w:tcW w:w="3600" w:type="dxa"/>
            <w:vAlign w:val="bottom"/>
            <w:gridSpan w:val="2"/>
            <w:vMerge w:val="restart"/>
          </w:tcPr>
          <w:p>
            <w:pPr>
              <w:ind w:left="20"/>
              <w:spacing w:after="0"/>
              <w:rPr>
                <w:sz w:val="20"/>
                <w:szCs w:val="20"/>
                <w:color w:val="auto"/>
              </w:rPr>
            </w:pPr>
            <w:r>
              <w:rPr>
                <w:rFonts w:ascii="Arial" w:cs="Arial" w:eastAsia="Arial" w:hAnsi="Arial"/>
                <w:sz w:val="16"/>
                <w:szCs w:val="16"/>
                <w:color w:val="auto"/>
              </w:rPr>
              <w:t>Twenty-Six Weeks Ended February 23, 2019</w:t>
            </w:r>
          </w:p>
        </w:tc>
        <w:tc>
          <w:tcPr>
            <w:tcW w:w="200" w:type="dxa"/>
            <w:vAlign w:val="bottom"/>
          </w:tcPr>
          <w:p>
            <w:pPr>
              <w:spacing w:after="0"/>
              <w:rPr>
                <w:sz w:val="24"/>
                <w:szCs w:val="2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color w:val="auto"/>
              </w:rPr>
              <w:t>As Reported</w:t>
            </w:r>
          </w:p>
        </w:tc>
        <w:tc>
          <w:tcPr>
            <w:tcW w:w="194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Change in Accounting</w:t>
            </w:r>
          </w:p>
        </w:tc>
        <w:tc>
          <w:tcPr>
            <w:tcW w:w="15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Other Operating</w:t>
            </w:r>
          </w:p>
        </w:tc>
        <w:tc>
          <w:tcPr>
            <w:tcW w:w="200" w:type="dxa"/>
            <w:vAlign w:val="bottom"/>
          </w:tcPr>
          <w:p>
            <w:pPr>
              <w:spacing w:after="0"/>
              <w:rPr>
                <w:sz w:val="24"/>
                <w:szCs w:val="24"/>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98"/>
        </w:trPr>
        <w:tc>
          <w:tcPr>
            <w:tcW w:w="3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9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1"/>
              </w:rPr>
              <w:t>Principle and Presentation</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89"/>
              </w:rPr>
              <w:t>Expense</w:t>
            </w:r>
          </w:p>
        </w:tc>
        <w:tc>
          <w:tcPr>
            <w:tcW w:w="2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127,986</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15,170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143,156</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Distribution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(11,081)</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29,724</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25,730</w:t>
            </w:r>
          </w:p>
        </w:tc>
        <w:tc>
          <w:tcPr>
            <w:tcW w:w="0" w:type="dxa"/>
            <w:vAlign w:val="bottom"/>
          </w:tcPr>
          <w:p>
            <w:pPr>
              <w:spacing w:after="0"/>
              <w:rPr>
                <w:sz w:val="1"/>
                <w:szCs w:val="1"/>
                <w:color w:val="auto"/>
              </w:rPr>
            </w:pPr>
          </w:p>
        </w:tc>
      </w:tr>
      <w:tr>
        <w:trPr>
          <w:trHeight w:val="237"/>
        </w:trPr>
        <w:tc>
          <w:tcPr>
            <w:tcW w:w="36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3,825</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540" w:type="dxa"/>
            <w:vAlign w:val="bottom"/>
            <w:gridSpan w:val="2"/>
          </w:tcPr>
          <w:p>
            <w:pPr>
              <w:ind w:left="1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2016, The Financial Accounting Standards Board (the “FASB”) issued Accounting Standards Update (“ASU”) No. 2016-13, Financial Instruments—Credit Losses (Topic 326), which modifies disclosure requirements for fair value measurements by removing, modifying or adding certain disclosures. This ASU is effective for annual periods beginning after December 15, 2019, with early adoption permitted. The amendments of this ASU should be applied on a retrospective basis to all periods presented. The Company is currently evaluating the effects adoption of this guidance will have on the consolidated financial statements.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No. 2018-13, Fair Value Measurement (Topic 820), which modifies disclosure requirements on fair value measurements of Accounting Standards Codification (“ASC”) 820. This ASU is effective for all entities for fiscal years beginning after December 15, 2019, including interim periods therein. Early adoption is permitted including in any interim period for which financial statements have not yet been issued. Entities are permitted to early adopt the eliminated or modified disclosure requirements and delay the adoption new disclosure requirements until their effective date. The Company is currently evaluating the effects adoption of this guidance will have on the consolidated financial statements and does not anticipate adoption of this ASU will be material to its consolidated financial statements.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which provides optional guidance for a limited period of time to ease the potential burden in accounting for reference rate reform on financial reporting. The amendments in this ASU are effective for all entities as of March 12, 2020 through December 31, 2022. The amendments of this ASU should be applied on a prospective basis. The Company is currently evaluating the effects adoption of this guidance will have on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2016, the FASB issued ASU No. 2016-02, Leases (Topic 842). The standard requires lessees to recognize the assets and liabilities that arise from leases on the balance sheet. A lessee should recognize in the statement of financial position a liability to make lease payments (the lease liability) and a right-of-use asset representing its right to use the underlying asset for the lease term. In July 2018, the</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FASB issued ASU 2018-11, Leases (Topic 842): Targeted Improvements. ASU 2018-11 provides entities another option for transition, allowing entities to not apply the new standard in the comparative periods they present in their financial statements in the year of adoption. The amendments provide the option for the ASU to be applied at the beginning of the period adopted using a modified retrospective approach with earlier application permitted as of the beginning of an interim or annual reporting period.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September 1, 2019, we adopted ASU No. 2016-02, Leases (“Topic 842”) using the alternative transition method under ASU No. 2018-11, which permits application of the new guidance at the beginning of the period of adoption, with comparative periods continuing to be reporting under Topic</w:t>
      </w:r>
    </w:p>
    <w:p>
      <w:pPr>
        <w:jc w:val="both"/>
        <w:ind w:firstLine="8"/>
        <w:spacing w:after="0" w:line="268" w:lineRule="auto"/>
        <w:tabs>
          <w:tab w:leader="none" w:pos="361"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Upon adoption of the new standard as of the first day of fiscal 2020, the Company recorded the following within the Condensed Consolidated Balance Sheet: operating lease right of use assets of $5.1 million included within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current operating lease liabilities of $2.0 million included within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long-term operating lease liabilities of $3.8 million included within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finance lease right of use assets of $1.2 million included within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 xml:space="preserve"> current finance lease liabilities of $0.2 million included within </w:t>
      </w:r>
      <w:r>
        <w:rPr>
          <w:rFonts w:ascii="Arial" w:cs="Arial" w:eastAsia="Arial" w:hAnsi="Arial"/>
          <w:sz w:val="17"/>
          <w:szCs w:val="17"/>
          <w:i w:val="1"/>
          <w:iCs w:val="1"/>
          <w:color w:val="auto"/>
        </w:rPr>
        <w:t xml:space="preserve">Current maturities of long term debt, </w:t>
      </w:r>
      <w:r>
        <w:rPr>
          <w:rFonts w:ascii="Arial" w:cs="Arial" w:eastAsia="Arial" w:hAnsi="Arial"/>
          <w:sz w:val="17"/>
          <w:szCs w:val="17"/>
          <w:color w:val="auto"/>
        </w:rPr>
        <w:t>and long-term finance lease liabilities of $1.0 million included within</w:t>
      </w:r>
      <w:r>
        <w:rPr>
          <w:rFonts w:ascii="Arial" w:cs="Arial" w:eastAsia="Arial" w:hAnsi="Arial"/>
          <w:sz w:val="17"/>
          <w:szCs w:val="17"/>
          <w:i w:val="1"/>
          <w:iCs w:val="1"/>
          <w:color w:val="auto"/>
        </w:rPr>
        <w:t xml:space="preserve"> Long-term debt less current maturities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Following the Acquisition of Quest, the Company recorded the following amounts in the Condensed Consolidated Balance Sheet as of the closing date: operating lease right of use assets of $21.1 million included within </w:t>
      </w:r>
      <w:r>
        <w:rPr>
          <w:rFonts w:ascii="Arial" w:cs="Arial" w:eastAsia="Arial" w:hAnsi="Arial"/>
          <w:sz w:val="17"/>
          <w:szCs w:val="17"/>
          <w:i w:val="1"/>
          <w:iCs w:val="1"/>
          <w:color w:val="auto"/>
        </w:rPr>
        <w:t>Other long-term assets,</w:t>
      </w:r>
      <w:r>
        <w:rPr>
          <w:rFonts w:ascii="Arial" w:cs="Arial" w:eastAsia="Arial" w:hAnsi="Arial"/>
          <w:sz w:val="17"/>
          <w:szCs w:val="17"/>
          <w:color w:val="auto"/>
        </w:rPr>
        <w:t xml:space="preserve"> current operating lease liabilities of $2.0 million included within </w:t>
      </w:r>
      <w:r>
        <w:rPr>
          <w:rFonts w:ascii="Arial" w:cs="Arial" w:eastAsia="Arial" w:hAnsi="Arial"/>
          <w:sz w:val="17"/>
          <w:szCs w:val="17"/>
          <w:i w:val="1"/>
          <w:iCs w:val="1"/>
          <w:color w:val="auto"/>
        </w:rPr>
        <w:t xml:space="preserve">Accrued expenses and other current liabilities, </w:t>
      </w:r>
      <w:r>
        <w:rPr>
          <w:rFonts w:ascii="Arial" w:cs="Arial" w:eastAsia="Arial" w:hAnsi="Arial"/>
          <w:sz w:val="17"/>
          <w:szCs w:val="17"/>
          <w:color w:val="auto"/>
        </w:rPr>
        <w:t>and long-term operating lease liabilities of $18.9 million included within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these ASUs did not result in a cumulative-effect adjustment to the opening balance of retained earnings.</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guidance provides a number of optional practical expedients in adoption. We elected to adopt the package of practical expedients permitted under the transition guidance within the standard, which among other things, permits us to not reassess under the new standard our prior conclusions about lease identification, lease classification and initial direct costs. We did not elect the use-of-hindsight practical expedient or the practical expedient pertaining to land easements, the latter not being applicable to us. In addition, we elected an accounting policy to include both lease and non-lease components as a single component for all asset classes where we are the lessee. For additional information on our leases, see Note 9.</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FASB issued ASU No. 2018-07, Compensation – Stock Compensation (Topic 718), Improvements to Nonemployee Share-Based Payment Accounting. This ASU is intended to simplify aspects of share-based compensation issued to non-employees by making the guidance consistent with the accounting for employee share-based compensation. The Company adopted this ASU as of the first day of fiscal 2020. The adoption of this ASU did not have a material effect on the consolidated financial statements.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ASU as of the first day of fiscal 2020. The adoption of this ASU did not have a material effect on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21, 2019, Atkins entered into the Purchase Agreement with the Target Companies, VMG Voyage Holdings, LLC, VMG Tax-Exempt II, L.P., Voyage Employee Holdings, LLC, and other sellers defined in the Purchase Agreement. On November 7, 2019, pursuant to the Purchase Agreement, Atkins completed the Acquisition of Quest for a cash purchase price at closing of $988.9 million subject to customary post closing adjustments.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Atkins acquired Quest as a part of our vision to lead the nutritious snacking movement with trusted brands that offer a variety of convenient, innovative, great-tasting, better-for-you snacks and meal replacements. Quest is a healthy lifestyle food company offering a variety of bars, cookies, chips, ready-to-drink shakes and pizzas that compete in many of the attractive, fast growing sub-segments within the nutritional snacking category. Quest has a loyal following and strong appeal among consumers 18-44 years.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Acquisition of Quest was accounted for using the acquisition method of accounting in accordance with ASC 805, Business Combinations (“ASC 805”), whereby the results of operations, including the revenues and earnings of Quest, are included in the financial statements from the date of acquisition. ASC 805 requires, among other things, that assets acquired and liabilities assumed be recognized at their fair values, as determined in accordance with ASC 820, Fair Value Measurements, as of the closing date. ASC 805 establishes a measurement period to provide the Company with a reasonable amount of time to obtain the information necessary to identify and measure various items in a business combination and cannot extend beyond one year from the acquisition date.</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an underwritten public offering of common stock, and $443.6 million in new term loan debt. A total of $26.9 million is included within the Business transaction costs line item of the Consolidated Statements of Operations and Comprehensive Income for twenty-six weeks ended February 29, 2020 including $14.5 million of transaction advisory fees related to the Acquisition of Quest, $3.2 million of</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banker commitment fees, $6.1 million of non-deferrable debt issuance costs related to the incremental term loan, and $3.1 million of other costs including legal, due diligence, and accounting fees.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transaction advisory fees paid for the Acquisition of Quest is $12.0 million paid to Centerview Partners LLC, an investment banking firm that served as the lead financial advisor to the Company for this transaction. Three members of the Company’s Board of Directors, Messrs. Kilts, West, and Ratzan, have business relationships with certain partners of Centerview Partners LLC (including relating to Centerview Capital Consumer, a private equity firm and affiliate of Conyers Park Sponsor LLC), but they are not themselves partners, executives or employees of Centerview Partners LLC and Centerview Partners LLC is not a related party of the Company pursuant to applicable rules and policies. The advisory fee paid to Centerview Partners LLC represents approximately 1.2% of the total cash purchase price paid by the Company on the closing date of the Acquisition of Quest. All transaction advisory fees relating to the Acquisition of Quest were approved by the Company’s Audit Committee.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preliminary purchase price of the Acquisition of Quest to the estimated fair value of the net assets acquired at the date of acquisition, subject to finalization per the terms of the Purchase Agreement. The preliminary purchase price allocation may be adjusted as a result of the finalization of our purchase price allocation procedures related to the assets acquired and liabilities assumed. The preliminary November 7, 2019 fair value is as follows: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34925</wp:posOffset>
            </wp:positionV>
            <wp:extent cx="636905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69050" cy="180340"/>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Assets acquired:</w:t>
      </w:r>
    </w:p>
    <w:p>
      <w:pPr>
        <w:spacing w:after="0" w:line="86"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86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4,745</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26,537</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43,091</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Prepaid assets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3,821</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Property and equipment, net</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r>
      <w:tr>
        <w:trPr>
          <w:trHeight w:val="270"/>
        </w:trPr>
        <w:tc>
          <w:tcPr>
            <w:tcW w:w="8600" w:type="dxa"/>
            <w:vAlign w:val="bottom"/>
          </w:tcPr>
          <w:p>
            <w:pPr>
              <w:ind w:left="260"/>
              <w:spacing w:after="0"/>
              <w:rPr>
                <w:sz w:val="20"/>
                <w:szCs w:val="20"/>
                <w:color w:val="auto"/>
              </w:rPr>
            </w:pPr>
            <w:r>
              <w:rPr>
                <w:rFonts w:ascii="Arial" w:cs="Arial" w:eastAsia="Arial" w:hAnsi="Arial"/>
                <w:sz w:val="16"/>
                <w:szCs w:val="16"/>
                <w:color w:val="auto"/>
              </w:rPr>
              <w:t>Intangible assets, net</w:t>
            </w:r>
            <w:r>
              <w:rPr>
                <w:rFonts w:ascii="Arial" w:cs="Arial" w:eastAsia="Arial" w:hAnsi="Arial"/>
                <w:sz w:val="21"/>
                <w:szCs w:val="21"/>
                <w:color w:val="auto"/>
                <w:vertAlign w:val="superscript"/>
              </w:rPr>
              <w:t>(2)</w:t>
            </w:r>
          </w:p>
        </w:tc>
        <w:tc>
          <w:tcPr>
            <w:tcW w:w="4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848,375</w:t>
            </w: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Other long-term assets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20,997</w:t>
            </w:r>
          </w:p>
        </w:tc>
      </w:tr>
      <w:tr>
        <w:trPr>
          <w:trHeight w:val="237"/>
        </w:trPr>
        <w:tc>
          <w:tcPr>
            <w:tcW w:w="8600" w:type="dxa"/>
            <w:vAlign w:val="bottom"/>
          </w:tcPr>
          <w:p>
            <w:pPr>
              <w:ind w:left="20"/>
              <w:spacing w:after="0"/>
              <w:rPr>
                <w:sz w:val="20"/>
                <w:szCs w:val="20"/>
                <w:color w:val="auto"/>
              </w:rPr>
            </w:pPr>
            <w:r>
              <w:rPr>
                <w:rFonts w:ascii="Arial" w:cs="Arial" w:eastAsia="Arial" w:hAnsi="Arial"/>
                <w:sz w:val="16"/>
                <w:szCs w:val="16"/>
                <w:color w:val="auto"/>
              </w:rPr>
              <w:t>Liabilities assumed:</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25,200</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11,237</w:t>
            </w:r>
          </w:p>
        </w:tc>
      </w:tr>
      <w:tr>
        <w:trPr>
          <w:trHeight w:val="33"/>
        </w:trPr>
        <w:tc>
          <w:tcPr>
            <w:tcW w:w="8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income taxes</w:t>
            </w:r>
            <w:r>
              <w:rPr>
                <w:rFonts w:ascii="Arial" w:cs="Arial" w:eastAsia="Arial" w:hAnsi="Arial"/>
                <w:sz w:val="21"/>
                <w:szCs w:val="21"/>
                <w:color w:val="auto"/>
                <w:vertAlign w:val="superscript"/>
              </w:rPr>
              <w:t>(3)</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14,158</w:t>
            </w:r>
          </w:p>
        </w:tc>
      </w:tr>
      <w:tr>
        <w:trPr>
          <w:trHeight w:val="237"/>
        </w:trPr>
        <w:tc>
          <w:tcPr>
            <w:tcW w:w="8600" w:type="dxa"/>
            <w:vAlign w:val="bottom"/>
          </w:tcPr>
          <w:p>
            <w:pPr>
              <w:ind w:left="260"/>
              <w:spacing w:after="0"/>
              <w:rPr>
                <w:sz w:val="20"/>
                <w:szCs w:val="20"/>
                <w:color w:val="auto"/>
              </w:rPr>
            </w:pPr>
            <w:r>
              <w:rPr>
                <w:rFonts w:ascii="Arial" w:cs="Arial" w:eastAsia="Arial" w:hAnsi="Arial"/>
                <w:sz w:val="16"/>
                <w:szCs w:val="16"/>
                <w:color w:val="auto"/>
              </w:rPr>
              <w:t>Other long-term liabilities</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18,891</w:t>
            </w:r>
          </w:p>
        </w:tc>
      </w:tr>
      <w:tr>
        <w:trPr>
          <w:trHeight w:val="33"/>
        </w:trPr>
        <w:tc>
          <w:tcPr>
            <w:tcW w:w="86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identifiable net assets</w:t>
            </w: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889,657</w:t>
            </w:r>
          </w:p>
        </w:tc>
      </w:tr>
      <w:tr>
        <w:trPr>
          <w:trHeight w:val="270"/>
        </w:trPr>
        <w:tc>
          <w:tcPr>
            <w:tcW w:w="86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(4)</w:t>
            </w:r>
          </w:p>
        </w:tc>
        <w:tc>
          <w:tcPr>
            <w:tcW w:w="4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99,289</w:t>
            </w: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acquired and liabilities assumed</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988,946</w:t>
            </w:r>
          </w:p>
        </w:tc>
      </w:tr>
      <w:tr>
        <w:trPr>
          <w:trHeight w:val="20"/>
        </w:trPr>
        <w:tc>
          <w:tcPr>
            <w:tcW w:w="8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jc w:val="both"/>
        <w:ind w:right="20" w:firstLine="8"/>
        <w:spacing w:after="0" w:line="261" w:lineRule="auto"/>
        <w:tabs>
          <w:tab w:leader="none" w:pos="256"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Property and equipment, net primarily consists of leasehold improvements for the Quest headquarters of $6.9 million, furniture and fixtures of $2.2 million, and equipment of $1.3 million. The Quest headquarters lease ends in April 2029. The useful lives of the leasehold improvements, furniture and fixtures, and equipment is consistent with the Company's accounting policies.</w:t>
      </w:r>
    </w:p>
    <w:p>
      <w:pPr>
        <w:spacing w:after="0" w:line="74" w:lineRule="exact"/>
        <w:rPr>
          <w:rFonts w:ascii="Arial" w:cs="Arial" w:eastAsia="Arial" w:hAnsi="Arial"/>
          <w:sz w:val="16"/>
          <w:szCs w:val="16"/>
          <w:color w:val="auto"/>
        </w:rPr>
      </w:pPr>
    </w:p>
    <w:p>
      <w:pPr>
        <w:jc w:val="both"/>
        <w:ind w:firstLine="8"/>
        <w:spacing w:after="0" w:line="253" w:lineRule="auto"/>
        <w:tabs>
          <w:tab w:leader="none" w:pos="24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Intangible assets were recorded at fair value consistent with ASC 820 as a result of the Acquisition of Quest. Intangible assets consist of $730.0 million of indefinite brands and trademarks, $115.0 million of amortizable customer relationships, and $3.4 million of internally developed software.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83"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a result of the increase in the fair value of the identifiable intangible asset, the deferred income tax liability was increased by $14.2 million.</w:t>
      </w:r>
    </w:p>
    <w:p>
      <w:pPr>
        <w:spacing w:after="0" w:line="113" w:lineRule="exact"/>
        <w:rPr>
          <w:rFonts w:ascii="Arial" w:cs="Arial" w:eastAsia="Arial" w:hAnsi="Arial"/>
          <w:sz w:val="16"/>
          <w:szCs w:val="16"/>
          <w:color w:val="auto"/>
        </w:rPr>
      </w:pPr>
    </w:p>
    <w:p>
      <w:pPr>
        <w:jc w:val="both"/>
        <w:ind w:firstLine="8"/>
        <w:spacing w:after="0" w:line="256" w:lineRule="auto"/>
        <w:tabs>
          <w:tab w:leader="none" w:pos="232" w:val="left"/>
        </w:tabs>
        <w:numPr>
          <w:ilvl w:val="0"/>
          <w:numId w:val="7"/>
        </w:numPr>
        <w:rPr>
          <w:rFonts w:ascii="Arial" w:cs="Arial" w:eastAsia="Arial" w:hAnsi="Arial"/>
          <w:sz w:val="16"/>
          <w:szCs w:val="16"/>
          <w:color w:val="auto"/>
        </w:rPr>
      </w:pPr>
      <w:r>
        <w:rPr>
          <w:rFonts w:ascii="Arial" w:cs="Arial" w:eastAsia="Arial" w:hAnsi="Arial"/>
          <w:sz w:val="16"/>
          <w:szCs w:val="16"/>
          <w:color w:val="auto"/>
        </w:rPr>
        <w:t>Goodwill was recorded at fair value consistent with ASC 820 as a result of the Acquisition of Quest. Amounts recorded for goodwill created in an acquisition structured as a stock purchase for tax are generally not expected to be deductible for tax purposes. Amounts recorded for goodwill resulting in a tax basis step-up are generally expected to be deductible for tax purposes. Tax deductible Goodwill is estimated to be $79.7 million. Goodwill represents the future economic benefits arising from other assets acquired that could not be individually identified and separately recognized.</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purchase price is pending finalization per the terms of the Purchase Agreement. The final determination of the fair value of the assets acquired and liabilities assumed is expected to be completed as soon as practicable after completion of the Acquisition of Quest, including a period of time to finalize working capital adjustments and tax attributes. During the thirteen weeks ended February 29, 2020, a fair value measurement period adjustment of $3.3 million was recorded primarily related to accounts receivable, net. The final fair value determination of the assets acquired and liabilities assumed will be completed prior to one year from the transaction completion, consistent with ASC 805.</w:t>
      </w:r>
    </w:p>
    <w:p>
      <w:pPr>
        <w:sectPr>
          <w:pgSz w:w="11900" w:h="16838" w:orient="portrait"/>
          <w:cols w:equalWidth="0" w:num="1">
            <w:col w:w="11240"/>
          </w:cols>
          <w:pgMar w:left="320" w:top="125"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results of Quest's operations have been included in the Simply Good Foods' Consolidated Financial Statements since November 7, 2019, the date of acquisition. The following table provides net sales from the acquired Quest business included in the Company's results:</w:t>
      </w:r>
    </w:p>
    <w:p>
      <w:pPr>
        <w:spacing w:after="0" w:line="337" w:lineRule="exact"/>
        <w:rPr>
          <w:sz w:val="20"/>
          <w:szCs w:val="20"/>
          <w:color w:val="auto"/>
        </w:rPr>
      </w:pPr>
    </w:p>
    <w:tbl>
      <w:tblPr>
        <w:tblLayout w:type="fixed"/>
        <w:tblInd w:w="248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Thirteen Weeks</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2"/>
              </w:rPr>
              <w:t>Twenty-Six Weeks</w:t>
            </w:r>
          </w:p>
        </w:tc>
      </w:tr>
      <w:tr>
        <w:trPr>
          <w:trHeight w:val="206"/>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Ended</w:t>
            </w:r>
          </w:p>
        </w:tc>
        <w:tc>
          <w:tcPr>
            <w:tcW w:w="120" w:type="dxa"/>
            <w:vAlign w:val="bottom"/>
          </w:tcPr>
          <w:p>
            <w:pPr>
              <w:spacing w:after="0"/>
              <w:rPr>
                <w:sz w:val="17"/>
                <w:szCs w:val="17"/>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color w:val="auto"/>
                <w:w w:val="90"/>
              </w:rPr>
              <w:t>Ended</w:t>
            </w:r>
          </w:p>
        </w:tc>
      </w:tr>
      <w:tr>
        <w:trPr>
          <w:trHeight w:val="270"/>
        </w:trPr>
        <w:tc>
          <w:tcPr>
            <w:tcW w:w="3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February 29, 2020</w:t>
            </w:r>
          </w:p>
        </w:tc>
        <w:tc>
          <w:tcPr>
            <w:tcW w:w="120" w:type="dxa"/>
            <w:vAlign w:val="bottom"/>
          </w:tcPr>
          <w:p>
            <w:pPr>
              <w:spacing w:after="0"/>
              <w:rPr>
                <w:sz w:val="23"/>
                <w:szCs w:val="23"/>
                <w:color w:val="auto"/>
              </w:rPr>
            </w:pP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February 29, 2020</w:t>
            </w: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105,387</w:t>
            </w:r>
          </w:p>
        </w:tc>
      </w:tr>
      <w:tr>
        <w:trPr>
          <w:trHeight w:val="33"/>
        </w:trPr>
        <w:tc>
          <w:tcPr>
            <w:tcW w:w="3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 forma financial information is not intended to represent or be indicative of the actual results of operations of the combined business that would have been reported had the Acquisition of Quest been completed at the beginning of the fiscal year 2019, nor is it representative of future operating results of the Company.</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unaudited pro forma combined financial information is prepared based on Article 11 of Regulation S-X period end guidance. The Company and the legacy Quest entity have different fiscal year ends, with Simply Good Foods’ fiscal year being the last Saturday of August while the legacy Quest business fiscal year end was December 31. Because the year ends differ by more than 93 days, Quest's financial information is required to be adjusted to a period within 93 days of Simply Good Foods’ fiscal period end. For the purposes of preparing the unaudited pro forma combined financial information for the thirteen weeks ended February 23, 2019, Quest’s unaudited consolidated statement of operations for the three months ended December 31, 2018 was derived by deducting the historical unaudited consolidated statement of operations for the nine months ended September 30, 2018, from the unaudited consolidated statement of operations for the fiscal year ended December 31, 2018. For the purposes of preparing the unaudited pro forma combined financial information for the twenty-six weeks ended February 23, 2019, Quest’s unaudited consolidated statement of operations for the six months ended December 31, 2018 was derived by deducting the historical unaudited consolidated statement of operations for the six months ended June 30, 2018, from the unaudited consolidated statement of operations for the fiscal year ended December 31, 2018.</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to the above period end adjustments, the pro forma results include certain adjustments, as required under ASC 805, which are different than Article 11 pro forma requirements. ASC 805 requires pro forma adjustments to reflect the effects of fair value adjustments, transaction costs, capital structure changes, the tax effects of such adjustments, and also requires nonrecurring adjustments be prepared as though the Acquisition of Quest had occurred as of the beginning of the earliest period presented. The adjustments to the historical Quest financial results include the exclusion of legacy derivatives and interest expense that were settled in the execution of the Acquisition of Quest. Additional adjustments include non recurring transaction costs and the portion of the inventory fair value adjustment recorded by the Company during the thirteen weeks ended and twenty-six weeks ended February 29, 2020. Both periods were further adjusted to reflect a full period of (a) fair value adjustments related to inventory and incremental customer relationship amortization, (b) interest expense with the higher principal and interest rates associated with the Company's new term loan debt incurred to finance, in part, the Acquisition of Quest, and (c) the effects of the adjustments on income taxes and net income.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unaudited pro forma combined financial information presents combined results of the Company and Quest as if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Quest has occurred at the beginning of fiscal 2019:</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Arial" w:cs="Arial" w:eastAsia="Arial" w:hAnsi="Arial"/>
                <w:sz w:val="16"/>
                <w:szCs w:val="16"/>
                <w:color w:val="auto"/>
              </w:rPr>
              <w:t>Thirteen Weeks Ended</w:t>
            </w:r>
          </w:p>
        </w:tc>
        <w:tc>
          <w:tcPr>
            <w:tcW w:w="140" w:type="dxa"/>
            <w:vAlign w:val="bottom"/>
          </w:tcPr>
          <w:p>
            <w:pPr>
              <w:spacing w:after="0"/>
              <w:rPr>
                <w:sz w:val="17"/>
                <w:szCs w:val="17"/>
                <w:color w:val="auto"/>
              </w:rPr>
            </w:pPr>
          </w:p>
        </w:tc>
        <w:tc>
          <w:tcPr>
            <w:tcW w:w="2840" w:type="dxa"/>
            <w:vAlign w:val="bottom"/>
            <w:gridSpan w:val="4"/>
          </w:tcPr>
          <w:p>
            <w:pPr>
              <w:jc w:val="right"/>
              <w:ind w:right="559"/>
              <w:spacing w:after="0"/>
              <w:rPr>
                <w:sz w:val="20"/>
                <w:szCs w:val="20"/>
                <w:color w:val="auto"/>
              </w:rPr>
            </w:pPr>
            <w:r>
              <w:rPr>
                <w:rFonts w:ascii="Arial" w:cs="Arial" w:eastAsia="Arial" w:hAnsi="Arial"/>
                <w:sz w:val="16"/>
                <w:szCs w:val="16"/>
                <w:color w:val="auto"/>
              </w:rPr>
              <w:t>Twenty-Six Weeks Ended</w:t>
            </w:r>
          </w:p>
        </w:tc>
      </w:tr>
      <w:tr>
        <w:trPr>
          <w:trHeight w:val="33"/>
        </w:trPr>
        <w:tc>
          <w:tcPr>
            <w:tcW w:w="3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February 23, 2019</w:t>
            </w:r>
          </w:p>
        </w:tc>
        <w:tc>
          <w:tcPr>
            <w:tcW w:w="14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color w:val="auto"/>
              </w:rPr>
              <w:t>February 29, 2020</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w w:val="91"/>
              </w:rPr>
              <w:t>February 23, 2019</w:t>
            </w:r>
          </w:p>
        </w:tc>
      </w:tr>
      <w:tr>
        <w:trPr>
          <w:trHeight w:val="33"/>
        </w:trPr>
        <w:tc>
          <w:tcPr>
            <w:tcW w:w="3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447,657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392,747</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90,479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75,361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178,667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136,948</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(7,246)</w:t>
            </w:r>
          </w:p>
        </w:tc>
      </w:tr>
      <w:tr>
        <w:trPr>
          <w:trHeight w:val="33"/>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The singular performance obligation of our customer contracts is determined by each individual purchase order and the products ordered, with revenue being recognized at a point-in-time when the obligation under the terms of the agreement is satisfied and product control is transferred to the customer. Specifically, control transfers to our customers when the product is delivered to or picked up by our customers based on applicable shipping terms. The performance obligations of our customer contracts are generally satisfied within 30 days.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is measured as the amount of consideration we expect to receive in exchange for fulfilled product orders, including estimates of variable consideration. The most common forms of variable consideration include trade programs, consumer incentives, coupon redemptions, allowances for unsaleable products, and any additional amounts where a distinct good or service cannot be identified or the value cannot be reasonably estimated. Estimates of variable consideration are made using various information including historical data on performance of</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similar trade promotional activities, as well as the Company’s best estimate of current activity. We review these estimates regularly and make revisions as necessary. Revisions can include changes for consideration paid to customers that lack sufficient evidence to support a distinct good or service assertion, or for which a reasonably estimable fair value cannot be determined, primarily related to our assessments of cooperative advertising programs. Uncertainties related to the estimate of variable consideration are resolved in a short time frame and do not require any additional constraint on variable consideration. Adjustments to variable consideration are recognized in the period the adjustments are identified and have historically been insignificant. Revenue is recognized net of any taxes collected from customers and subsequently remitted to governmental authorities.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standard assurance type warranties that our products will comply with all agreed-upon specifications. No services beyond an assurance type warranty are provided to our customers. While customers generally have a right to return defective or non-conforming products, past experience has demonstrated that product returns have been immaterial. Customer remedies for defective or non-conforming products may include a refund or exchange. As a result, the right of return is estimated and recorded as a reduction in revenue, if necessary.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customer contracts identify product quantity, price and payment terms. Payment terms are granted consistent with industry standards. Although some payment terms may be more extended, the majority of our payment terms are less than 60 days. As a result, we do not adjust our revenues for the effects of a significant financing component. Amounts billed and due from our customers are classified as accounts receivable on the condensed consolidated balance sheets.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utilizes third-party contract manufacturers for the manufacture of its products. The Company has evaluated whether the Company is the principal or agent in these relationships. The Company has determined that it is the principal in all cases, as it maintains the responsibility for fulfillment, risk of loss and establishes the price.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elected the following practical expedients in accordance with ASC Topic 606:</w:t>
      </w:r>
    </w:p>
    <w:p>
      <w:pPr>
        <w:spacing w:after="0" w:line="225" w:lineRule="exact"/>
        <w:rPr>
          <w:sz w:val="20"/>
          <w:szCs w:val="20"/>
          <w:color w:val="auto"/>
        </w:rPr>
      </w:pPr>
    </w:p>
    <w:p>
      <w:pPr>
        <w:jc w:val="both"/>
        <w:ind w:left="1300" w:hanging="320"/>
        <w:spacing w:after="0" w:line="263"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—We have elected to account for shipping and handling costs incurred to deliver products to customers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fulfillment activities, rather than a promised service. As such, fulfillment costs are included in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our Condensed Consolidated Statements of Operations and Comprehensive Income.</w:t>
      </w:r>
    </w:p>
    <w:p>
      <w:pPr>
        <w:spacing w:after="0" w:line="18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Costs of obtaining a contract</w:t>
      </w:r>
      <w:r>
        <w:rPr>
          <w:rFonts w:ascii="Arial" w:cs="Arial" w:eastAsia="Arial" w:hAnsi="Arial"/>
          <w:sz w:val="18"/>
          <w:szCs w:val="18"/>
          <w:color w:val="auto"/>
        </w:rPr>
        <w:t>—We have elected to expense costs of obtaining a contract because the amortization period would be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one year.</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Revenues from transactions with external customers for each of Simply Good Foods’ products would be impracticable to disclose and management does not view its business by product line. The following table presents our revenue disaggregated by geographic area and brand.</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5"/>
          </w:tcPr>
          <w:p>
            <w:pPr>
              <w:ind w:left="640"/>
              <w:spacing w:after="0"/>
              <w:rPr>
                <w:sz w:val="20"/>
                <w:szCs w:val="20"/>
                <w:color w:val="auto"/>
              </w:rPr>
            </w:pPr>
            <w:r>
              <w:rPr>
                <w:rFonts w:ascii="Arial" w:cs="Arial" w:eastAsia="Arial" w:hAnsi="Arial"/>
                <w:sz w:val="16"/>
                <w:szCs w:val="16"/>
                <w:color w:val="auto"/>
              </w:rPr>
              <w:t>Thirteen Weeks Ended</w:t>
            </w:r>
          </w:p>
        </w:tc>
        <w:tc>
          <w:tcPr>
            <w:tcW w:w="100" w:type="dxa"/>
            <w:vAlign w:val="bottom"/>
          </w:tcPr>
          <w:p>
            <w:pPr>
              <w:spacing w:after="0"/>
              <w:rPr>
                <w:sz w:val="17"/>
                <w:szCs w:val="17"/>
                <w:color w:val="auto"/>
              </w:rPr>
            </w:pPr>
          </w:p>
        </w:tc>
        <w:tc>
          <w:tcPr>
            <w:tcW w:w="2840" w:type="dxa"/>
            <w:vAlign w:val="bottom"/>
            <w:gridSpan w:val="4"/>
          </w:tcPr>
          <w:p>
            <w:pPr>
              <w:jc w:val="right"/>
              <w:ind w:right="539"/>
              <w:spacing w:after="0"/>
              <w:rPr>
                <w:sz w:val="20"/>
                <w:szCs w:val="20"/>
                <w:color w:val="auto"/>
              </w:rPr>
            </w:pPr>
            <w:r>
              <w:rPr>
                <w:rFonts w:ascii="Arial" w:cs="Arial" w:eastAsia="Arial" w:hAnsi="Arial"/>
                <w:sz w:val="16"/>
                <w:szCs w:val="16"/>
                <w:color w:val="auto"/>
              </w:rPr>
              <w:t>Twenty-Six Weeks Ended</w:t>
            </w:r>
          </w:p>
        </w:tc>
      </w:tr>
      <w:tr>
        <w:trPr>
          <w:trHeight w:val="33"/>
        </w:trPr>
        <w:tc>
          <w:tcPr>
            <w:tcW w:w="4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40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February 29, 2020</w:t>
            </w:r>
          </w:p>
        </w:tc>
        <w:tc>
          <w:tcPr>
            <w:tcW w:w="10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February 23, 2019</w:t>
            </w:r>
          </w:p>
        </w:tc>
        <w:tc>
          <w:tcPr>
            <w:tcW w:w="10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w w:val="88"/>
              </w:rPr>
              <w:t>February 23, 2019</w:t>
            </w: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131,435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117,946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259,247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232,552</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12,179</w:t>
            </w:r>
          </w:p>
        </w:tc>
      </w:tr>
      <w:tr>
        <w:trPr>
          <w:trHeight w:val="217"/>
        </w:trPr>
        <w:tc>
          <w:tcPr>
            <w:tcW w:w="4000" w:type="dxa"/>
            <w:vAlign w:val="bottom"/>
          </w:tcPr>
          <w:p>
            <w:pPr>
              <w:ind w:left="280"/>
              <w:spacing w:after="0"/>
              <w:rPr>
                <w:sz w:val="20"/>
                <w:szCs w:val="20"/>
                <w:color w:val="auto"/>
              </w:rPr>
            </w:pPr>
            <w:r>
              <w:rPr>
                <w:rFonts w:ascii="Arial" w:cs="Arial" w:eastAsia="Arial" w:hAnsi="Arial"/>
                <w:sz w:val="16"/>
                <w:szCs w:val="16"/>
                <w:color w:val="auto"/>
              </w:rPr>
              <w:t>Total Atkins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138,796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123,800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273,867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244,731</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4000" w:type="dxa"/>
            <w:vAlign w:val="bottom"/>
          </w:tcPr>
          <w:p>
            <w:pPr>
              <w:ind w:left="180"/>
              <w:spacing w:after="0"/>
              <w:rPr>
                <w:sz w:val="20"/>
                <w:szCs w:val="20"/>
                <w:color w:val="auto"/>
              </w:rPr>
            </w:pPr>
            <w:r>
              <w:rPr>
                <w:rFonts w:ascii="Arial" w:cs="Arial" w:eastAsia="Arial" w:hAnsi="Arial"/>
                <w:sz w:val="16"/>
                <w:szCs w:val="16"/>
                <w:color w:val="auto"/>
              </w:rPr>
              <w:t>Quest</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88,305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105,387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40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227,101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123,800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379,254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244,731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12700</wp:posOffset>
            </wp:positionV>
            <wp:extent cx="380619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06190" cy="2603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(1) Quest net sales are primarily in North America.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to goodwill during the twenty-six weeks ended February 29, 2020 were as follows:</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8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3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August 31, 2019</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471,427</w:t>
            </w:r>
          </w:p>
        </w:tc>
      </w:tr>
      <w:tr>
        <w:trPr>
          <w:trHeight w:val="237"/>
        </w:trPr>
        <w:tc>
          <w:tcPr>
            <w:tcW w:w="8600" w:type="dxa"/>
            <w:vAlign w:val="bottom"/>
          </w:tcPr>
          <w:p>
            <w:pPr>
              <w:ind w:left="20"/>
              <w:spacing w:after="0"/>
              <w:rPr>
                <w:sz w:val="20"/>
                <w:szCs w:val="20"/>
                <w:color w:val="auto"/>
              </w:rPr>
            </w:pPr>
            <w:r>
              <w:rPr>
                <w:rFonts w:ascii="Arial" w:cs="Arial" w:eastAsia="Arial" w:hAnsi="Arial"/>
                <w:sz w:val="16"/>
                <w:szCs w:val="16"/>
                <w:color w:val="auto"/>
              </w:rPr>
              <w:t>Acquisition of business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99,289</w:t>
            </w:r>
          </w:p>
        </w:tc>
      </w:tr>
      <w:tr>
        <w:trPr>
          <w:trHeight w:val="33"/>
        </w:trPr>
        <w:tc>
          <w:tcPr>
            <w:tcW w:w="8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February 29, 2020</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570,716</w:t>
            </w:r>
          </w:p>
        </w:tc>
      </w:tr>
      <w:tr>
        <w:trPr>
          <w:trHeight w:val="20"/>
        </w:trPr>
        <w:tc>
          <w:tcPr>
            <w:tcW w:w="8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the Company's Goodwill from August 31, 2019 to February 29, 2020 is the result of the acquisition method of accounting related to the Acquisition of Quest, as described in Note 3. There were no impairment charges related to goodwill during this period or since the inception of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Intangible assets, net </w:t>
      </w:r>
      <w:r>
        <w:rPr>
          <w:rFonts w:ascii="Arial" w:cs="Arial" w:eastAsia="Arial" w:hAnsi="Arial"/>
          <w:sz w:val="18"/>
          <w:szCs w:val="18"/>
          <w:color w:val="auto"/>
        </w:rPr>
        <w:t>in our Condensed Consolidated Balance Sheets consist of the following:</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February 29, 2020</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Gross carrying</w:t>
            </w:r>
          </w:p>
        </w:tc>
        <w:tc>
          <w:tcPr>
            <w:tcW w:w="1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98"/>
        </w:trPr>
        <w:tc>
          <w:tcPr>
            <w:tcW w:w="430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gridSpan w:val="2"/>
            <w:vMerge w:val="restart"/>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jc w:val="center"/>
              <w:ind w:right="99"/>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restart"/>
          </w:tcPr>
          <w:p>
            <w:pPr>
              <w:jc w:val="center"/>
              <w:ind w:right="99"/>
              <w:spacing w:after="0"/>
              <w:rPr>
                <w:sz w:val="20"/>
                <w:szCs w:val="20"/>
                <w:color w:val="auto"/>
              </w:rPr>
            </w:pPr>
            <w:r>
              <w:rPr>
                <w:rFonts w:ascii="Arial" w:cs="Arial" w:eastAsia="Arial" w:hAnsi="Arial"/>
                <w:sz w:val="16"/>
                <w:szCs w:val="16"/>
                <w:color w:val="auto"/>
                <w:w w:val="93"/>
              </w:rPr>
              <w:t>amount</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restart"/>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20" w:type="dxa"/>
            <w:vAlign w:val="bottom"/>
            <w:gridSpan w:val="2"/>
            <w:vMerge w:val="restart"/>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30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CCEEFF"/>
            </w:tcBorders>
            <w:gridSpan w:val="2"/>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gridSpan w:val="2"/>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indefinite life:</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Brands and trademarks</w:t>
            </w:r>
          </w:p>
        </w:tc>
        <w:tc>
          <w:tcPr>
            <w:tcW w:w="114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962,000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962,000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Intangible assets with 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15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12,703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161,297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w w:val="87"/>
              </w:rPr>
              <w:t>7 years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Licensing agreements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14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Software and website development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Intangible assets in progress</w:t>
            </w:r>
          </w:p>
        </w:tc>
        <w:tc>
          <w:tcPr>
            <w:tcW w:w="16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5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1,170,818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1,149,410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6"/>
                <w:szCs w:val="16"/>
                <w:color w:val="auto"/>
                <w:w w:val="92"/>
              </w:rPr>
              <w:t>August 31, 2019</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color w:val="auto"/>
                <w:w w:val="92"/>
              </w:rPr>
              <w:t>Gross carrying</w:t>
            </w:r>
          </w:p>
        </w:tc>
        <w:tc>
          <w:tcPr>
            <w:tcW w:w="1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6"/>
                <w:szCs w:val="16"/>
                <w:color w:val="auto"/>
                <w:w w:val="92"/>
              </w:rPr>
              <w:t>Accumulated</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color w:val="auto"/>
                <w:w w:val="95"/>
              </w:rPr>
              <w:t>Net carrying amount</w:t>
            </w:r>
          </w:p>
        </w:tc>
        <w:tc>
          <w:tcPr>
            <w:tcW w:w="0" w:type="dxa"/>
            <w:vAlign w:val="bottom"/>
          </w:tcPr>
          <w:p>
            <w:pPr>
              <w:spacing w:after="0"/>
              <w:rPr>
                <w:sz w:val="1"/>
                <w:szCs w:val="1"/>
                <w:color w:val="auto"/>
              </w:rPr>
            </w:pPr>
          </w:p>
        </w:tc>
      </w:tr>
      <w:tr>
        <w:trPr>
          <w:trHeight w:val="98"/>
        </w:trPr>
        <w:tc>
          <w:tcPr>
            <w:tcW w:w="42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gridSpan w:val="2"/>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gridSpan w:val="2"/>
            <w:vMerge w:val="restart"/>
          </w:tcPr>
          <w:p>
            <w:pPr>
              <w:jc w:val="center"/>
              <w:ind w:right="99"/>
              <w:spacing w:after="0"/>
              <w:rPr>
                <w:sz w:val="20"/>
                <w:szCs w:val="20"/>
                <w:color w:val="auto"/>
              </w:rPr>
            </w:pPr>
            <w:r>
              <w:rPr>
                <w:rFonts w:ascii="Arial" w:cs="Arial" w:eastAsia="Arial" w:hAnsi="Arial"/>
                <w:sz w:val="16"/>
                <w:szCs w:val="16"/>
                <w:color w:val="auto"/>
                <w:w w:val="96"/>
              </w:rPr>
              <w:t>Useful life</w:t>
            </w:r>
          </w:p>
        </w:tc>
        <w:tc>
          <w:tcPr>
            <w:tcW w:w="12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restart"/>
          </w:tcPr>
          <w:p>
            <w:pPr>
              <w:jc w:val="center"/>
              <w:ind w:right="79"/>
              <w:spacing w:after="0"/>
              <w:rPr>
                <w:sz w:val="20"/>
                <w:szCs w:val="20"/>
                <w:color w:val="auto"/>
              </w:rPr>
            </w:pPr>
            <w:r>
              <w:rPr>
                <w:rFonts w:ascii="Arial" w:cs="Arial" w:eastAsia="Arial" w:hAnsi="Arial"/>
                <w:sz w:val="16"/>
                <w:szCs w:val="16"/>
                <w:color w:val="auto"/>
                <w:w w:val="89"/>
              </w:rPr>
              <w:t>amount</w:t>
            </w: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vMerge w:val="restart"/>
          </w:tcPr>
          <w:p>
            <w:pPr>
              <w:jc w:val="center"/>
              <w:ind w:right="39"/>
              <w:spacing w:after="0"/>
              <w:rPr>
                <w:sz w:val="20"/>
                <w:szCs w:val="20"/>
                <w:color w:val="auto"/>
              </w:rPr>
            </w:pPr>
            <w:r>
              <w:rPr>
                <w:rFonts w:ascii="Arial" w:cs="Arial" w:eastAsia="Arial" w:hAnsi="Arial"/>
                <w:sz w:val="16"/>
                <w:szCs w:val="16"/>
                <w:color w:val="auto"/>
                <w:w w:val="94"/>
              </w:rPr>
              <w:t>amortization</w:t>
            </w:r>
          </w:p>
        </w:tc>
        <w:tc>
          <w:tcPr>
            <w:tcW w:w="10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2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gridSpan w:val="2"/>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Intangible assets with indefinite life:</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Brands and trademarks</w:t>
            </w:r>
          </w:p>
        </w:tc>
        <w:tc>
          <w:tcPr>
            <w:tcW w:w="1140" w:type="dxa"/>
            <w:vAlign w:val="bottom"/>
            <w:gridSpan w:val="4"/>
          </w:tcPr>
          <w:p>
            <w:pPr>
              <w:jc w:val="center"/>
              <w:ind w:right="140"/>
              <w:spacing w:after="0"/>
              <w:rPr>
                <w:sz w:val="20"/>
                <w:szCs w:val="20"/>
                <w:color w:val="auto"/>
              </w:rPr>
            </w:pPr>
            <w:r>
              <w:rPr>
                <w:rFonts w:ascii="Arial" w:cs="Arial" w:eastAsia="Arial" w:hAnsi="Arial"/>
                <w:sz w:val="16"/>
                <w:szCs w:val="16"/>
                <w:color w:val="auto"/>
                <w:w w:val="97"/>
              </w:rPr>
              <w:t>Indefinite life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232,000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232,000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Intangible assets with finite lives:</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15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50,618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6"/>
                <w:szCs w:val="16"/>
                <w:color w:val="auto"/>
              </w:rPr>
              <w:t>Proprietary recipes and formulas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color w:val="auto"/>
                <w:w w:val="87"/>
              </w:rPr>
              <w:t>7 years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gridSpan w:val="4"/>
          </w:tcPr>
          <w:p>
            <w:pPr>
              <w:ind w:left="380"/>
              <w:spacing w:after="0"/>
              <w:rPr>
                <w:sz w:val="20"/>
                <w:szCs w:val="20"/>
                <w:color w:val="auto"/>
              </w:rPr>
            </w:pPr>
            <w:r>
              <w:rPr>
                <w:rFonts w:ascii="Arial" w:cs="Arial" w:eastAsia="Arial" w:hAnsi="Arial"/>
                <w:sz w:val="16"/>
                <w:szCs w:val="16"/>
                <w:color w:val="auto"/>
              </w:rPr>
              <w:t>Licensing agreements</w:t>
            </w:r>
          </w:p>
        </w:tc>
        <w:tc>
          <w:tcPr>
            <w:tcW w:w="160" w:type="dxa"/>
            <w:vAlign w:val="bottom"/>
          </w:tcPr>
          <w:p>
            <w:pPr>
              <w:spacing w:after="0"/>
              <w:rPr>
                <w:sz w:val="20"/>
                <w:szCs w:val="20"/>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6"/>
                <w:szCs w:val="16"/>
                <w:color w:val="auto"/>
                <w:w w:val="87"/>
              </w:rPr>
              <w:t>14 years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3,348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Intangible assets, net </w:t>
      </w:r>
      <w:r>
        <w:rPr>
          <w:rFonts w:ascii="Arial" w:cs="Arial" w:eastAsia="Arial" w:hAnsi="Arial"/>
          <w:sz w:val="16"/>
          <w:szCs w:val="16"/>
          <w:color w:val="auto"/>
        </w:rPr>
        <w:t>changed due to amortization expense and the Acquisition of Quest. Amortization expense related to intangible assets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thirteen weeks ended February 29, 2020 and February 23, 2019 were $3.9 million and $1.6 million, respectively. Amortization expense related to intangible assets during the twenty-six weeks ended February 29, 2020 and February 23, 2019 were $6.2 million and $3.3 million, respectively.</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future amortization for each of the next five fiscal years and thereafter is as follows:</w:t>
      </w:r>
    </w:p>
    <w:p>
      <w:pPr>
        <w:spacing w:after="0" w:line="234" w:lineRule="exact"/>
        <w:rPr>
          <w:sz w:val="20"/>
          <w:szCs w:val="20"/>
          <w:color w:val="auto"/>
        </w:rPr>
      </w:pPr>
    </w:p>
    <w:tbl>
      <w:tblPr>
        <w:tblLayout w:type="fixed"/>
        <w:tblInd w:w="2760" w:type="dxa"/>
        <w:tblCellMar>
          <w:top w:w="0" w:type="dxa"/>
          <w:left w:w="0" w:type="dxa"/>
          <w:bottom w:w="0" w:type="dxa"/>
          <w:right w:w="0" w:type="dxa"/>
        </w:tblCellMar>
      </w:tblPr>
      <w:tr>
        <w:trPr>
          <w:trHeight w:val="188"/>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 by fiscal year)</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36"/>
        </w:trPr>
        <w:tc>
          <w:tcPr>
            <w:tcW w:w="4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2020</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7,782</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15,327</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15,094</w:t>
            </w:r>
          </w:p>
        </w:tc>
      </w:tr>
      <w:tr>
        <w:trPr>
          <w:trHeight w:val="237"/>
        </w:trPr>
        <w:tc>
          <w:tcPr>
            <w:tcW w:w="4180" w:type="dxa"/>
            <w:vAlign w:val="bottom"/>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33"/>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14,281</w:t>
            </w:r>
          </w:p>
        </w:tc>
      </w:tr>
      <w:tr>
        <w:trPr>
          <w:trHeight w:val="237"/>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2025 and thereafter</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119,891</w:t>
            </w:r>
          </w:p>
        </w:tc>
      </w:tr>
      <w:tr>
        <w:trPr>
          <w:trHeight w:val="33"/>
        </w:trPr>
        <w:tc>
          <w:tcPr>
            <w:tcW w:w="4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187,204</w:t>
            </w:r>
          </w:p>
        </w:tc>
      </w:tr>
      <w:tr>
        <w:trPr>
          <w:trHeight w:val="33"/>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 and Line of Credit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was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partially finance the Acquisition of Quest. No amounts under the Term Facility were repaid as a result of the execution of the Incremental Facility Amendment.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Agreement may result in an event of default. The Company was in compliance with all financial covenants under the Credit Agreement as of February 29, 2020 and August 31, 2019.</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February 29, 2020 and August 31, 2019, there were no cash amounts drawn against the Revolving Credit Facility. Long-term debt consists of the following:</w:t>
      </w:r>
    </w:p>
    <w:p>
      <w:pPr>
        <w:spacing w:after="0" w:line="121" w:lineRule="exact"/>
        <w:rPr>
          <w:sz w:val="20"/>
          <w:szCs w:val="20"/>
          <w:color w:val="auto"/>
        </w:rPr>
      </w:pPr>
    </w:p>
    <w:tbl>
      <w:tblPr>
        <w:tblLayout w:type="fixed"/>
        <w:tblInd w:w="620" w:type="dxa"/>
        <w:tblCellMar>
          <w:top w:w="0" w:type="dxa"/>
          <w:left w:w="0" w:type="dxa"/>
          <w:bottom w:w="0" w:type="dxa"/>
          <w:right w:w="0" w:type="dxa"/>
        </w:tblCellMar>
      </w:tblPr>
      <w:tr>
        <w:trPr>
          <w:trHeight w:val="247"/>
        </w:trPr>
        <w:tc>
          <w:tcPr>
            <w:tcW w:w="69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gridSpan w:val="3"/>
          </w:tcPr>
          <w:p>
            <w:pPr>
              <w:ind w:left="140"/>
              <w:spacing w:after="0"/>
              <w:rPr>
                <w:sz w:val="20"/>
                <w:szCs w:val="20"/>
                <w:color w:val="auto"/>
              </w:rPr>
            </w:pPr>
            <w:r>
              <w:rPr>
                <w:rFonts w:ascii="Arial" w:cs="Arial" w:eastAsia="Arial" w:hAnsi="Arial"/>
                <w:sz w:val="16"/>
                <w:szCs w:val="16"/>
                <w:color w:val="auto"/>
              </w:rPr>
              <w:t>February 29, 2020</w:t>
            </w:r>
          </w:p>
        </w:tc>
        <w:tc>
          <w:tcPr>
            <w:tcW w:w="18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color w:val="auto"/>
                <w:w w:val="92"/>
              </w:rPr>
              <w:t>August 31, 2019</w:t>
            </w:r>
          </w:p>
        </w:tc>
      </w:tr>
      <w:tr>
        <w:trPr>
          <w:trHeight w:val="236"/>
        </w:trPr>
        <w:tc>
          <w:tcPr>
            <w:tcW w:w="6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Term Loan (effective rate of 5.4% at February 29, 2020)</w:t>
            </w:r>
          </w:p>
        </w:tc>
        <w:tc>
          <w:tcPr>
            <w:tcW w:w="520" w:type="dxa"/>
            <w:vAlign w:val="bottom"/>
            <w:tcBorders>
              <w:top w:val="single" w:sz="8" w:color="auto"/>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196,500</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Finance lease liabilities (effective rate of 5.6% at February 29, 2020)</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Deferred financing fees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5,565</w:t>
            </w:r>
          </w:p>
        </w:tc>
      </w:tr>
      <w:tr>
        <w:trPr>
          <w:trHeight w:val="217"/>
        </w:trPr>
        <w:tc>
          <w:tcPr>
            <w:tcW w:w="696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624,340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190,935</w:t>
            </w:r>
          </w:p>
        </w:tc>
      </w:tr>
      <w:tr>
        <w:trPr>
          <w:trHeight w:val="33"/>
        </w:trPr>
        <w:tc>
          <w:tcPr>
            <w:tcW w:w="6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Less: Current maturities, net of deferred financing fees of $0.0 million at February 29, 2020 and $1.3</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million at August 31, 2019</w:t>
            </w: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37"/>
        </w:trPr>
        <w:tc>
          <w:tcPr>
            <w:tcW w:w="696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6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fees</w:t>
            </w:r>
          </w:p>
        </w:tc>
        <w:tc>
          <w:tcPr>
            <w:tcW w:w="52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190,259</w:t>
            </w:r>
          </w:p>
        </w:tc>
      </w:tr>
      <w:tr>
        <w:trPr>
          <w:trHeight w:val="20"/>
        </w:trPr>
        <w:tc>
          <w:tcPr>
            <w:tcW w:w="6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principal payments over the twelve months following the period ended February 29, 2020.</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February 29, 2020, the Company had letters of credit in the amount of $5.0 million outstanding. Our letters of credit offset against the availability of the Revolving Credit Facility. These letters of credit exist to support two of the Company's leased buildings and insurance programs relating to workers' compensation. No amounts were drawn against these letters of credit at February 29, 2020.</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carries debt at historical cost and discloses fair value. As of February 29, 2020 and August 31, 2019, the book value of the Company’s debt approximated fair value. The estimated fair value of the Term Loan is based on observable inputs and classified as Level 2 in the fair value hierarchy.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quoted prices for identical assets and liabilities in active markets.</w:t>
      </w:r>
    </w:p>
    <w:p>
      <w:pPr>
        <w:spacing w:after="0" w:line="22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 loss of $0.5 million was charged to the </w:t>
      </w:r>
      <w:r>
        <w:rPr>
          <w:rFonts w:ascii="Arial" w:cs="Arial" w:eastAsia="Arial" w:hAnsi="Arial"/>
          <w:sz w:val="17"/>
          <w:szCs w:val="17"/>
          <w:i w:val="1"/>
          <w:iCs w:val="1"/>
          <w:color w:val="auto"/>
        </w:rPr>
        <w:t>Loss in fair value change of contingent consideration - TRA liability</w:t>
      </w:r>
      <w:r>
        <w:rPr>
          <w:rFonts w:ascii="Arial" w:cs="Arial" w:eastAsia="Arial" w:hAnsi="Arial"/>
          <w:sz w:val="17"/>
          <w:szCs w:val="17"/>
          <w:color w:val="auto"/>
        </w:rPr>
        <w:t xml:space="preserve"> for the twenty-six weeks ended February 23, 2019. The Company settled the Income Tax Receivable Agreement (the “TRA”) during the twenty-six weeks ended February 23, 2019, which resulted in a $1.5 million gain. Following the settlement of the TRA liability, the Company did not have any Level 3 financial assets or liabilities.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approximated fair value as of February 29, 2020 and August 31, 2019 due to the relatively short maturity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tax expense and the effective tax rate for the twenty-six weeks ended February 29, 2020 and February 23, 2019 resulting from operations:</w:t>
      </w: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4"/>
          </w:tcPr>
          <w:p>
            <w:pPr>
              <w:jc w:val="right"/>
              <w:ind w:right="579"/>
              <w:spacing w:after="0"/>
              <w:rPr>
                <w:sz w:val="20"/>
                <w:szCs w:val="20"/>
                <w:color w:val="auto"/>
              </w:rPr>
            </w:pPr>
            <w:r>
              <w:rPr>
                <w:rFonts w:ascii="Arial" w:cs="Arial" w:eastAsia="Arial" w:hAnsi="Arial"/>
                <w:sz w:val="16"/>
                <w:szCs w:val="16"/>
                <w:color w:val="auto"/>
              </w:rPr>
              <w:t>Twenty-Six Weeks Ended</w:t>
            </w:r>
          </w:p>
        </w:tc>
      </w:tr>
      <w:tr>
        <w:trPr>
          <w:trHeight w:val="33"/>
        </w:trPr>
        <w:tc>
          <w:tcPr>
            <w:tcW w:w="6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8"/>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w w:val="90"/>
              </w:rPr>
              <w:t>February 23, 2019</w:t>
            </w:r>
          </w:p>
        </w:tc>
      </w:tr>
      <w:tr>
        <w:trPr>
          <w:trHeight w:val="236"/>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36,631</w:t>
            </w:r>
          </w:p>
        </w:tc>
      </w:tr>
      <w:tr>
        <w:trPr>
          <w:trHeight w:val="237"/>
        </w:trPr>
        <w:tc>
          <w:tcPr>
            <w:tcW w:w="69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2,193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8,652</w:t>
            </w:r>
          </w:p>
        </w:tc>
      </w:tr>
      <w:tr>
        <w:trPr>
          <w:trHeight w:val="33"/>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r>
      <w:tr>
        <w:trPr>
          <w:trHeight w:val="33"/>
        </w:trPr>
        <w:tc>
          <w:tcPr>
            <w:tcW w:w="6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 tax rate for the twenty-six week period ended February 29, 2020 is higher than the effective tax rate for the twenty-six week period ended February 23, 2019 by 3.6%, which is primarily driven by non-deductible transaction costs, the one-time tax impact of the settlement of the TRA liability during the twenty-six week period ended February 23, 2019, and other permanent differences.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 2019, we adopted ASU No. 2016-02, Leases (“Topic 842”) using the modified retrospective approach under ASU No. 2018-11, which permits application of the new guidance at the beginning of the period of adoption, with comparative periods continuing to be reported under Topic 840.</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Leases are classified as either finance leases or operating leases based on criteria in ASC 842. The Company’s operating leases are generally comprised of real estate and certain equipment used in warehousing our products. The Company’s finance leases are generally comprised of warehouse equipment.</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Right-of-use assets and lease liabilities are recognized at the lease commencement date based on the present value of lease payments over the lease term. The majority of the Company's leases do not provide an implicit rate; therefore, the Company uses its secured incremental borrowing rate based on the information available at the lease commencement date in determining the present value of future payments for those leases. Our incremental borrowing rate for a lease is the rate of interest we would pay to borrow on a collateralized basis over a similar term to the lease in a similar economic environment. The Company applied incremental borrowing rates using a portfolio approach. Right-of-use assets also include any lease payments made and exclude lease incentives. Lease terms may include options to extend or terminate the</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lease when it is reasonably certain that the Company will exercise that option. The Company has elected not to recognize right-of-use assets and lease liabilities for short-term operating leases that have a term of 1 year or less.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Thirteen Weeks</w:t>
            </w: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2"/>
              </w:rPr>
              <w:t>Twenty-Six Weeks</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Ended</w:t>
            </w:r>
          </w:p>
        </w:tc>
        <w:tc>
          <w:tcPr>
            <w:tcW w:w="100" w:type="dxa"/>
            <w:vAlign w:val="bottom"/>
          </w:tcPr>
          <w:p>
            <w:pPr>
              <w:spacing w:after="0"/>
              <w:rPr>
                <w:sz w:val="17"/>
                <w:szCs w:val="17"/>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86"/>
              </w:rPr>
              <w:t>Ended</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Statement of Operations Caption</w:t>
            </w:r>
          </w:p>
        </w:tc>
        <w:tc>
          <w:tcPr>
            <w:tcW w:w="12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February 29, 2020</w:t>
            </w:r>
          </w:p>
        </w:tc>
        <w:tc>
          <w:tcPr>
            <w:tcW w:w="100" w:type="dxa"/>
            <w:vAlign w:val="bottom"/>
          </w:tcPr>
          <w:p>
            <w:pPr>
              <w:spacing w:after="0"/>
              <w:rPr>
                <w:sz w:val="23"/>
                <w:szCs w:val="23"/>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91"/>
              </w:rPr>
              <w:t>February 29, 2020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Lease cost</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Cost of goods sold and General and administrative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2,247</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39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Cost of goods sold and General and administrative</w:t>
            </w:r>
          </w:p>
        </w:tc>
        <w:tc>
          <w:tcPr>
            <w:tcW w:w="1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7"/>
        </w:trPr>
        <w:tc>
          <w:tcPr>
            <w:tcW w:w="620" w:type="dxa"/>
            <w:vAlign w:val="bottom"/>
          </w:tcPr>
          <w:p>
            <w:pPr>
              <w:spacing w:after="0"/>
              <w:rPr>
                <w:sz w:val="18"/>
                <w:szCs w:val="18"/>
                <w:color w:val="auto"/>
              </w:rPr>
            </w:pPr>
          </w:p>
        </w:tc>
        <w:tc>
          <w:tcPr>
            <w:tcW w:w="3160" w:type="dxa"/>
            <w:vAlign w:val="bottom"/>
            <w:gridSpan w:val="2"/>
          </w:tcPr>
          <w:p>
            <w:pPr>
              <w:ind w:left="280"/>
              <w:spacing w:after="0"/>
              <w:rPr>
                <w:sz w:val="20"/>
                <w:szCs w:val="20"/>
                <w:color w:val="auto"/>
              </w:rPr>
            </w:pPr>
            <w:r>
              <w:rPr>
                <w:rFonts w:ascii="Arial" w:cs="Arial" w:eastAsia="Arial" w:hAnsi="Arial"/>
                <w:sz w:val="16"/>
                <w:szCs w:val="16"/>
                <w:color w:val="auto"/>
              </w:rPr>
              <w:t>Operating lease cost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0" w:type="dxa"/>
            <w:vAlign w:val="bottom"/>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Short term lease cost</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20" w:type="dxa"/>
            <w:vAlign w:val="bottom"/>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Finance lease cost: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Amortization of right-of use assets</w:t>
            </w:r>
          </w:p>
        </w:tc>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Interest on lease liabilities</w:t>
            </w:r>
          </w:p>
        </w:tc>
        <w:tc>
          <w:tcPr>
            <w:tcW w:w="3900" w:type="dxa"/>
            <w:vAlign w:val="bottom"/>
            <w:gridSpan w:val="4"/>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3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finance lease cost</w:t>
            </w: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97"/>
        </w:trPr>
        <w:tc>
          <w:tcPr>
            <w:tcW w:w="620" w:type="dxa"/>
            <w:vAlign w:val="bottom"/>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0" w:type="dxa"/>
            <w:vAlign w:val="bottom"/>
          </w:tcPr>
          <w:p>
            <w:pPr>
              <w:spacing w:after="0"/>
              <w:rPr>
                <w:sz w:val="1"/>
                <w:szCs w:val="1"/>
                <w:color w:val="auto"/>
              </w:rPr>
            </w:pPr>
          </w:p>
        </w:tc>
      </w:tr>
      <w:tr>
        <w:trPr>
          <w:trHeight w:val="20"/>
        </w:trPr>
        <w:tc>
          <w:tcPr>
            <w:tcW w:w="7680" w:type="dxa"/>
            <w:vAlign w:val="bottom"/>
            <w:gridSpan w:val="7"/>
            <w:vMerge w:val="restart"/>
          </w:tcPr>
          <w:p>
            <w:pPr>
              <w:spacing w:after="0"/>
              <w:rPr>
                <w:sz w:val="20"/>
                <w:szCs w:val="20"/>
                <w:color w:val="auto"/>
              </w:rPr>
            </w:pPr>
            <w:r>
              <w:rPr>
                <w:rFonts w:ascii="Arial" w:cs="Arial" w:eastAsia="Arial" w:hAnsi="Arial"/>
                <w:sz w:val="16"/>
                <w:szCs w:val="16"/>
                <w:color w:val="auto"/>
              </w:rPr>
              <w:t>(1) Variable lease cost primarily consists of common area maintenance, such as cleaning and repairs.</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620" w:type="dxa"/>
            <w:vAlign w:val="bottom"/>
          </w:tcPr>
          <w:p>
            <w:pPr>
              <w:spacing w:after="0"/>
              <w:rPr>
                <w:sz w:val="24"/>
                <w:szCs w:val="24"/>
                <w:color w:val="auto"/>
              </w:rPr>
            </w:pPr>
          </w:p>
        </w:tc>
        <w:tc>
          <w:tcPr>
            <w:tcW w:w="8600" w:type="dxa"/>
            <w:vAlign w:val="bottom"/>
            <w:gridSpan w:val="9"/>
          </w:tcPr>
          <w:p>
            <w:pPr>
              <w:ind w:left="40"/>
              <w:spacing w:after="0"/>
              <w:rPr>
                <w:sz w:val="20"/>
                <w:szCs w:val="20"/>
                <w:color w:val="auto"/>
              </w:rPr>
            </w:pPr>
            <w:r>
              <w:rPr>
                <w:rFonts w:ascii="Arial" w:cs="Arial" w:eastAsia="Arial" w:hAnsi="Arial"/>
                <w:sz w:val="18"/>
                <w:szCs w:val="18"/>
                <w:color w:val="auto"/>
              </w:rPr>
              <w:t>The gross amounts of assets and liabilities related to both operating and finance leases are as follows:</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 w:type="dxa"/>
            <w:vAlign w:val="bottom"/>
          </w:tcPr>
          <w:p>
            <w:pPr>
              <w:spacing w:after="0"/>
              <w:rPr>
                <w:sz w:val="24"/>
                <w:szCs w:val="24"/>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Balance Sheet Caption</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91"/>
              </w:rPr>
              <w:t>February 29, 2020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Operating lease right of use assets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Other long-term assets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27,072</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Pr>
          <w:p>
            <w:pPr>
              <w:spacing w:after="0"/>
              <w:rPr>
                <w:sz w:val="23"/>
                <w:szCs w:val="23"/>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Finance lease right of use assets</w:t>
            </w: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283"/>
        </w:trPr>
        <w:tc>
          <w:tcPr>
            <w:tcW w:w="620" w:type="dxa"/>
            <w:vAlign w:val="bottom"/>
          </w:tcPr>
          <w:p>
            <w:pPr>
              <w:spacing w:after="0"/>
              <w:rPr>
                <w:sz w:val="24"/>
                <w:szCs w:val="24"/>
                <w:color w:val="auto"/>
              </w:rPr>
            </w:pPr>
          </w:p>
        </w:tc>
        <w:tc>
          <w:tcPr>
            <w:tcW w:w="3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Total lease assets</w:t>
            </w:r>
          </w:p>
        </w:tc>
        <w:tc>
          <w:tcPr>
            <w:tcW w:w="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28,121</w:t>
            </w:r>
          </w:p>
        </w:tc>
        <w:tc>
          <w:tcPr>
            <w:tcW w:w="0" w:type="dxa"/>
            <w:vAlign w:val="bottom"/>
          </w:tcPr>
          <w:p>
            <w:pPr>
              <w:spacing w:after="0"/>
              <w:rPr>
                <w:sz w:val="1"/>
                <w:szCs w:val="1"/>
                <w:color w:val="auto"/>
              </w:rPr>
            </w:pPr>
          </w:p>
        </w:tc>
      </w:tr>
      <w:tr>
        <w:trPr>
          <w:trHeight w:val="284"/>
        </w:trPr>
        <w:tc>
          <w:tcPr>
            <w:tcW w:w="620" w:type="dxa"/>
            <w:vAlign w:val="bottom"/>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Operating lease liabilities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w w:val="97"/>
              </w:rPr>
              <w:t>Accrued expenses and other current liabilities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3,947</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Finance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20"/>
              <w:spacing w:after="0"/>
              <w:rPr>
                <w:sz w:val="20"/>
                <w:szCs w:val="20"/>
                <w:color w:val="auto"/>
              </w:rPr>
            </w:pPr>
            <w:r>
              <w:rPr>
                <w:rFonts w:ascii="Arial" w:cs="Arial" w:eastAsia="Arial" w:hAnsi="Arial"/>
                <w:sz w:val="16"/>
                <w:szCs w:val="16"/>
                <w:color w:val="auto"/>
              </w:rPr>
              <w:t>Long-term:</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Finance lease liabilities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ind w:left="4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3160" w:type="dxa"/>
            <w:vAlign w:val="bottom"/>
            <w:tcBorders>
              <w:bottom w:val="single" w:sz="8" w:color="CCEEFF"/>
            </w:tcBorders>
            <w:gridSpan w:val="2"/>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31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maturities of lease liabilities were as follows:</w:t>
      </w:r>
    </w:p>
    <w:p>
      <w:pPr>
        <w:spacing w:after="0" w:line="189" w:lineRule="exact"/>
        <w:rPr>
          <w:sz w:val="20"/>
          <w:szCs w:val="20"/>
          <w:color w:val="auto"/>
        </w:rPr>
      </w:pPr>
    </w:p>
    <w:tbl>
      <w:tblPr>
        <w:tblLayout w:type="fixed"/>
        <w:tblInd w:w="232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17"/>
                <w:szCs w:val="17"/>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color w:val="auto"/>
                <w:w w:val="92"/>
              </w:rPr>
              <w:t>Finance Leases</w:t>
            </w:r>
          </w:p>
        </w:tc>
      </w:tr>
      <w:tr>
        <w:trPr>
          <w:trHeight w:val="33"/>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ending:</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Remainder of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313</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620" w:type="dxa"/>
            <w:vAlign w:val="bottom"/>
          </w:tcPr>
          <w:p>
            <w:pPr>
              <w:ind w:left="40"/>
              <w:spacing w:after="0"/>
              <w:rPr>
                <w:sz w:val="20"/>
                <w:szCs w:val="20"/>
                <w:color w:val="auto"/>
              </w:rPr>
            </w:pPr>
            <w:r>
              <w:rPr>
                <w:rFonts w:ascii="Arial" w:cs="Arial" w:eastAsia="Arial" w:hAnsi="Arial"/>
                <w:sz w:val="16"/>
                <w:szCs w:val="16"/>
                <w:color w:val="auto"/>
              </w:rPr>
              <w:t>Total lease payments</w:t>
            </w: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35,026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1,206</w:t>
            </w: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Interest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44"/>
        </w:trPr>
        <w:tc>
          <w:tcPr>
            <w:tcW w:w="3620" w:type="dxa"/>
            <w:vAlign w:val="bottom"/>
          </w:tcPr>
          <w:p>
            <w:pPr>
              <w:ind w:left="40"/>
              <w:spacing w:after="0"/>
              <w:rPr>
                <w:sz w:val="20"/>
                <w:szCs w:val="20"/>
                <w:color w:val="auto"/>
              </w:rPr>
            </w:pPr>
            <w:r>
              <w:rPr>
                <w:rFonts w:ascii="Arial" w:cs="Arial" w:eastAsia="Arial" w:hAnsi="Arial"/>
                <w:sz w:val="16"/>
                <w:szCs w:val="16"/>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1,050</w:t>
            </w:r>
          </w:p>
        </w:tc>
      </w:tr>
      <w:tr>
        <w:trPr>
          <w:trHeight w:val="20"/>
        </w:trPr>
        <w:tc>
          <w:tcPr>
            <w:tcW w:w="3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047"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5" w:right="339" w:bottom="1047"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February 29, 2020, we have entered into a lease that has not yet commenced with total future lease payments of $1.5 million over the term of the lease that are not yet recorded on our Consolidated Balance Sheets. The lease will commence in 2020 with a term of 7.3 years.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weighted-average remaining lease term and weighted-average discount rate for operating and finance leases at February 29, 2020 is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206"/>
        </w:trPr>
        <w:tc>
          <w:tcPr>
            <w:tcW w:w="7020" w:type="dxa"/>
            <w:vAlign w:val="bottom"/>
          </w:tcPr>
          <w:p>
            <w:pPr>
              <w:spacing w:after="0"/>
              <w:rPr>
                <w:sz w:val="17"/>
                <w:szCs w:val="17"/>
                <w:color w:val="auto"/>
              </w:rPr>
            </w:pPr>
          </w:p>
        </w:tc>
        <w:tc>
          <w:tcPr>
            <w:tcW w:w="1560" w:type="dxa"/>
            <w:vAlign w:val="bottom"/>
            <w:gridSpan w:val="2"/>
          </w:tcPr>
          <w:p>
            <w:pPr>
              <w:ind w:left="160"/>
              <w:spacing w:after="0"/>
              <w:rPr>
                <w:sz w:val="20"/>
                <w:szCs w:val="20"/>
                <w:color w:val="auto"/>
              </w:rPr>
            </w:pPr>
            <w:r>
              <w:rPr>
                <w:rFonts w:ascii="Arial" w:cs="Arial" w:eastAsia="Arial" w:hAnsi="Arial"/>
                <w:sz w:val="16"/>
                <w:szCs w:val="16"/>
                <w:color w:val="auto"/>
              </w:rPr>
              <w:t>Operating Leases</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Finance Leases</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w:t>
            </w:r>
          </w:p>
        </w:tc>
      </w:tr>
      <w:tr>
        <w:trPr>
          <w:trHeight w:val="237"/>
        </w:trPr>
        <w:tc>
          <w:tcPr>
            <w:tcW w:w="70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4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r>
    </w:tbl>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and other information related to leases was as follows: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Arial" w:cs="Arial" w:eastAsia="Arial" w:hAnsi="Arial"/>
                <w:sz w:val="16"/>
                <w:szCs w:val="16"/>
                <w:color w:val="auto"/>
                <w:w w:val="92"/>
              </w:rPr>
              <w:t>Twenty-Six Weeks</w:t>
            </w:r>
          </w:p>
        </w:tc>
      </w:tr>
      <w:tr>
        <w:trPr>
          <w:trHeight w:val="206"/>
        </w:trPr>
        <w:tc>
          <w:tcPr>
            <w:tcW w:w="8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right="19"/>
              <w:spacing w:after="0"/>
              <w:rPr>
                <w:sz w:val="20"/>
                <w:szCs w:val="20"/>
                <w:color w:val="auto"/>
              </w:rPr>
            </w:pPr>
            <w:r>
              <w:rPr>
                <w:rFonts w:ascii="Arial" w:cs="Arial" w:eastAsia="Arial" w:hAnsi="Arial"/>
                <w:sz w:val="16"/>
                <w:szCs w:val="16"/>
                <w:color w:val="auto"/>
                <w:w w:val="90"/>
              </w:rPr>
              <w:t>Ended</w:t>
            </w:r>
          </w:p>
        </w:tc>
      </w:tr>
      <w:tr>
        <w:trPr>
          <w:trHeight w:val="270"/>
        </w:trPr>
        <w:tc>
          <w:tcPr>
            <w:tcW w:w="8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color w:val="auto"/>
                <w:w w:val="91"/>
              </w:rPr>
              <w:t>February 29, 2020</w:t>
            </w:r>
          </w:p>
        </w:tc>
      </w:tr>
      <w:tr>
        <w:trPr>
          <w:trHeight w:val="33"/>
        </w:trPr>
        <w:tc>
          <w:tcPr>
            <w:tcW w:w="8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8600" w:type="dxa"/>
            <w:vAlign w:val="bottom"/>
            <w:gridSpan w:val="2"/>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2,817</w:t>
            </w:r>
          </w:p>
        </w:tc>
      </w:tr>
      <w:tr>
        <w:trPr>
          <w:trHeight w:val="33"/>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Operating cash flows from finance leases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600" w:type="dxa"/>
            <w:vAlign w:val="bottom"/>
            <w:gridSpan w:val="2"/>
          </w:tcPr>
          <w:p>
            <w:pPr>
              <w:ind w:left="160"/>
              <w:spacing w:after="0"/>
              <w:rPr>
                <w:sz w:val="20"/>
                <w:szCs w:val="20"/>
                <w:color w:val="auto"/>
              </w:rPr>
            </w:pPr>
            <w:r>
              <w:rPr>
                <w:rFonts w:ascii="Arial" w:cs="Arial" w:eastAsia="Arial" w:hAnsi="Arial"/>
                <w:sz w:val="16"/>
                <w:szCs w:val="16"/>
                <w:color w:val="auto"/>
              </w:rPr>
              <w:t>Financing cash flows from finance leases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w:t>
            </w: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Information as Reported Under Previous 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comparative information is reported based upon previous accounting standards in effect for the periods presented.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payments under lease arrangements with a remaining term in excess of one year were as follows as of August 31, 2019:</w:t>
      </w:r>
    </w:p>
    <w:p>
      <w:pPr>
        <w:spacing w:after="0" w:line="201" w:lineRule="exact"/>
        <w:rPr>
          <w:sz w:val="20"/>
          <w:szCs w:val="20"/>
          <w:color w:val="auto"/>
        </w:rPr>
      </w:pPr>
    </w:p>
    <w:tbl>
      <w:tblPr>
        <w:tblLayout w:type="fixed"/>
        <w:tblInd w:w="3080" w:type="dxa"/>
        <w:tblCellMar>
          <w:top w:w="0" w:type="dxa"/>
          <w:left w:w="0" w:type="dxa"/>
          <w:bottom w:w="0" w:type="dxa"/>
          <w:right w:w="0" w:type="dxa"/>
        </w:tblCellMar>
      </w:tblPr>
      <w:tr>
        <w:trPr>
          <w:trHeight w:val="206"/>
        </w:trPr>
        <w:tc>
          <w:tcPr>
            <w:tcW w:w="36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w w:val="94"/>
              </w:rPr>
              <w:t>August 31, 2019</w:t>
            </w: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1,093</w:t>
            </w:r>
          </w:p>
        </w:tc>
      </w:tr>
      <w:tr>
        <w:trPr>
          <w:trHeight w:val="33"/>
        </w:trPr>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3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7,406</w:t>
            </w:r>
          </w:p>
        </w:tc>
      </w:tr>
      <w:tr>
        <w:trPr>
          <w:trHeight w:val="20"/>
        </w:trPr>
        <w:tc>
          <w:tcPr>
            <w:tcW w:w="3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thirteen weeks ended February 23, 2019 rent expense for operating leases were $0.5 million. For the twenty-six weeks ended February 23, 2019 rent expense for operating leases were $1.1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 party to certain litigation and claims that are considered normal to the operations of the business. 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of our business, operating result, financial condition or cash flows.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fifty-three week period ended August 31, 2019, the Company reserved $3.5 million for the potential settlement of class action litigation concerning certain product label claims. During the twenty-six weeks ended February 29, 2020, the Company reserved an additional $0.3 million. The reserve is included within General and administrative in the Consolidated Statements of Operations and Comprehensive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endorsement contracts with certain celebrity figures and social media influencers to promote and endorse the Atkins and Quest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February 29, 2020, the Company will be required to make payments of $3.0 million over the next twelve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9, 2019, we completed an underwritten public offering of 13,379,205 shares of our common stock at a price to the public of $26.35 per share. The Company paid underwriting discounts and commissions of $0.19 per share resulting in net proceeds to us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Acquisition of Atkins, Conyers Park issued 6,700,000 private placement warrants. The Company assumed these private placement warrants in connection with the Acquisition of Atkins. As a result of the Acquisition of Atkins, the warrants issued by Conyers Park were no longer exercisable for shares of Conyers Park common stock, but were instead exercisable for common stock of the Company. All other features of the warrants were unchanged. The private placement warrants to purchase 6,700,000 shares of the Company’s common stock remain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13, 2018, the Company announced that its Board of Directors had adopted a $50.0 million stock repurchase program.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twenty-six weeks ended February 29, 2020, the Company did not repurchase any shares of common stock. As of February 29, 2020, approximately $47.9 million remained available under the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earnings per share is based on the weighted average number of common shares issued and outstanding. In periods in which the Company has net income, diluted earnings per share is based on the weighted average number of common shares issued and outstanding and the effect of all dilutive common stock equivalents outstanding during each period.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periods in which the Company has a net loss, diluted earnings per share is based on the weighted average number of common shares issued and outstanding. The effect of including common stock equivalents outstanding is considered anti-dilutive.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used in the computations of both basic and diluted earnings per share:</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660"/>
              <w:spacing w:after="0"/>
              <w:rPr>
                <w:sz w:val="20"/>
                <w:szCs w:val="20"/>
                <w:color w:val="auto"/>
              </w:rPr>
            </w:pPr>
            <w:r>
              <w:rPr>
                <w:rFonts w:ascii="Arial" w:cs="Arial" w:eastAsia="Arial" w:hAnsi="Arial"/>
                <w:sz w:val="16"/>
                <w:szCs w:val="16"/>
                <w:color w:val="auto"/>
              </w:rPr>
              <w:t>Thirteen Weeks Ended</w:t>
            </w:r>
          </w:p>
        </w:tc>
        <w:tc>
          <w:tcPr>
            <w:tcW w:w="160" w:type="dxa"/>
            <w:vAlign w:val="bottom"/>
          </w:tcPr>
          <w:p>
            <w:pPr>
              <w:spacing w:after="0"/>
              <w:rPr>
                <w:sz w:val="19"/>
                <w:szCs w:val="19"/>
                <w:color w:val="auto"/>
              </w:rPr>
            </w:pPr>
          </w:p>
        </w:tc>
        <w:tc>
          <w:tcPr>
            <w:tcW w:w="2820" w:type="dxa"/>
            <w:vAlign w:val="bottom"/>
            <w:gridSpan w:val="4"/>
          </w:tcPr>
          <w:p>
            <w:pPr>
              <w:jc w:val="right"/>
              <w:ind w:right="559"/>
              <w:spacing w:after="0"/>
              <w:rPr>
                <w:sz w:val="20"/>
                <w:szCs w:val="20"/>
                <w:color w:val="auto"/>
              </w:rPr>
            </w:pPr>
            <w:r>
              <w:rPr>
                <w:rFonts w:ascii="Arial" w:cs="Arial" w:eastAsia="Arial" w:hAnsi="Arial"/>
                <w:sz w:val="16"/>
                <w:szCs w:val="16"/>
                <w:color w:val="auto"/>
              </w:rPr>
              <w:t>Twenty-Six Weeks Ended</w:t>
            </w:r>
          </w:p>
        </w:tc>
      </w:tr>
      <w:tr>
        <w:trPr>
          <w:trHeight w:val="33"/>
        </w:trPr>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396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22"/>
                <w:szCs w:val="22"/>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February 23, 2019</w:t>
            </w:r>
          </w:p>
        </w:tc>
        <w:tc>
          <w:tcPr>
            <w:tcW w:w="16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color w:val="auto"/>
              </w:rPr>
              <w:t>February 29, 2020</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w w:val="91"/>
              </w:rPr>
              <w:t>February 23, 2019</w:t>
            </w: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 computation:</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2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27,979</w:t>
            </w:r>
          </w:p>
        </w:tc>
      </w:tr>
      <w:tr>
        <w:trPr>
          <w:trHeight w:val="237"/>
        </w:trPr>
        <w:tc>
          <w:tcPr>
            <w:tcW w:w="3960" w:type="dxa"/>
            <w:vAlign w:val="bottom"/>
          </w:tcPr>
          <w:p>
            <w:pPr>
              <w:ind w:left="280"/>
              <w:spacing w:after="0"/>
              <w:rPr>
                <w:sz w:val="20"/>
                <w:szCs w:val="20"/>
                <w:color w:val="auto"/>
              </w:rPr>
            </w:pPr>
            <w:r>
              <w:rPr>
                <w:rFonts w:ascii="Arial" w:cs="Arial" w:eastAsia="Arial" w:hAnsi="Arial"/>
                <w:sz w:val="16"/>
                <w:szCs w:val="16"/>
                <w:color w:val="auto"/>
              </w:rPr>
              <w:t>Denominator:</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Weighted average common shares - basic</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95,339,489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81,900,352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92,524,061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79,595,330</w:t>
            </w:r>
          </w:p>
        </w:tc>
      </w:tr>
      <w:tr>
        <w:trPr>
          <w:trHeight w:val="290"/>
        </w:trPr>
        <w:tc>
          <w:tcPr>
            <w:tcW w:w="39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Basic earnings per share from 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r>
      <w:tr>
        <w:trPr>
          <w:trHeight w:val="23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 computation:</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3960" w:type="dxa"/>
            <w:vAlign w:val="bottom"/>
          </w:tcPr>
          <w:p>
            <w:pPr>
              <w:ind w:left="280"/>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27,979</w:t>
            </w:r>
          </w:p>
        </w:tc>
      </w:tr>
      <w:tr>
        <w:trPr>
          <w:trHeight w:val="237"/>
        </w:trPr>
        <w:tc>
          <w:tcPr>
            <w:tcW w:w="3960" w:type="dxa"/>
            <w:vAlign w:val="bottom"/>
          </w:tcPr>
          <w:p>
            <w:pPr>
              <w:ind w:left="280"/>
              <w:spacing w:after="0"/>
              <w:rPr>
                <w:sz w:val="20"/>
                <w:szCs w:val="20"/>
                <w:color w:val="auto"/>
              </w:rPr>
            </w:pPr>
            <w:r>
              <w:rPr>
                <w:rFonts w:ascii="Arial" w:cs="Arial" w:eastAsia="Arial" w:hAnsi="Arial"/>
                <w:sz w:val="16"/>
                <w:szCs w:val="16"/>
                <w:color w:val="auto"/>
              </w:rPr>
              <w:t>Denominator:</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3960" w:type="dxa"/>
            <w:vAlign w:val="bottom"/>
            <w:shd w:val="clear" w:color="auto" w:fill="CCEEFF"/>
          </w:tcPr>
          <w:p>
            <w:pPr>
              <w:ind w:left="720"/>
              <w:spacing w:after="0"/>
              <w:rPr>
                <w:sz w:val="20"/>
                <w:szCs w:val="20"/>
                <w:color w:val="auto"/>
              </w:rPr>
            </w:pPr>
            <w:r>
              <w:rPr>
                <w:rFonts w:ascii="Arial" w:cs="Arial" w:eastAsia="Arial" w:hAnsi="Arial"/>
                <w:sz w:val="16"/>
                <w:szCs w:val="16"/>
                <w:color w:val="auto"/>
                <w:w w:val="93"/>
              </w:rPr>
              <w:t>Weighted average common shares outstanding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3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95,339,489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81,900,352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92,524,061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79,595,330</w:t>
            </w:r>
          </w:p>
        </w:tc>
      </w:tr>
      <w:tr>
        <w:trPr>
          <w:trHeight w:val="237"/>
        </w:trPr>
        <w:tc>
          <w:tcPr>
            <w:tcW w:w="3960" w:type="dxa"/>
            <w:vAlign w:val="bottom"/>
          </w:tcPr>
          <w:p>
            <w:pPr>
              <w:ind w:left="720"/>
              <w:spacing w:after="0"/>
              <w:rPr>
                <w:sz w:val="20"/>
                <w:szCs w:val="20"/>
                <w:color w:val="auto"/>
              </w:rPr>
            </w:pPr>
            <w:r>
              <w:rPr>
                <w:rFonts w:ascii="Arial" w:cs="Arial" w:eastAsia="Arial" w:hAnsi="Arial"/>
                <w:sz w:val="16"/>
                <w:szCs w:val="16"/>
                <w:color w:val="auto"/>
              </w:rPr>
              <w:t>Public and Private Warrants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3,706,986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2,745,135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3,766,141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3,818,870</w:t>
            </w: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Employee stock options</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1,173,631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1,194,968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612,304</w:t>
            </w:r>
          </w:p>
        </w:tc>
      </w:tr>
      <w:tr>
        <w:trPr>
          <w:trHeight w:val="237"/>
        </w:trPr>
        <w:tc>
          <w:tcPr>
            <w:tcW w:w="3960" w:type="dxa"/>
            <w:vAlign w:val="bottom"/>
          </w:tcPr>
          <w:p>
            <w:pPr>
              <w:ind w:left="720"/>
              <w:spacing w:after="0"/>
              <w:rPr>
                <w:sz w:val="20"/>
                <w:szCs w:val="20"/>
                <w:color w:val="auto"/>
              </w:rPr>
            </w:pPr>
            <w:r>
              <w:rPr>
                <w:rFonts w:ascii="Arial" w:cs="Arial" w:eastAsia="Arial" w:hAnsi="Arial"/>
                <w:sz w:val="16"/>
                <w:szCs w:val="16"/>
                <w:color w:val="auto"/>
              </w:rPr>
              <w:t>Non-vested shares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116,465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39,759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112,444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35,975</w:t>
            </w: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Weighted average common shares - diluted</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100,336,571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85,350,196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97,597,614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84,062,479</w:t>
            </w:r>
          </w:p>
        </w:tc>
      </w:tr>
      <w:tr>
        <w:trPr>
          <w:trHeight w:val="250"/>
        </w:trPr>
        <w:tc>
          <w:tcPr>
            <w:tcW w:w="3960" w:type="dxa"/>
            <w:vAlign w:val="bottom"/>
          </w:tcPr>
          <w:p>
            <w:pPr>
              <w:ind w:left="280"/>
              <w:spacing w:after="0"/>
              <w:rPr>
                <w:sz w:val="20"/>
                <w:szCs w:val="20"/>
                <w:color w:val="auto"/>
              </w:rPr>
            </w:pPr>
            <w:r>
              <w:rPr>
                <w:rFonts w:ascii="Arial" w:cs="Arial" w:eastAsia="Arial" w:hAnsi="Arial"/>
                <w:sz w:val="16"/>
                <w:szCs w:val="16"/>
                <w:color w:val="auto"/>
              </w:rPr>
              <w:t>Diluted earnings per share from 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Earnings per share calculations for the thirteen weeks ended February 29, 2020 and February 23, 2019 excluded 0.4 million and 0.4 million shares of stock options issuable upon exercise, respectively, that would have been anti-dilutive. Earnings per share calculations for the thirteen weeks ended February 23, 2019 excluded 0.1 million non-vested shares that would have been anti-dilutive.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Earnings per share calculations for the twenty-six weeks ended February 29, 2020 and February 23, 2019 excluded 0.3 million and 0.3 million shares of stock options issuable upon exercise, respectively, that would have been anti-dilutive. Earnings per share calculations for the twenty-six weeks ended February 23, 2019 excluded 0.1 million non-vested shares that would have been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Omnibus Incentive Plan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Stock-based compensation includes stock options, restricted stock unit,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Arial" w:cs="Arial" w:eastAsia="Arial" w:hAnsi="Arial"/>
          <w:sz w:val="17"/>
          <w:szCs w:val="17"/>
          <w:i w:val="1"/>
          <w:iCs w:val="1"/>
          <w:color w:val="auto"/>
        </w:rPr>
        <w:t>General and administrative</w:t>
      </w:r>
      <w:r>
        <w:rPr>
          <w:rFonts w:ascii="Arial" w:cs="Arial" w:eastAsia="Arial" w:hAnsi="Arial"/>
          <w:sz w:val="17"/>
          <w:szCs w:val="17"/>
          <w:color w:val="auto"/>
        </w:rPr>
        <w:t xml:space="preserve"> expense, which is the same financial statement caption where the recipient’s other compensation is reported.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$2.1 million and $1.4 million of stock-based compensation expense in the thirteen weeks ended February 29, 2020 and February 23, 2019, respectively. The Company recorded $3.8 million and $2.5 million of stock-based compensation expense in the twenty-six weeks ended February 29, 2020 and February 23, 2019,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twenty-six weeks ended February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ind w:right="219"/>
              <w:spacing w:after="0"/>
              <w:rPr>
                <w:sz w:val="20"/>
                <w:szCs w:val="20"/>
                <w:color w:val="auto"/>
              </w:rPr>
            </w:pPr>
            <w:r>
              <w:rPr>
                <w:rFonts w:ascii="Arial" w:cs="Arial" w:eastAsia="Arial" w:hAnsi="Arial"/>
                <w:sz w:val="16"/>
                <w:szCs w:val="16"/>
                <w:color w:val="auto"/>
              </w:rPr>
              <w:t>Weighted average</w:t>
            </w:r>
          </w:p>
        </w:tc>
      </w:tr>
      <w:tr>
        <w:trPr>
          <w:trHeight w:val="203"/>
        </w:trPr>
        <w:tc>
          <w:tcPr>
            <w:tcW w:w="5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Weighted average</w:t>
            </w:r>
          </w:p>
        </w:tc>
        <w:tc>
          <w:tcPr>
            <w:tcW w:w="1740" w:type="dxa"/>
            <w:vAlign w:val="bottom"/>
          </w:tcPr>
          <w:p>
            <w:pPr>
              <w:jc w:val="right"/>
              <w:spacing w:after="0"/>
              <w:rPr>
                <w:sz w:val="20"/>
                <w:szCs w:val="20"/>
                <w:color w:val="auto"/>
              </w:rPr>
            </w:pPr>
            <w:r>
              <w:rPr>
                <w:rFonts w:ascii="Arial" w:cs="Arial" w:eastAsia="Arial" w:hAnsi="Arial"/>
                <w:sz w:val="16"/>
                <w:szCs w:val="16"/>
                <w:color w:val="auto"/>
                <w:w w:val="94"/>
              </w:rPr>
              <w:t>remaining contractual life</w:t>
            </w:r>
          </w:p>
        </w:tc>
      </w:tr>
      <w:tr>
        <w:trPr>
          <w:trHeight w:val="206"/>
        </w:trPr>
        <w:tc>
          <w:tcPr>
            <w:tcW w:w="5180" w:type="dxa"/>
            <w:vAlign w:val="bottom"/>
          </w:tcPr>
          <w:p>
            <w:pPr>
              <w:spacing w:after="0"/>
              <w:rPr>
                <w:sz w:val="17"/>
                <w:szCs w:val="17"/>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exercise price</w:t>
            </w:r>
          </w:p>
        </w:tc>
        <w:tc>
          <w:tcPr>
            <w:tcW w:w="1740" w:type="dxa"/>
            <w:vAlign w:val="bottom"/>
          </w:tcPr>
          <w:p>
            <w:pPr>
              <w:jc w:val="right"/>
              <w:ind w:right="479"/>
              <w:spacing w:after="0"/>
              <w:rPr>
                <w:sz w:val="20"/>
                <w:szCs w:val="20"/>
                <w:color w:val="auto"/>
              </w:rPr>
            </w:pPr>
            <w:r>
              <w:rPr>
                <w:rFonts w:ascii="Arial" w:cs="Arial" w:eastAsia="Arial" w:hAnsi="Arial"/>
                <w:sz w:val="16"/>
                <w:szCs w:val="16"/>
                <w:color w:val="auto"/>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2,748,735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17"/>
        </w:trPr>
        <w:tc>
          <w:tcPr>
            <w:tcW w:w="51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16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February 29,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2,866,383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91"/>
        </w:trPr>
        <w:tc>
          <w:tcPr>
            <w:tcW w:w="51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February 29,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2,866,383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91"/>
        </w:trPr>
        <w:tc>
          <w:tcPr>
            <w:tcW w:w="518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as of February 29, 2020</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1,520,073</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0"/>
        </w:trPr>
        <w:tc>
          <w:tcPr>
            <w:tcW w:w="5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February 29, 2020, the Company had $4.3 million of total unrecognized compensation cost related to stock option plans that will be recognized over a weighted average period of 1.08 years. During the twenty-six week period ended February 29, 2020, the Company received $0.9 million in cash from stock option exercises.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activity for the twenty-six weeks ended February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r>
      <w:tr>
        <w:trPr>
          <w:trHeight w:val="206"/>
        </w:trPr>
        <w:tc>
          <w:tcPr>
            <w:tcW w:w="7020" w:type="dxa"/>
            <w:vAlign w:val="bottom"/>
          </w:tcPr>
          <w:p>
            <w:pPr>
              <w:spacing w:after="0"/>
              <w:rPr>
                <w:sz w:val="17"/>
                <w:szCs w:val="17"/>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w w:val="94"/>
              </w:rPr>
              <w:t>grant-date fair value</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17"/>
        </w:trPr>
        <w:tc>
          <w:tcPr>
            <w:tcW w:w="7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25.49</w:t>
            </w:r>
          </w:p>
        </w:tc>
      </w:tr>
      <w:tr>
        <w:trPr>
          <w:trHeight w:val="33"/>
        </w:trPr>
        <w:tc>
          <w:tcPr>
            <w:tcW w:w="7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r>
      <w:tr>
        <w:trPr>
          <w:trHeight w:val="237"/>
        </w:trPr>
        <w:tc>
          <w:tcPr>
            <w:tcW w:w="7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(2,284)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15.87</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February 29,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171,822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23.49</w:t>
            </w:r>
          </w:p>
        </w:tc>
      </w:tr>
      <w:tr>
        <w:trPr>
          <w:trHeight w:val="20"/>
        </w:trPr>
        <w:tc>
          <w:tcPr>
            <w:tcW w:w="7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29, 2020, the Company had $3.2 million of total unrecognized compensation cost related to restricted stock units that will be recognized over a weighted average period of 1.96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twenty-six weeks ended February 29, 2020, the board of directors granted performance stock units under the Company’s equity compensation plan. Performance stock units vest in a range between 0% and 200% based upon certain performance criteria in a three-year period. Performance stock units were valued using a Monte-Carlo simulation.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performance stock unit activity for the twenty-six weeks ended February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w w:val="89"/>
              </w:rPr>
              <w:t>Weighted average</w:t>
            </w:r>
          </w:p>
        </w:tc>
      </w:tr>
      <w:tr>
        <w:trPr>
          <w:trHeight w:val="206"/>
        </w:trPr>
        <w:tc>
          <w:tcPr>
            <w:tcW w:w="7020" w:type="dxa"/>
            <w:vAlign w:val="bottom"/>
          </w:tcPr>
          <w:p>
            <w:pPr>
              <w:spacing w:after="0"/>
              <w:rPr>
                <w:sz w:val="17"/>
                <w:szCs w:val="17"/>
                <w:color w:val="auto"/>
              </w:rPr>
            </w:pPr>
          </w:p>
        </w:tc>
        <w:tc>
          <w:tcPr>
            <w:tcW w:w="1460" w:type="dxa"/>
            <w:vAlign w:val="bottom"/>
          </w:tcPr>
          <w:p>
            <w:pPr>
              <w:jc w:val="right"/>
              <w:ind w:right="479"/>
              <w:spacing w:after="0"/>
              <w:rPr>
                <w:sz w:val="20"/>
                <w:szCs w:val="20"/>
                <w:color w:val="auto"/>
              </w:rPr>
            </w:pPr>
            <w:r>
              <w:rPr>
                <w:rFonts w:ascii="Arial" w:cs="Arial" w:eastAsia="Arial" w:hAnsi="Arial"/>
                <w:sz w:val="16"/>
                <w:szCs w:val="16"/>
                <w:color w:val="auto"/>
              </w:rPr>
              <w:t>Units</w:t>
            </w:r>
          </w:p>
        </w:tc>
        <w:tc>
          <w:tcPr>
            <w:tcW w:w="1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w w:val="94"/>
              </w:rPr>
              <w:t>grant-date fair value</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August 31, 2019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192,389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r>
      <w:tr>
        <w:trPr>
          <w:trHeight w:val="217"/>
        </w:trPr>
        <w:tc>
          <w:tcPr>
            <w:tcW w:w="7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27.39</w:t>
            </w:r>
          </w:p>
        </w:tc>
      </w:tr>
      <w:tr>
        <w:trPr>
          <w:trHeight w:val="33"/>
        </w:trPr>
        <w:tc>
          <w:tcPr>
            <w:tcW w:w="7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02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60" w:type="dxa"/>
            <w:vAlign w:val="bottom"/>
          </w:tcPr>
          <w:p>
            <w:pPr>
              <w:jc w:val="right"/>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15.74</w:t>
            </w:r>
          </w:p>
        </w:tc>
      </w:tr>
      <w:tr>
        <w:trPr>
          <w:trHeight w:val="33"/>
        </w:trPr>
        <w:tc>
          <w:tcPr>
            <w:tcW w:w="70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as of February 29, 2020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312,234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0"/>
        </w:trPr>
        <w:tc>
          <w:tcPr>
            <w:tcW w:w="70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February 29, 2020, the Company had $4.3 million of total unrecognized compensation cost related to performance stock units that will be recognized over a weighted average period of 2.08 years.</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Appreciation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Stock appreciation rights ("SARs") permit the holder to participate in the appreciation of the Company's Common Stock price. The Company's SARs settle in shares of Common Stock once the applicable vesting criteria has been met. Stock appreciation rights cliff vest 3 years from the date of grant and must be exercised within 10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SARs activity for the twenty-six weeks ended February 29, 2020:</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r>
      <w:tr>
        <w:trPr>
          <w:trHeight w:val="203"/>
        </w:trPr>
        <w:tc>
          <w:tcPr>
            <w:tcW w:w="5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Weighted average</w:t>
            </w:r>
          </w:p>
        </w:tc>
        <w:tc>
          <w:tcPr>
            <w:tcW w:w="1760" w:type="dxa"/>
            <w:vAlign w:val="bottom"/>
          </w:tcPr>
          <w:p>
            <w:pPr>
              <w:jc w:val="center"/>
              <w:spacing w:after="0"/>
              <w:rPr>
                <w:sz w:val="20"/>
                <w:szCs w:val="20"/>
                <w:color w:val="auto"/>
              </w:rPr>
            </w:pPr>
            <w:r>
              <w:rPr>
                <w:rFonts w:ascii="Arial" w:cs="Arial" w:eastAsia="Arial" w:hAnsi="Arial"/>
                <w:sz w:val="16"/>
                <w:szCs w:val="16"/>
                <w:color w:val="auto"/>
                <w:w w:val="94"/>
              </w:rPr>
              <w:t>remaining contractual life</w:t>
            </w:r>
          </w:p>
        </w:tc>
      </w:tr>
      <w:tr>
        <w:trPr>
          <w:trHeight w:val="206"/>
        </w:trPr>
        <w:tc>
          <w:tcPr>
            <w:tcW w:w="5180" w:type="dxa"/>
            <w:vAlign w:val="bottom"/>
          </w:tcPr>
          <w:p>
            <w:pPr>
              <w:spacing w:after="0"/>
              <w:rPr>
                <w:sz w:val="17"/>
                <w:szCs w:val="17"/>
                <w:color w:val="auto"/>
              </w:rPr>
            </w:pP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exercise price</w:t>
            </w:r>
          </w:p>
        </w:tc>
        <w:tc>
          <w:tcPr>
            <w:tcW w:w="1760" w:type="dxa"/>
            <w:vAlign w:val="bottom"/>
          </w:tcPr>
          <w:p>
            <w:pPr>
              <w:jc w:val="center"/>
              <w:spacing w:after="0"/>
              <w:rPr>
                <w:sz w:val="20"/>
                <w:szCs w:val="20"/>
                <w:color w:val="auto"/>
              </w:rPr>
            </w:pPr>
            <w:r>
              <w:rPr>
                <w:rFonts w:ascii="Arial" w:cs="Arial" w:eastAsia="Arial" w:hAnsi="Arial"/>
                <w:sz w:val="16"/>
                <w:szCs w:val="16"/>
                <w:color w:val="auto"/>
                <w:w w:val="92"/>
              </w:rPr>
              <w:t>(in years)</w:t>
            </w:r>
          </w:p>
        </w:tc>
      </w:tr>
      <w:tr>
        <w:trPr>
          <w:trHeight w:val="33"/>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3"/>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August 31, 2019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spacing w:after="0"/>
              <w:rPr>
                <w:sz w:val="22"/>
                <w:szCs w:val="22"/>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20"/>
                <w:szCs w:val="20"/>
                <w:color w:val="auto"/>
              </w:rPr>
            </w:pPr>
          </w:p>
        </w:tc>
      </w:tr>
      <w:tr>
        <w:trPr>
          <w:trHeight w:val="33"/>
        </w:trPr>
        <w:tc>
          <w:tcPr>
            <w:tcW w:w="51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February 29,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318"/>
        </w:trPr>
        <w:tc>
          <w:tcPr>
            <w:tcW w:w="518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February 29, 2020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r>
      <w:tr>
        <w:trPr>
          <w:trHeight w:val="324"/>
        </w:trPr>
        <w:tc>
          <w:tcPr>
            <w:tcW w:w="5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7"/>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Exercisable as of February 29, 2020</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r>
      <w:tr>
        <w:trPr>
          <w:trHeight w:val="33"/>
        </w:trPr>
        <w:tc>
          <w:tcPr>
            <w:tcW w:w="5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February 29, 2020, the Company had $0.4 million of total unrecognized compensation cost related to its SARs that will be recognized over a weighted average period of 2.67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and Customer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jc w:val="both"/>
        <w:ind w:firstLine="8"/>
        <w:spacing w:after="0" w:line="253"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nature of the products; (b) the nature of the production processes; (c) the methods used to distribute products to customers, (d) the type of customer for the products, and (e) the nature of the regulatory environment. The results of the operating segments are reviewed by the Company’s chief operating decision maker, our Chief Executive Officer, to make decisions about resource expenditures and assessing financial performance. These operating segments are therefore aggregated into the Company’s only reportable segment.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our fiscal second quarter 2020 ended on February 29, 2020, many of the initial economic effects of the early stages of the COVID-19 outbreak in the United States and the federal, state and local government-imposed movement restrictions designed to slow the pace of the outbreak occurred after the close of the quarter. In recent weeks, we have engaged actively with the various elements of our value chain, including our customers, contract manufactures, and logistics and transportation providers to meet demands for our products and to remain informed of any challenges within our value chain. Based on information available to us as of the date of this report, we believe we will be able to deliver our products to meet customer orders on a timely basis, and therefore we expect our products will continue to be available to meet consumer needs. We continue to monitor customer and consumer demands, and intend to adapt our plans as needed to continue to drive our business and meet our obligations during the COVID-19 situation.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implemented remote work arrangements and restricted business travel effective mid-March, and to date, these arrangements have not materially affected our ability to maintain our business operations, including the operation of financial reporting systems, internal control over financial reporting, and disclosure controls and procedures.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2020, the Company drew $25.0 million against the Revolving Credit Facility to build up inventory and as a precautionary measure to ensure it maintains ample financial flexibility in light of the spread of COVID-19. The Company intends to use the proceeds of the Revolving Credit Facility to meet near-term elevated customer orders in response to COVID-19 as well as to increase finished goods inventory of some of its high velocity items, support working capital and support general corporate purposes. The Company may repay borrowings under the Revolving Credit Facility at any time without penalty.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the effect of the novel coronavirus (COVID-19) on our business, financial condition and results of operations. We disclaim any undertaking to publicly update or revise any forward-looking statements contained herein to reflect any change in our expectations with regard thereto or any change in events, conditions or circumstances on which any such statement is based. These statements reflect our current views with respect to future events and are based on assumptions subject to risks and uncertainties. Such risks and uncertainties include those related to our ability to sell our products.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31, 2019 (“Annual Report”) and our unaudited condensed consolidated financial statements and the related notes appearing elsewhere in this Report. In addition to historical information, the following discussion contains forward-looking statements, such as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this Report below and in Item 1A. “Risk Factors” of our Annual Report. The Company assumes no obligation to update any of these forward-looking statements.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Unless the context requires otherwise in this Report, the terms “we,” “us,” “our,” the “Company” and “Simply Good Foods” refer to The Simply Good Foods Company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Simply Good Foods Company is a consumer packaged food and beverage company that aims to lead the nutritious snacking movement with trusted brands that offer a variety of convenient, innovative, great-tasting, better-for-you snacks and meal replacements. The Company’s nutritious snacking platform consists of brands that specialize in providing products for consumers that follow certain nutritional philosophies, dietary approaches and/or health-and-wellness trends: Atkins® for those following a low-carb lifestyle; Quest® for consumers seeking to partner with a brand that makes the foods they crave work for them, not against them, through a variety of protein-rich foods and beverages that also limit sugars and simple carbs; and SimplyProtein® for consumers looking for protein-enhanced snacks made with fewer, simple ingredients.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 Our platform also positions us to continue to selectively pursue acquisition opportunities of brands in the nutritious snacking.</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that end, in November 2019, we completed the acquisition of Quest Nutrition, LLC (“Quest”), a healthy lifestyle food company, for a cash purchase price of approximately $1.0 billion (subject to customary adjustments) (the “Acquisition of Quest”). For more information, please see “Liquidity and Capital Resources-Acquisition of Quest.”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Observations on the Effects of COVID-19</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2019, a novel coronavirus disease (“COVID-19”) was reported and in January 2020, the World Health Organization (“WHO”) declared it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our fiscal second quarter 2020 ended on February 29, 2020, many of the initial economic effects of the early stages of the COVID-19 outbreak in the United States and the federal, state and local government-imposed movement restrictions designed to slow the pace of the outbreak occurred after the close of the quarter. Retail takeaway for our products during the first half of March 2020 increased significantly in connection with a surge in consumer demand for shelf stable food products. However, retail takeaway for our products slowed noticeably in the second half of March, underscoring the unpredictable nature of current consumer purchasing behavior we believe is a result of the current COVID-19 movement restrictions. In contrast to the volatile consumer purchasing patters at retail, ecommerce sales have been strong overall. We believe the severity and duration of the COVID-19 pandemic is uncertain and such uncertainty will likely continue during the second half of our fiscal year. We also believe there will likely continue to be volatility in third party reported retail takeaway data for our products due to the ongoing COVID-19 outbreak.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648"/>
        <w:spacing w:after="0" w:line="272" w:lineRule="auto"/>
        <w:rPr>
          <w:sz w:val="20"/>
          <w:szCs w:val="20"/>
          <w:color w:val="auto"/>
        </w:rPr>
      </w:pPr>
      <w:r>
        <w:rPr>
          <w:rFonts w:ascii="Arial" w:cs="Arial" w:eastAsia="Arial" w:hAnsi="Arial"/>
          <w:sz w:val="17"/>
          <w:szCs w:val="17"/>
          <w:color w:val="auto"/>
        </w:rPr>
        <w:t>In recent weeks, we have engaged actively with the various elements of our value chain, including our customers, contract manufacturers, and logistics and transportation providers, to meet demand for our products and to remain informed of any challenges within our value chain. Given the unpredictable nature of the COVID-19 pandemic, during March 2020 we began to increase finished goods inventory of some of our high velocity products. Based on information available to us as of the date of this report, we believe we will be able to deliver our products to meet customer orders on a timely basis, and therefore, we expect our products will continue to be available for purchase to meet consumer meal replacement and snacking needs for the foreseeable future. We continue to monitor customer and consumer demand, and intend to adapt our plans as needed to continue to drive our business and meet our obligations during the evolving COVID-19 situation.</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conjunction with our decision to increase finished goods inventory of some of our high velocity products, as well as for other working capital and general corporate purposes, we drew down $25 million on our revolving credit facility which had $75 million of availability. With our cash and cash equivalents as of March 28, 2020 of approximately $78.7 million, which includes the proceeds from the $25.0 million revolving credit facility draw, and expected cash flow from operations, we believe our sources of liquidity and capital will be sufficient to finance our continued operations, growth strategy and additional expenses we expect to incur for at least the next twelve months.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implemented remote work arrangements and restricted business travel in mid-March, and to date, these arrangements have not materially affected our ability to maintain our business operations, including the operation of financial reporting systems, internal control over financial reporting, and disclosure controls and procedures.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Our current preliminary observations on the effects of COVID-19 assumes there is not a material change to customer operations, consumer purchasing behavior, or unexpected changes to our supply chain over the remainder of the year due to the COVID-19 situation. See the important information in Item 1A. Risk Factors below, under the caption </w:t>
      </w:r>
      <w:r>
        <w:rPr>
          <w:rFonts w:ascii="Arial" w:cs="Arial" w:eastAsia="Arial" w:hAnsi="Arial"/>
          <w:sz w:val="18"/>
          <w:szCs w:val="18"/>
          <w:i w:val="1"/>
          <w:iCs w:val="1"/>
          <w:color w:val="auto"/>
        </w:rPr>
        <w:t>Pandemics, epidemics or disease outbreaks, such as the novel coronavirus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may disrupt our business, including, among other things, consumption and trade patterns, our supply chain and production processes, each of which could materially affect our operations, liquidity, financial condition and results of operations</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Reportable Segment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Acquisition of Quest, the Company's operations are organized into two operating segments; Atkins and Quest, which are aggregated into one reporting segment, due to similar financial, economic and operating characteristics. The operating segments are also similar in the following areas:</w:t>
      </w:r>
    </w:p>
    <w:p>
      <w:pPr>
        <w:jc w:val="both"/>
        <w:ind w:firstLine="8"/>
        <w:spacing w:after="0" w:line="253"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the products; (b) the nature of the production processes; (c) the methods used to distribute products to customers, (d) the type of customer for the products, and (e) the nature of the regulatory environment. The results of the operating segments are reviewed by the Company’s chief operating decision maker, our Chief Executive Officer, to make decisions about resource expenditures and assessing financial performance. These operating segments are therefore aggregated into the Company’s only reportable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consists primarily of product sales less the cost of promotional activities, slotting fees and other sales credits and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product returns. We also include licensing revenue from the frozen meals business in net sales.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consists primarily of the costs we pay to our contract manufacturing partners to produce the products sold.</w:t>
      </w:r>
      <w:r>
        <w:rPr>
          <w:rFonts w:ascii="Arial" w:cs="Arial" w:eastAsia="Arial" w:hAnsi="Arial"/>
          <w:sz w:val="18"/>
          <w:szCs w:val="18"/>
          <w:b w:val="1"/>
          <w:bCs w:val="1"/>
          <w:color w:val="auto"/>
        </w:rPr>
        <w:t xml:space="preserve"> </w:t>
      </w:r>
      <w:r>
        <w:rPr>
          <w:rFonts w:ascii="Arial" w:cs="Arial" w:eastAsia="Arial" w:hAnsi="Arial"/>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consist primarily of selling and marketing, general and administrative, 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business transaction costs. The following is a brief description of the components of operating expenses:</w:t>
      </w:r>
    </w:p>
    <w:p>
      <w:pPr>
        <w:spacing w:after="0" w:line="166"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are comprised of broker commissions, customer marketing, media and other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are comprised of expenses associated with corporate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functions that support our business, including fees for employee salaries, professional services, insurance and other general corporate expenses.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costs consist of costs associated with the depreciation of fixed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leasehold improvements and amortization of intangible assets.</w:t>
      </w:r>
    </w:p>
    <w:p>
      <w:pPr>
        <w:spacing w:after="0" w:line="170" w:lineRule="exact"/>
        <w:rPr>
          <w:rFonts w:ascii="Arial" w:cs="Arial" w:eastAsia="Arial" w:hAnsi="Arial"/>
          <w:sz w:val="18"/>
          <w:szCs w:val="18"/>
          <w:i w:val="1"/>
          <w:iCs w:val="1"/>
          <w:color w:val="auto"/>
        </w:rPr>
      </w:pPr>
    </w:p>
    <w:p>
      <w:pPr>
        <w:ind w:left="660" w:right="20" w:hanging="328"/>
        <w:spacing w:after="0" w:line="308"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transaction costs. </w:t>
      </w:r>
      <w:r>
        <w:rPr>
          <w:rFonts w:ascii="Arial" w:cs="Arial" w:eastAsia="Arial" w:hAnsi="Arial"/>
          <w:sz w:val="17"/>
          <w:szCs w:val="17"/>
          <w:color w:val="auto"/>
        </w:rPr>
        <w:t>Business transaction costs are comprised of legal, due diligence, consulting and accounting firm expenses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process of actively pursuing potential and completed business combinations, including the Acquisition of Quest.</w:t>
      </w:r>
    </w:p>
    <w:p>
      <w:pPr>
        <w:spacing w:after="0" w:line="146"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Loss in fair value change of contingent consideration - TRA liability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 to fair value adjustments of the Income Tax Receivable Agreement (the “TRA”)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Simply Good Foods second quarter results exceeded our expectations with strong performance from both the legacy Atkins and Quest brands. Atkins net sales increased 12.1% driven by point of sales growth in measured and non-measured channels and a slight seasonal inventory build. Combined with good cost controls, legacy Atkins margins and profit were up nicely. As expected, Quest net sales growth was strong, up double digits on a percentage basis versus the comparable year ago period resulting in margin improvement.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Atkins® brand retail takeaway performance for the thirteen weeks ended February 29, 2020 increased 6.1% in the U.S. measured channels despite a very difficult comparison in the same period a year ago. Additionally, our non-measured e-commerce business momentum</w:t>
      </w:r>
    </w:p>
    <w:p>
      <w:pPr>
        <w:sectPr>
          <w:pgSz w:w="11900" w:h="16838" w:orient="portrait"/>
          <w:cols w:equalWidth="0" w:num="1">
            <w:col w:w="11240"/>
          </w:cols>
          <w:pgMar w:left="320" w:top="341" w:right="339" w:bottom="412"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341" w:right="339" w:bottom="412" w:gutter="0" w:footer="0" w:header="0"/>
          <w:type w:val="continuous"/>
        </w:sectPr>
      </w:pPr>
    </w:p>
    <w:bookmarkStart w:id="26" w:name="page27"/>
    <w:bookmarkEnd w:id="26"/>
    <w:p>
      <w:pPr>
        <w:jc w:val="both"/>
        <w:spacing w:after="0" w:line="263" w:lineRule="auto"/>
        <w:rPr>
          <w:sz w:val="20"/>
          <w:szCs w:val="20"/>
          <w:color w:val="auto"/>
        </w:rPr>
      </w:pPr>
      <w:r>
        <w:rPr>
          <w:rFonts w:ascii="Arial" w:cs="Arial" w:eastAsia="Arial" w:hAnsi="Arial"/>
          <w:sz w:val="18"/>
          <w:szCs w:val="18"/>
          <w:color w:val="auto"/>
        </w:rPr>
        <w:t>continued and contributed to our second quarter net sales growth. Quest® brand retail takeaway in measured channels continued to be strong and increased 27.1% in the quarter. As a result total Simply Good Foods retail takeaway in U.S. measured channels increased 11.8%, outpacing nutritional snacking category growth.</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Overall, the first half of fiscal 2020 performance exceeded our expectations with no material impact from COVID-19. Also, the Quest integration is on track as well as our timeline to achieve the identified $20 million in synergies.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the performance of our business, we consider a number of key performance indicators used by management and typically used by our competitors, including the non-GAAP measures of Adjusted EBITDA and Adjusted Diluted Earnings Per Share. Because not all companies use identical calculations, this presentation of Adjusted EBITDA and Adjusted Diluted Earnings Per Share may not be comparable to other similarly titled measures of other companies. See “Reconciliation of Adjusted EBITDA” below for a reconciliation of Adjusted EBITDA to net income for each applicable period. See “Reconciliation of Adjusted Diluted Earnings Per Share” below for a reconciliation of Adjusted Diluted Earnings Per Share to diluted earnings per share for each applicable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Unaudited Results for the Thirteen Weeks Ended February 29, 2020 and the Thirteen Weeks Ended February 23, 2019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unaudited table presents, for the periods indicated, selected information from our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including information presented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91440</wp:posOffset>
            </wp:positionV>
            <wp:extent cx="30861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Thirteen Weeks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Thirteen Weeks</w:t>
            </w:r>
          </w:p>
        </w:tc>
        <w:tc>
          <w:tcPr>
            <w:tcW w:w="840" w:type="dxa"/>
            <w:vAlign w:val="bottom"/>
          </w:tcPr>
          <w:p>
            <w:pPr>
              <w:spacing w:after="0"/>
              <w:rPr>
                <w:sz w:val="17"/>
                <w:szCs w:val="17"/>
                <w:color w:val="auto"/>
              </w:rPr>
            </w:pPr>
          </w:p>
        </w:tc>
      </w:tr>
      <w:tr>
        <w:trPr>
          <w:trHeight w:val="20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Ended</w:t>
            </w:r>
          </w:p>
        </w:tc>
        <w:tc>
          <w:tcPr>
            <w:tcW w:w="840" w:type="dxa"/>
            <w:vAlign w:val="bottom"/>
          </w:tcPr>
          <w:p>
            <w:pPr>
              <w:spacing w:after="0"/>
              <w:rPr>
                <w:sz w:val="17"/>
                <w:szCs w:val="17"/>
                <w:color w:val="auto"/>
              </w:rPr>
            </w:pPr>
          </w:p>
        </w:tc>
      </w:tr>
      <w:tr>
        <w:trPr>
          <w:trHeight w:val="297"/>
        </w:trPr>
        <w:tc>
          <w:tcPr>
            <w:tcW w:w="49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February 29, 2020</w:t>
            </w: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 of Sales</w:t>
            </w: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February 23, 2019</w:t>
            </w:r>
          </w:p>
        </w:tc>
        <w:tc>
          <w:tcPr>
            <w:tcW w:w="840" w:type="dxa"/>
            <w:vAlign w:val="bottom"/>
          </w:tcPr>
          <w:p>
            <w:pPr>
              <w:jc w:val="right"/>
              <w:spacing w:after="0"/>
              <w:rPr>
                <w:sz w:val="20"/>
                <w:szCs w:val="20"/>
                <w:color w:val="auto"/>
              </w:rPr>
            </w:pPr>
            <w:r>
              <w:rPr>
                <w:rFonts w:ascii="Arial" w:cs="Arial" w:eastAsia="Arial" w:hAnsi="Arial"/>
                <w:sz w:val="16"/>
                <w:szCs w:val="16"/>
                <w:color w:val="auto"/>
                <w:w w:val="96"/>
              </w:rPr>
              <w:t>% of Sales</w:t>
            </w:r>
          </w:p>
        </w:tc>
      </w:tr>
      <w:tr>
        <w:trPr>
          <w:trHeight w:val="236"/>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123,800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141,707</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74,145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59.9 %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85,394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49,655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40.1 %</w:t>
            </w:r>
          </w:p>
        </w:tc>
      </w:tr>
      <w:tr>
        <w:trPr>
          <w:trHeight w:val="297"/>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27,041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14,729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28,103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4,287</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Business transaction costs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7"/>
        </w:trPr>
        <w:tc>
          <w:tcPr>
            <w:tcW w:w="4980" w:type="dxa"/>
            <w:vAlign w:val="bottom"/>
          </w:tcPr>
          <w:p>
            <w:pPr>
              <w:ind w:left="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60,125</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30,653</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4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25,269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19,002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7"/>
        </w:trPr>
        <w:tc>
          <w:tcPr>
            <w:tcW w:w="4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(10,589)</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(loss) on foreign currency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97"/>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16,749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3,922</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4,027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financial data:</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6"/>
        </w:trPr>
        <w:tc>
          <w:tcPr>
            <w:tcW w:w="4980" w:type="dxa"/>
            <w:vAlign w:val="bottom"/>
          </w:tcPr>
          <w:p>
            <w:pPr>
              <w:ind w:left="28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41,731</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18.4 %</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22,965</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18.6 %</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firstLine="8"/>
        <w:spacing w:after="0" w:line="275" w:lineRule="auto"/>
        <w:tabs>
          <w:tab w:leader="none" w:pos="2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is a non-GAAP financial metric. See “Reconciliation of Adjusted EBITDA” below for a reconciliation of Adjusted EBITDA to net income for each applicable period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$227.1 million represented an increase of $103.3 million, or 83.4%, for the thirteen weeks ended February 29,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thirteen weeks ended February 23, 2019. The net sales increase of 83.4% was driven by the acquired Quest business, which drove 71.3% of the increase, and legacy Atkins brand organic growth of 12.1%, primarily due to solid retail takeaway. The increase in net sales was slightly offset by higher trade promotions.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goods sold increased $67.6 million, or 91.1%, for the thirteen weeks ended February 29, 2020 compared to the thirteen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weeks ended February 23, 2019. The cost of goods sold increase was driven by sales volume growth, the slightly lower gross profit margins of the Quest business, and the effect of the non-cash $5.1 million inventory step-up related to the Acquisition of Quest.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$35.7 million, or 72.0%, for the thirteen weeks ended February 29, 2020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February 23, 2019. Gross profit of $85.4 million, or 37.6% of net sales, for the thirteen weeks ended February 29, 2020 decreased 250 basis points from 40.1% of net sales for the thirteen weeks ended February 23, 2019. The decrease in gross margin was primarily the result of the non-cash $5.1 million inventory step-up and slightly lower gross profit margins of the Quest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$29.5 million, or 96.1%, for the thirteen weeks ended February 29, 2020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thirteen weeks ended February 23, 2019 due to the following:</w:t>
      </w:r>
    </w:p>
    <w:p>
      <w:pPr>
        <w:spacing w:after="0" w:line="197" w:lineRule="exact"/>
        <w:rPr>
          <w:sz w:val="20"/>
          <w:szCs w:val="20"/>
          <w:color w:val="auto"/>
        </w:rPr>
      </w:pPr>
    </w:p>
    <w:p>
      <w:pPr>
        <w:jc w:val="both"/>
        <w:ind w:left="1300" w:hanging="239"/>
        <w:spacing w:after="0" w:line="279" w:lineRule="auto"/>
        <w:tabs>
          <w:tab w:leader="none" w:pos="1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$12.3 million, or 83.6%, for the thirteen weeks ended February 29,</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thirteen weeks ended February 23, 2019. The increase was primarily related to the Acquisition of Quest of $8.9 million, and an increase in television media and marketing investments of $2.3 million.</w:t>
      </w:r>
    </w:p>
    <w:p>
      <w:pPr>
        <w:spacing w:after="0" w:line="19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$14.4 million, or 104.7%,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2020 compared to the thirteen weeks ended February 23, 2019. The increase was due to the Acquisition of Quest of $10.3 million, Quest integration related costs of $3.7 million and stock based compensation of $0.7 million.</w:t>
      </w:r>
    </w:p>
    <w:p>
      <w:pPr>
        <w:spacing w:after="0" w:line="19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$2.4 million, or 125.4%, for the thirteen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2020 compared to the thirteen weeks ended February 23, 2019. The increase was primarily due to amortization for the intangible assets recognized in the Acquisition of Quest of $2.1 million.</w:t>
      </w:r>
    </w:p>
    <w:p>
      <w:pPr>
        <w:spacing w:after="0" w:line="196" w:lineRule="exact"/>
        <w:rPr>
          <w:rFonts w:ascii="Arial" w:cs="Arial" w:eastAsia="Arial" w:hAnsi="Arial"/>
          <w:sz w:val="18"/>
          <w:szCs w:val="18"/>
          <w:color w:val="auto"/>
        </w:rPr>
      </w:pPr>
    </w:p>
    <w:p>
      <w:pPr>
        <w:jc w:val="both"/>
        <w:ind w:left="1300" w:hanging="239"/>
        <w:spacing w:after="0" w:line="279"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increased $0.4 million for the thirteen weeks ended February 29,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February 23, 2019. The $0.7 million recorded in the thirteen weeks ended February 29, 2020 was comprised of expenses related to the Acquisition of Quest.</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$0.8 million for the thirteen weeks ended February 29, 2020 compared to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23, 2019, due to lower cash balances after the Acquisition of Quest.</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Interest expense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expense increased $7.2 million for the thirteen weeks ended February 29, 2020 compared to the thirteen weeks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23, 2019, due to the higher term loan principal amount of $435.5 million for amounts borrowed to partially finance the Acquisition of Quest.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loss of $0.2 million in foreign currency transactions was recorded for the thirteen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29, 2020 compared to a foreign currency gain of $0.1 million for the thirteen weeks ended February 23, 2019. The change related to changes in foreign currency rates related to international operations.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$0.1 million, for the thirteen weeks ended February 29, 2020 compared to the thirteen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February 23, 2019. The decrease in our income tax expense is primarily driven by lower pre-tax book income, offset by non-deductible transaction costs, and other permanent differences.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Adjusted EBITDA increased $18.8 million, or 81.7%, for the thirteen weeks ended February 29, 2020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thirteen weeks ended February 23, 2019. The increase was primarily due to higher gross profit from the organic growth of the Atkins brand and the Acquisition of Quest, partially offset by higher operating expenses adjusted for business transaction costs and integration costs. For a reconciliation of Adjusted EBITDA to its most directly comparable GAAP measure, see “Reconciliation of Adjusted EBITDA”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Comparison of Unaudited Results for the Twenty-Six Weeks Ended February 29, 2020 and the Twenty-Six Weeks Ended February 23, 2019</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unaudited table presents, for the periods indicated, selected information from our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Comprehensive Income, including information presented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91440</wp:posOffset>
            </wp:positionV>
            <wp:extent cx="30861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55" w:lineRule="exact"/>
        <w:rPr>
          <w:sz w:val="20"/>
          <w:szCs w:val="20"/>
          <w:color w:val="auto"/>
        </w:rPr>
      </w:pPr>
    </w:p>
    <w:tbl>
      <w:tblPr>
        <w:tblLayout w:type="fixed"/>
        <w:tblInd w:w="70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Twenty-Six Weeks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Twenty-Six Weeks</w:t>
            </w:r>
          </w:p>
        </w:tc>
        <w:tc>
          <w:tcPr>
            <w:tcW w:w="840" w:type="dxa"/>
            <w:vAlign w:val="bottom"/>
          </w:tcPr>
          <w:p>
            <w:pPr>
              <w:spacing w:after="0"/>
              <w:rPr>
                <w:sz w:val="17"/>
                <w:szCs w:val="17"/>
                <w:color w:val="auto"/>
              </w:rPr>
            </w:pPr>
          </w:p>
        </w:tc>
      </w:tr>
      <w:tr>
        <w:trPr>
          <w:trHeight w:val="206"/>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Ended</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86"/>
              </w:rPr>
              <w:t>Ended</w:t>
            </w:r>
          </w:p>
        </w:tc>
        <w:tc>
          <w:tcPr>
            <w:tcW w:w="840" w:type="dxa"/>
            <w:vAlign w:val="bottom"/>
          </w:tcPr>
          <w:p>
            <w:pPr>
              <w:spacing w:after="0"/>
              <w:rPr>
                <w:sz w:val="17"/>
                <w:szCs w:val="17"/>
                <w:color w:val="auto"/>
              </w:rPr>
            </w:pPr>
          </w:p>
        </w:tc>
      </w:tr>
      <w:tr>
        <w:trPr>
          <w:trHeight w:val="297"/>
        </w:trPr>
        <w:tc>
          <w:tcPr>
            <w:tcW w:w="49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February 29, 2020</w:t>
            </w:r>
          </w:p>
        </w:tc>
        <w:tc>
          <w:tcPr>
            <w:tcW w:w="940" w:type="dxa"/>
            <w:vAlign w:val="bottom"/>
            <w:gridSpan w:val="2"/>
          </w:tcPr>
          <w:p>
            <w:pPr>
              <w:ind w:left="60"/>
              <w:spacing w:after="0"/>
              <w:rPr>
                <w:sz w:val="20"/>
                <w:szCs w:val="20"/>
                <w:color w:val="auto"/>
              </w:rPr>
            </w:pPr>
            <w:r>
              <w:rPr>
                <w:rFonts w:ascii="Arial" w:cs="Arial" w:eastAsia="Arial" w:hAnsi="Arial"/>
                <w:sz w:val="16"/>
                <w:szCs w:val="16"/>
                <w:color w:val="auto"/>
              </w:rPr>
              <w:t>% of Sales</w:t>
            </w: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February 23, 2019</w:t>
            </w:r>
          </w:p>
        </w:tc>
        <w:tc>
          <w:tcPr>
            <w:tcW w:w="840" w:type="dxa"/>
            <w:vAlign w:val="bottom"/>
          </w:tcPr>
          <w:p>
            <w:pPr>
              <w:jc w:val="right"/>
              <w:spacing w:after="0"/>
              <w:rPr>
                <w:sz w:val="20"/>
                <w:szCs w:val="20"/>
                <w:color w:val="auto"/>
              </w:rPr>
            </w:pPr>
            <w:r>
              <w:rPr>
                <w:rFonts w:ascii="Arial" w:cs="Arial" w:eastAsia="Arial" w:hAnsi="Arial"/>
                <w:sz w:val="16"/>
                <w:szCs w:val="16"/>
                <w:color w:val="auto"/>
                <w:w w:val="96"/>
              </w:rPr>
              <w:t>% of Sales</w:t>
            </w:r>
          </w:p>
        </w:tc>
      </w:tr>
      <w:tr>
        <w:trPr>
          <w:trHeight w:val="236"/>
        </w:trPr>
        <w:tc>
          <w:tcPr>
            <w:tcW w:w="4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379,254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231,654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61.1 %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143,156</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58.5 %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147,600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101,575</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41.5 %</w:t>
            </w:r>
          </w:p>
        </w:tc>
      </w:tr>
      <w:tr>
        <w:trPr>
          <w:trHeight w:val="297"/>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45,475</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30,048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46,248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25,730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6,740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Business transaction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26,853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w w:val="99"/>
              </w:rPr>
              <w:t>Loss in fair value change of contingent consideration - TRA liability</w:t>
            </w: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125,316</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61,391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25.1 %</w:t>
            </w:r>
          </w:p>
        </w:tc>
      </w:tr>
      <w:tr>
        <w:trPr>
          <w:trHeight w:val="297"/>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40,184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16.4 %</w:t>
            </w:r>
          </w:p>
        </w:tc>
      </w:tr>
      <w:tr>
        <w:trPr>
          <w:trHeight w:val="297"/>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1,464</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Gain on settlement of TRA liability</w:t>
            </w:r>
          </w:p>
        </w:tc>
        <w:tc>
          <w:tcPr>
            <w:tcW w:w="1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1,534</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3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foreign currency transactions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Other income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expense</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(14,227)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97"/>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36,631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37"/>
        </w:trPr>
        <w:tc>
          <w:tcPr>
            <w:tcW w:w="4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2,193</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8,652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33"/>
        </w:trPr>
        <w:tc>
          <w:tcPr>
            <w:tcW w:w="4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27,979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financial data:</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57"/>
        </w:trPr>
        <w:tc>
          <w:tcPr>
            <w:tcW w:w="4980" w:type="dxa"/>
            <w:vAlign w:val="bottom"/>
          </w:tcPr>
          <w:p>
            <w:pPr>
              <w:ind w:left="280"/>
              <w:spacing w:after="0"/>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73,526</w:t>
            </w:r>
          </w:p>
        </w:tc>
        <w:tc>
          <w:tcPr>
            <w:tcW w:w="12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49,663</w:t>
            </w: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20.3 %</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firstLine="8"/>
        <w:spacing w:after="0" w:line="275" w:lineRule="auto"/>
        <w:tabs>
          <w:tab w:leader="none" w:pos="2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is a non-GAAP financial metric. See “Reconciliation of Adjusted EBITDA” below for a reconciliation of Adjusted EBITDA to net income for each applicable period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of $379.3 million represented an increase of $134.5 million, or 55.0%, for the twenty-six weeks ended February 29,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twenty-six weeks ended February 23, 2019. The net sales increase of 55.0% was driven by the acquired Quest business, which drove 43.1% of the increase, and legacy Atkins brand organic growth of 11.9%, primarily due to solid U.S. retail takeaway. The increase in net sales was slightly offset by higher trade promotions.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goods sold increased $88.5 million, or 61.8%, for the twenty-six weeks ended February 29, 2020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twenty-six weeks ended February 23, 2019. The cost of goods sold increase was driven by sales volume growth, the slightly lower gross profit margins of the Quest business, and the effect of the non-cash $7.5 million inventory step-up related to the Acquisition of Quest.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$46.0 million, or 45.3%, for the twenty-six weeks ended February 29, 2020 compared to the twenty-six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February 23, 2019. Gross profit of $147.6 million, or 38.9% of net sales, for the twenty-six weeks ended February 29, 2020 decreased 260 basis points from 41.5% of net sales for the twenty-six weeks ended February 23, 2019. The decrease in gross margin was primarily the result of the non-cash $7.5 million inventory step-up and slightly lower gross profit margins of the Quest business.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341" w:right="339" w:bottom="1440" w:gutter="0" w:footer="0" w:header="0"/>
          <w:type w:val="continuous"/>
        </w:sectPr>
      </w:pPr>
    </w:p>
    <w:bookmarkStart w:id="30" w:name="page31"/>
    <w:bookmarkEnd w:id="30"/>
    <w:p>
      <w:pPr>
        <w:ind w:firstLine="648"/>
        <w:spacing w:after="0" w:line="277" w:lineRule="auto"/>
        <w:rPr>
          <w:sz w:val="20"/>
          <w:szCs w:val="20"/>
          <w:color w:val="auto"/>
        </w:rPr>
      </w:pPr>
      <w:r>
        <w:rPr>
          <w:rFonts w:ascii="Arial" w:cs="Arial" w:eastAsia="Arial" w:hAnsi="Arial"/>
          <w:sz w:val="18"/>
          <w:szCs w:val="18"/>
          <w:b w:val="1"/>
          <w:bCs w:val="1"/>
          <w:i w:val="1"/>
          <w:iCs w:val="1"/>
          <w:color w:val="auto"/>
        </w:rPr>
        <w:t>Operating expenses</w:t>
      </w:r>
      <w:r>
        <w:rPr>
          <w:rFonts w:ascii="Arial" w:cs="Arial" w:eastAsia="Arial" w:hAnsi="Arial"/>
          <w:sz w:val="18"/>
          <w:szCs w:val="18"/>
          <w:color w:val="auto"/>
        </w:rPr>
        <w:t>. Operating expenses increased $63.9 million, or 104.1%, for the twenty-six weeks ended February 29, 2020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twenty-six weeks ended February 23, 2019 due to the following:</w:t>
      </w:r>
    </w:p>
    <w:p>
      <w:pPr>
        <w:spacing w:after="0" w:line="197" w:lineRule="exact"/>
        <w:rPr>
          <w:sz w:val="20"/>
          <w:szCs w:val="20"/>
          <w:color w:val="auto"/>
        </w:rPr>
      </w:pPr>
    </w:p>
    <w:p>
      <w:pPr>
        <w:jc w:val="both"/>
        <w:ind w:left="1300" w:hanging="239"/>
        <w:spacing w:after="0" w:line="279" w:lineRule="auto"/>
        <w:tabs>
          <w:tab w:leader="none" w:pos="13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and marketing. </w:t>
      </w:r>
      <w:r>
        <w:rPr>
          <w:rFonts w:ascii="Arial" w:cs="Arial" w:eastAsia="Arial" w:hAnsi="Arial"/>
          <w:sz w:val="18"/>
          <w:szCs w:val="18"/>
          <w:color w:val="auto"/>
        </w:rPr>
        <w:t>Selling and marketing expenses increased $15.4 million, or 51.3%, for the twenty-six weeks ended February 29,</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twenty-six weeks ended February 23, 2019. The increase was primarily related to the Acquisition of Quest of $10.2 million, and an increase in television media and marketing investments of $2.9 million.</w:t>
      </w:r>
    </w:p>
    <w:p>
      <w:pPr>
        <w:spacing w:after="0" w:line="196" w:lineRule="exact"/>
        <w:rPr>
          <w:rFonts w:ascii="Arial" w:cs="Arial" w:eastAsia="Arial" w:hAnsi="Arial"/>
          <w:sz w:val="18"/>
          <w:szCs w:val="18"/>
          <w:i w:val="1"/>
          <w:iCs w:val="1"/>
          <w:color w:val="auto"/>
        </w:rPr>
      </w:pPr>
    </w:p>
    <w:p>
      <w:pPr>
        <w:jc w:val="both"/>
        <w:ind w:left="1300" w:right="20" w:hanging="239"/>
        <w:spacing w:after="0" w:line="303" w:lineRule="auto"/>
        <w:tabs>
          <w:tab w:leader="none" w:pos="130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$20.5 million, or 79.7%, for the twenty-six weeks ended</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29, 2020 compared to the twenty-six weeks ended February 23, 2019. The increase was due to the Acquisition of Quest of $13.5 million, Quest integration related costs of $5.2 million, and stock based compensation of $1.3 million.</w:t>
      </w:r>
    </w:p>
    <w:p>
      <w:pPr>
        <w:spacing w:after="0" w:line="177" w:lineRule="exact"/>
        <w:rPr>
          <w:rFonts w:ascii="Arial" w:cs="Arial" w:eastAsia="Arial" w:hAnsi="Arial"/>
          <w:sz w:val="17"/>
          <w:szCs w:val="17"/>
          <w:i w:val="1"/>
          <w:iCs w:val="1"/>
          <w:color w:val="auto"/>
        </w:rPr>
      </w:pPr>
    </w:p>
    <w:p>
      <w:pPr>
        <w:jc w:val="both"/>
        <w:ind w:left="1300" w:hanging="239"/>
        <w:spacing w:after="0" w:line="27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$3.0 million, or 79.7%, for the twenty-six weeks ended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29, 2020 compared to the twenty-six weeks ended February 23, 2019. The increase was primarily due to amortization for the intangible assets recognized in the Acquisition of Quest of $2.6 million.</w:t>
      </w:r>
    </w:p>
    <w:p>
      <w:pPr>
        <w:spacing w:after="0" w:line="196" w:lineRule="exact"/>
        <w:rPr>
          <w:rFonts w:ascii="Arial" w:cs="Arial" w:eastAsia="Arial" w:hAnsi="Arial"/>
          <w:sz w:val="18"/>
          <w:szCs w:val="18"/>
          <w:color w:val="auto"/>
        </w:rPr>
      </w:pPr>
    </w:p>
    <w:p>
      <w:pPr>
        <w:jc w:val="both"/>
        <w:ind w:left="1300" w:hanging="239"/>
        <w:spacing w:after="0" w:line="279" w:lineRule="auto"/>
        <w:tabs>
          <w:tab w:leader="none" w:pos="13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Business transaction costs</w:t>
      </w:r>
      <w:r>
        <w:rPr>
          <w:rFonts w:ascii="Arial" w:cs="Arial" w:eastAsia="Arial" w:hAnsi="Arial"/>
          <w:sz w:val="18"/>
          <w:szCs w:val="18"/>
          <w:color w:val="auto"/>
        </w:rPr>
        <w:t>. Business transaction costs increased $25.5 million for the twenty-six weeks ended February 29,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twenty-six weeks ended February 23, 2019. The $26.9 million recorded in the twenty-six weeks ended February 29, 2020 was comprised of expenses related to the Acquisition of Quest.</w:t>
      </w:r>
    </w:p>
    <w:p>
      <w:pPr>
        <w:spacing w:after="0" w:line="19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Loss in fair value change of contingent consideration - TRA liability</w:t>
      </w:r>
      <w:r>
        <w:rPr>
          <w:rFonts w:ascii="Arial" w:cs="Arial" w:eastAsia="Arial" w:hAnsi="Arial"/>
          <w:sz w:val="18"/>
          <w:szCs w:val="18"/>
          <w:color w:val="auto"/>
        </w:rPr>
        <w:t>. The twenty-six weeks ended February 23, 2019 included a loss in</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change of contingent consideration of $0.5 million. The Income Tax Receivable Agreement (the “TRA”) liability was settled in the first quarter of fiscal 2019.</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income decreased $0.2 million for the twenty-six weeks ended February 29, 2020 compared to the twenty-six weeks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February 23, 2019, due to lower cash balances after the Acquisition of Quest.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Interest expense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expense increased $9.0 million for the twenty-six weeks ended February 29, 2020 compared to the twenty-six weeks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February 23, 2019, due to the higher term loan principal amount of for a portion of the year raised to help fund the Acquisition of Quest</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Gain on settlement of TRA liability. </w:t>
      </w:r>
      <w:r>
        <w:rPr>
          <w:rFonts w:ascii="Arial" w:cs="Arial" w:eastAsia="Arial" w:hAnsi="Arial"/>
          <w:sz w:val="18"/>
          <w:szCs w:val="18"/>
          <w:color w:val="auto"/>
        </w:rPr>
        <w:t>The Company recorded a $1.5 million gain in connection with the settlement of the TRA liability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twenty-six weeks ended February 23, 2019.</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 xml:space="preserve">Gain (loss) on foreign currency transactions. </w:t>
      </w:r>
      <w:r>
        <w:rPr>
          <w:rFonts w:ascii="Arial" w:cs="Arial" w:eastAsia="Arial" w:hAnsi="Arial"/>
          <w:sz w:val="18"/>
          <w:szCs w:val="18"/>
          <w:color w:val="auto"/>
        </w:rPr>
        <w:t>A loss of $0.2 million in foreign currency transactions was recorded for the twenty-six weeks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29, 2020 compared to a foreign currency loss of $0.3 million for the twenty-six weeks ended February 23, 2019. The change relates to changes in foreign currency rates related to international operations.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$6.5 million, for the twenty-six weeks ended February 29, 2020 compared to the twenty-six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weeks ended February 23, 2019. The decrease in our income tax expense was primarily driven by lower pre-tax book income, offset by non-deductible transaction costs, the one-time tax impact of the settlement of the TRA liability during the twenty-six week period ended February 23, 2019, and other permanent differences.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Adjusted EBITDA. </w:t>
      </w:r>
      <w:r>
        <w:rPr>
          <w:rFonts w:ascii="Arial" w:cs="Arial" w:eastAsia="Arial" w:hAnsi="Arial"/>
          <w:sz w:val="17"/>
          <w:szCs w:val="17"/>
          <w:color w:val="auto"/>
        </w:rPr>
        <w:t>Adjusted EBITDA increased $23.9 million, or 48.0%, for the twenty-six weeks ended February 29, 2020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twenty-six weeks ended February 23, 2019. The increase was primarily due to higher gross profit from organic growth of the Atkins brand and the Acquisition of Quest, partially offset by higher operating expenses adjusted for business transaction costs and integration costs. For a reconciliation of Adjusted EBITDA to its most directly comparable GAAP measure, see “Reconciliation of Adjusted EBITDA”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Reconciliation of Adjusted EBITDA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Adjusted EBITDA</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Adjusted EBITDA is a non-GAAP financial measure commonly used in our industry and should not be construed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to net income as an indicator of operating performance or as an alternative to cash flow provided by operating activities as a measure of liquidity (each as determined in accordance with GAAP). Simply Good Foods defines Adjusted EBITDA (earnings before interest, tax, depreciation, and amortization) as net income before interest income, interest expense, income tax expense, depreciation and amortization with further adjustments to exclude the following items: business transaction costs, stock-based compensation expense, inventory step-up, integration costs, restructuring costs, non-core legal costs, loss in fair value change of contingent consideration - TRA liability, gain on settlement of TRA liability and other non-core expenses. The Company believes that the inclusion of these supplementary adjustments in presenting Adjusted EBITDA, when used in conjunction with net income, are appropriate to provide additional information to investors, and management of the Company uses Adjusted EBITDA to supplement net income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EBITDA is frequently used by securities analysts, investors and other interested parties in the evaluation of companies in its industry</w:t>
      </w:r>
      <w:r>
        <w:rPr>
          <w:rFonts w:ascii="Arial" w:cs="Arial" w:eastAsia="Arial" w:hAnsi="Arial"/>
          <w:sz w:val="16"/>
          <w:szCs w:val="16"/>
          <w:i w:val="1"/>
          <w:iCs w:val="1"/>
          <w:color w:val="auto"/>
        </w:rPr>
        <w:t>.</w:t>
      </w:r>
      <w:r>
        <w:rPr>
          <w:rFonts w:ascii="Arial" w:cs="Arial" w:eastAsia="Arial" w:hAnsi="Arial"/>
          <w:sz w:val="16"/>
          <w:szCs w:val="16"/>
          <w:color w:val="auto"/>
        </w:rPr>
        <w:t xml:space="preserve"> Adjusted EBITDA may not be comparable to other similarly titled captions of other companies due to differences in the non-GAAP calculation.</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tables below provide a reconciliation of Adjusted EBITDA to its most directly comparable GAAP measure, which is net income, for the thirteen and twenty-six weeks ended February 29, 2020 and February 23, 2019:</w:t>
      </w:r>
    </w:p>
    <w:p>
      <w:pPr>
        <w:spacing w:after="0" w:line="117"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Adjusted EBITDA Reconciliation:</w:t>
            </w:r>
          </w:p>
        </w:tc>
        <w:tc>
          <w:tcPr>
            <w:tcW w:w="120" w:type="dxa"/>
            <w:vAlign w:val="bottom"/>
          </w:tcPr>
          <w:p>
            <w:pPr>
              <w:spacing w:after="0"/>
              <w:rPr>
                <w:sz w:val="17"/>
                <w:szCs w:val="17"/>
                <w:color w:val="auto"/>
              </w:rPr>
            </w:pPr>
          </w:p>
        </w:tc>
        <w:tc>
          <w:tcPr>
            <w:tcW w:w="3020" w:type="dxa"/>
            <w:vAlign w:val="bottom"/>
            <w:gridSpan w:val="5"/>
          </w:tcPr>
          <w:p>
            <w:pPr>
              <w:ind w:left="680"/>
              <w:spacing w:after="0"/>
              <w:rPr>
                <w:sz w:val="20"/>
                <w:szCs w:val="20"/>
                <w:color w:val="auto"/>
              </w:rPr>
            </w:pPr>
            <w:r>
              <w:rPr>
                <w:rFonts w:ascii="Arial" w:cs="Arial" w:eastAsia="Arial" w:hAnsi="Arial"/>
                <w:sz w:val="16"/>
                <w:szCs w:val="16"/>
                <w:color w:val="auto"/>
              </w:rPr>
              <w:t>Thirteen Weeks Ended</w:t>
            </w:r>
          </w:p>
        </w:tc>
        <w:tc>
          <w:tcPr>
            <w:tcW w:w="120" w:type="dxa"/>
            <w:vAlign w:val="bottom"/>
          </w:tcPr>
          <w:p>
            <w:pPr>
              <w:spacing w:after="0"/>
              <w:rPr>
                <w:sz w:val="17"/>
                <w:szCs w:val="17"/>
                <w:color w:val="auto"/>
              </w:rPr>
            </w:pPr>
          </w:p>
        </w:tc>
        <w:tc>
          <w:tcPr>
            <w:tcW w:w="2900" w:type="dxa"/>
            <w:vAlign w:val="bottom"/>
            <w:gridSpan w:val="4"/>
          </w:tcPr>
          <w:p>
            <w:pPr>
              <w:jc w:val="right"/>
              <w:ind w:right="579"/>
              <w:spacing w:after="0"/>
              <w:rPr>
                <w:sz w:val="20"/>
                <w:szCs w:val="20"/>
                <w:color w:val="auto"/>
              </w:rPr>
            </w:pPr>
            <w:r>
              <w:rPr>
                <w:rFonts w:ascii="Arial" w:cs="Arial" w:eastAsia="Arial" w:hAnsi="Arial"/>
                <w:sz w:val="16"/>
                <w:szCs w:val="16"/>
                <w:color w:val="auto"/>
              </w:rPr>
              <w:t>Twenty-Six Weeks Ended</w:t>
            </w:r>
          </w:p>
        </w:tc>
        <w:tc>
          <w:tcPr>
            <w:tcW w:w="0" w:type="dxa"/>
            <w:vAlign w:val="bottom"/>
          </w:tcPr>
          <w:p>
            <w:pPr>
              <w:spacing w:after="0"/>
              <w:rPr>
                <w:sz w:val="1"/>
                <w:szCs w:val="1"/>
                <w:color w:val="auto"/>
              </w:rPr>
            </w:pPr>
          </w:p>
        </w:tc>
      </w:tr>
      <w:tr>
        <w:trPr>
          <w:trHeight w:val="50"/>
        </w:trPr>
        <w:tc>
          <w:tcPr>
            <w:tcW w:w="38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(in thousands)</w:t>
            </w: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11"/>
                <w:szCs w:val="11"/>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6"/>
                <w:szCs w:val="16"/>
                <w:color w:val="auto"/>
              </w:rPr>
              <w:t>February 23, 2019</w:t>
            </w:r>
          </w:p>
        </w:tc>
        <w:tc>
          <w:tcPr>
            <w:tcW w:w="12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11"/>
                <w:szCs w:val="11"/>
                <w:color w:val="auto"/>
              </w:rPr>
            </w:pP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w w:val="90"/>
              </w:rPr>
              <w:t>February 23, 2019</w:t>
            </w:r>
          </w:p>
        </w:tc>
        <w:tc>
          <w:tcPr>
            <w:tcW w:w="0" w:type="dxa"/>
            <w:vAlign w:val="bottom"/>
          </w:tcPr>
          <w:p>
            <w:pPr>
              <w:spacing w:after="0"/>
              <w:rPr>
                <w:sz w:val="1"/>
                <w:szCs w:val="1"/>
                <w:color w:val="auto"/>
              </w:rPr>
            </w:pPr>
          </w:p>
        </w:tc>
      </w:tr>
      <w:tr>
        <w:trPr>
          <w:trHeight w:val="81"/>
        </w:trPr>
        <w:tc>
          <w:tcPr>
            <w:tcW w:w="3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38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12,722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27,979</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6,605</w:t>
            </w:r>
          </w:p>
        </w:tc>
        <w:tc>
          <w:tcPr>
            <w:tcW w:w="0" w:type="dxa"/>
            <w:vAlign w:val="bottom"/>
          </w:tcPr>
          <w:p>
            <w:pPr>
              <w:spacing w:after="0"/>
              <w:rPr>
                <w:sz w:val="1"/>
                <w:szCs w:val="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8,652</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17"/>
        </w:trPr>
        <w:tc>
          <w:tcPr>
            <w:tcW w:w="3840" w:type="dxa"/>
            <w:vAlign w:val="bottom"/>
          </w:tcPr>
          <w:p>
            <w:pPr>
              <w:ind w:left="40"/>
              <w:spacing w:after="0"/>
              <w:rPr>
                <w:sz w:val="20"/>
                <w:szCs w:val="20"/>
                <w:color w:val="auto"/>
              </w:rPr>
            </w:pPr>
            <w:r>
              <w:rPr>
                <w:rFonts w:ascii="Arial" w:cs="Arial" w:eastAsia="Arial" w:hAnsi="Arial"/>
                <w:sz w:val="16"/>
                <w:szCs w:val="16"/>
                <w:color w:val="auto"/>
              </w:rPr>
              <w:t>EBITDA</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29,677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21,148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29,270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45,396</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transaction costs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 step-up</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Integration of Quest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Non-core legal costs</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Loss in fair value change of contingent consideration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 liability</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6"/>
                <w:szCs w:val="16"/>
                <w:color w:val="auto"/>
              </w:rPr>
              <w:t>Gain on settlement of TRA liability</w:t>
            </w:r>
          </w:p>
        </w:tc>
        <w:tc>
          <w:tcPr>
            <w:tcW w:w="1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0"/>
        </w:trPr>
        <w:tc>
          <w:tcPr>
            <w:tcW w:w="38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41,731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22,965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73,526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49,663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wp:posOffset>
            </wp:positionV>
            <wp:extent cx="390906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09060" cy="25400"/>
                    </a:xfrm>
                    <a:prstGeom prst="rect">
                      <a:avLst/>
                    </a:prstGeom>
                    <a:noFill/>
                  </pic:spPr>
                </pic:pic>
              </a:graphicData>
            </a:graphic>
          </wp:anchor>
        </w:drawing>
      </w:r>
    </w:p>
    <w:p>
      <w:pPr>
        <w:spacing w:after="0" w:line="18" w:lineRule="exact"/>
        <w:rPr>
          <w:sz w:val="20"/>
          <w:szCs w:val="20"/>
          <w:color w:val="auto"/>
        </w:rPr>
      </w:pPr>
    </w:p>
    <w:p>
      <w:pPr>
        <w:ind w:left="260" w:hanging="171"/>
        <w:spacing w:after="0"/>
        <w:tabs>
          <w:tab w:leader="none" w:pos="26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frozen licensing media and other expenses.</w:t>
      </w:r>
    </w:p>
    <w:p>
      <w:pPr>
        <w:spacing w:after="0" w:line="383" w:lineRule="exact"/>
        <w:rPr>
          <w:rFonts w:ascii="Arial" w:cs="Arial" w:eastAsia="Arial" w:hAnsi="Arial"/>
          <w:sz w:val="19"/>
          <w:szCs w:val="19"/>
          <w:color w:val="auto"/>
          <w:vertAlign w:val="superscript"/>
        </w:rPr>
      </w:pPr>
    </w:p>
    <w:p>
      <w:pPr>
        <w:ind w:left="5540"/>
        <w:spacing w:after="0"/>
        <w:rPr>
          <w:rFonts w:ascii="Arial" w:cs="Arial" w:eastAsia="Arial" w:hAnsi="Arial"/>
          <w:sz w:val="19"/>
          <w:szCs w:val="19"/>
          <w:color w:val="auto"/>
          <w:vertAlign w:val="superscript"/>
        </w:rPr>
      </w:pPr>
      <w:r>
        <w:rPr>
          <w:rFonts w:ascii="Arial" w:cs="Arial" w:eastAsia="Arial" w:hAnsi="Arial"/>
          <w:sz w:val="18"/>
          <w:szCs w:val="18"/>
          <w:color w:val="auto"/>
        </w:rPr>
        <w:t>31</w:t>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Reconciliation of Adjusted Diluted Earnings Per Share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i w:val="1"/>
          <w:iCs w:val="1"/>
          <w:color w:val="auto"/>
        </w:rPr>
        <w:t>Adjusted Diluted Earnings Per Share</w:t>
      </w:r>
      <w:r>
        <w:rPr>
          <w:rFonts w:ascii="Arial" w:cs="Arial" w:eastAsia="Arial" w:hAnsi="Arial"/>
          <w:sz w:val="16"/>
          <w:szCs w:val="16"/>
          <w:color w:val="auto"/>
        </w:rPr>
        <w:t>. Adjusted Diluted Earnings Per Share is a non-GAAP financial measure commonly used in our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should not be construed as an alternative to diluted earnings per share as an indicator of operating performance. Simply Good Foods defines Adjusted Diluted Earnings Per Share as diluted earnings per share before depreciation and amortization, business transaction costs, stock-based compensation expense, inventory step-up, integration costs, restructuring costs, non-core legal costs, change in fair value of contingent consideration - TRA liability, gain on settlement of TRA liability and other non-core expenses, on a theoretical tax effected basis of such adjustments at an assumed statutory rate. The Company believes that the inclusion of these supplementary adjustments in presenting Adjusted Diluted Earnings per Share, when used in conjunction with diluted earnings per share, are appropriate to provide additional information to investors, and management of the Company uses Adjusted Diluted Earnings Per Share to supplement diluted earnings per shares because it reflects more accurately operating results of the on-going operations, enhances the overall understanding of past financial performance and future prospects and allows for greater transparency with respect to the key metrics the Company uses in its financial and operational decision making. The Company also believes that Adjusted Diluted Earnings per Share is frequently used by securities analysts, investors and other interested parties in the evaluation of companies in its industry</w:t>
      </w:r>
      <w:r>
        <w:rPr>
          <w:rFonts w:ascii="Arial" w:cs="Arial" w:eastAsia="Arial" w:hAnsi="Arial"/>
          <w:sz w:val="16"/>
          <w:szCs w:val="16"/>
          <w:i w:val="1"/>
          <w:iCs w:val="1"/>
          <w:color w:val="auto"/>
        </w:rPr>
        <w:t>.</w:t>
      </w:r>
      <w:r>
        <w:rPr>
          <w:rFonts w:ascii="Arial" w:cs="Arial" w:eastAsia="Arial" w:hAnsi="Arial"/>
          <w:sz w:val="16"/>
          <w:szCs w:val="16"/>
          <w:color w:val="auto"/>
        </w:rPr>
        <w:t xml:space="preserve"> Adjusted Diluted Earnings per Share may not be comparable to other similarly titled captions of other companies due to differences in the non-GAAP calculation.</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tables below provide a reconciliation of Adjusted Diluted Earnings Per Share to its most directly comparable GAAP measure, which is diluted earnings per share, for the thirteen and twenty-six weeks ended February 29, 2020 and February 23, 2019:</w:t>
      </w:r>
    </w:p>
    <w:p>
      <w:pPr>
        <w:spacing w:after="0" w:line="134" w:lineRule="exact"/>
        <w:rPr>
          <w:sz w:val="20"/>
          <w:szCs w:val="20"/>
          <w:color w:val="auto"/>
        </w:rPr>
      </w:pPr>
    </w:p>
    <w:tbl>
      <w:tblPr>
        <w:tblLayout w:type="fixed"/>
        <w:tblInd w:w="740" w:type="dxa"/>
        <w:tblCellMar>
          <w:top w:w="0" w:type="dxa"/>
          <w:left w:w="0" w:type="dxa"/>
          <w:bottom w:w="0" w:type="dxa"/>
          <w:right w:w="0" w:type="dxa"/>
        </w:tblCellMar>
      </w:tblPr>
      <w:tr>
        <w:trPr>
          <w:trHeight w:val="206"/>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5"/>
          </w:tcPr>
          <w:p>
            <w:pPr>
              <w:ind w:left="640"/>
              <w:spacing w:after="0"/>
              <w:rPr>
                <w:sz w:val="20"/>
                <w:szCs w:val="20"/>
                <w:color w:val="auto"/>
              </w:rPr>
            </w:pPr>
            <w:r>
              <w:rPr>
                <w:rFonts w:ascii="Arial" w:cs="Arial" w:eastAsia="Arial" w:hAnsi="Arial"/>
                <w:sz w:val="16"/>
                <w:szCs w:val="16"/>
                <w:color w:val="auto"/>
              </w:rPr>
              <w:t>Thirteen Weeks Ended</w:t>
            </w:r>
          </w:p>
        </w:tc>
        <w:tc>
          <w:tcPr>
            <w:tcW w:w="3000" w:type="dxa"/>
            <w:vAlign w:val="bottom"/>
            <w:gridSpan w:val="3"/>
          </w:tcPr>
          <w:p>
            <w:pPr>
              <w:jc w:val="right"/>
              <w:ind w:right="579"/>
              <w:spacing w:after="0"/>
              <w:rPr>
                <w:sz w:val="20"/>
                <w:szCs w:val="20"/>
                <w:color w:val="auto"/>
              </w:rPr>
            </w:pPr>
            <w:r>
              <w:rPr>
                <w:rFonts w:ascii="Arial" w:cs="Arial" w:eastAsia="Arial" w:hAnsi="Arial"/>
                <w:sz w:val="16"/>
                <w:szCs w:val="16"/>
                <w:color w:val="auto"/>
              </w:rPr>
              <w:t>Twenty-Six Weeks Ended</w:t>
            </w:r>
          </w:p>
        </w:tc>
      </w:tr>
      <w:tr>
        <w:trPr>
          <w:trHeight w:val="33"/>
        </w:trPr>
        <w:tc>
          <w:tcPr>
            <w:tcW w:w="3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6"/>
                <w:szCs w:val="16"/>
                <w:color w:val="auto"/>
              </w:rPr>
              <w:t>February 23, 2019</w:t>
            </w:r>
          </w:p>
        </w:tc>
        <w:tc>
          <w:tcPr>
            <w:tcW w:w="1540" w:type="dxa"/>
            <w:vAlign w:val="bottom"/>
            <w:gridSpan w:val="2"/>
          </w:tcPr>
          <w:p>
            <w:pPr>
              <w:ind w:left="120"/>
              <w:spacing w:after="0"/>
              <w:rPr>
                <w:sz w:val="20"/>
                <w:szCs w:val="20"/>
                <w:color w:val="auto"/>
              </w:rPr>
            </w:pPr>
            <w:r>
              <w:rPr>
                <w:rFonts w:ascii="Arial" w:cs="Arial" w:eastAsia="Arial" w:hAnsi="Arial"/>
                <w:sz w:val="16"/>
                <w:szCs w:val="16"/>
                <w:color w:val="auto"/>
              </w:rPr>
              <w:t>February 29, 2020</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w w:val="99"/>
              </w:rPr>
              <w:t>February 23, 2019</w:t>
            </w:r>
          </w:p>
        </w:tc>
      </w:tr>
      <w:tr>
        <w:trPr>
          <w:trHeight w:val="46"/>
        </w:trPr>
        <w:tc>
          <w:tcPr>
            <w:tcW w:w="39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297"/>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37"/>
        </w:trPr>
        <w:tc>
          <w:tcPr>
            <w:tcW w:w="3920" w:type="dxa"/>
            <w:vAlign w:val="bottom"/>
          </w:tcPr>
          <w:p>
            <w:pPr>
              <w:ind w:left="20"/>
              <w:spacing w:after="0"/>
              <w:rPr>
                <w:sz w:val="20"/>
                <w:szCs w:val="20"/>
                <w:color w:val="auto"/>
              </w:rPr>
            </w:pPr>
            <w:r>
              <w:rPr>
                <w:rFonts w:ascii="Arial" w:cs="Arial" w:eastAsia="Arial" w:hAnsi="Arial"/>
                <w:sz w:val="16"/>
                <w:szCs w:val="16"/>
                <w:color w:val="auto"/>
              </w:rPr>
              <w:t>Business transaction costs</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37"/>
        </w:trPr>
        <w:tc>
          <w:tcPr>
            <w:tcW w:w="3920" w:type="dxa"/>
            <w:vAlign w:val="bottom"/>
          </w:tcPr>
          <w:p>
            <w:pPr>
              <w:ind w:left="20"/>
              <w:spacing w:after="0"/>
              <w:rPr>
                <w:sz w:val="20"/>
                <w:szCs w:val="20"/>
                <w:color w:val="auto"/>
              </w:rPr>
            </w:pPr>
            <w:r>
              <w:rPr>
                <w:rFonts w:ascii="Arial" w:cs="Arial" w:eastAsia="Arial" w:hAnsi="Arial"/>
                <w:sz w:val="16"/>
                <w:szCs w:val="16"/>
                <w:color w:val="auto"/>
              </w:rPr>
              <w:t>Inventory step-up</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Integration of Quest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92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Non-core legal costs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20"/>
        </w:trPr>
        <w:tc>
          <w:tcPr>
            <w:tcW w:w="3920" w:type="dxa"/>
            <w:vAlign w:val="bottom"/>
          </w:tcPr>
          <w:p>
            <w:pPr>
              <w:ind w:left="20"/>
              <w:spacing w:after="0"/>
              <w:rPr>
                <w:sz w:val="20"/>
                <w:szCs w:val="20"/>
                <w:color w:val="auto"/>
              </w:rPr>
            </w:pPr>
            <w:r>
              <w:rPr>
                <w:rFonts w:ascii="Arial" w:cs="Arial" w:eastAsia="Arial" w:hAnsi="Arial"/>
                <w:sz w:val="16"/>
                <w:szCs w:val="16"/>
                <w:color w:val="auto"/>
              </w:rPr>
              <w:t>Loss (gain) in fair value change of contingent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6"/>
        </w:trPr>
        <w:tc>
          <w:tcPr>
            <w:tcW w:w="3920" w:type="dxa"/>
            <w:vAlign w:val="bottom"/>
          </w:tcPr>
          <w:p>
            <w:pPr>
              <w:ind w:left="20"/>
              <w:spacing w:after="0"/>
              <w:rPr>
                <w:sz w:val="20"/>
                <w:szCs w:val="20"/>
                <w:color w:val="auto"/>
              </w:rPr>
            </w:pPr>
            <w:r>
              <w:rPr>
                <w:rFonts w:ascii="Arial" w:cs="Arial" w:eastAsia="Arial" w:hAnsi="Arial"/>
                <w:sz w:val="16"/>
                <w:szCs w:val="16"/>
                <w:color w:val="auto"/>
              </w:rPr>
              <w:t>consideration - TRA liability</w:t>
            </w:r>
          </w:p>
        </w:tc>
        <w:tc>
          <w:tcPr>
            <w:tcW w:w="12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on settlement of TRA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r>
      <w:tr>
        <w:trPr>
          <w:trHeight w:val="270"/>
        </w:trPr>
        <w:tc>
          <w:tcPr>
            <w:tcW w:w="39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Rounding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920" w:type="dxa"/>
            <w:vAlign w:val="bottom"/>
          </w:tcPr>
          <w:p>
            <w:pPr>
              <w:ind w:left="20"/>
              <w:spacing w:after="0"/>
              <w:rPr>
                <w:sz w:val="20"/>
                <w:szCs w:val="20"/>
                <w:color w:val="auto"/>
              </w:rPr>
            </w:pPr>
            <w:r>
              <w:rPr>
                <w:rFonts w:ascii="Arial" w:cs="Arial" w:eastAsia="Arial" w:hAnsi="Arial"/>
                <w:sz w:val="16"/>
                <w:szCs w:val="16"/>
                <w:color w:val="auto"/>
              </w:rPr>
              <w:t>Adjusted diluted earnings per share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12700</wp:posOffset>
            </wp:positionV>
            <wp:extent cx="387477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4770" cy="25400"/>
                    </a:xfrm>
                    <a:prstGeom prst="rect">
                      <a:avLst/>
                    </a:prstGeom>
                    <a:noFill/>
                  </pic:spPr>
                </pic:pic>
              </a:graphicData>
            </a:graphic>
          </wp:anchor>
        </w:drawing>
      </w:r>
    </w:p>
    <w:p>
      <w:pPr>
        <w:spacing w:after="0" w:line="15" w:lineRule="exact"/>
        <w:rPr>
          <w:sz w:val="20"/>
          <w:szCs w:val="20"/>
          <w:color w:val="auto"/>
        </w:rPr>
      </w:pPr>
    </w:p>
    <w:p>
      <w:pPr>
        <w:ind w:left="260" w:hanging="171"/>
        <w:spacing w:after="0"/>
        <w:tabs>
          <w:tab w:leader="none" w:pos="260"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Other items consist principally of exchange impact of foreign currency transactions, frozen licensing media and other expenses.</w:t>
      </w:r>
    </w:p>
    <w:p>
      <w:pPr>
        <w:ind w:left="260" w:hanging="171"/>
        <w:spacing w:after="0" w:line="209" w:lineRule="auto"/>
        <w:tabs>
          <w:tab w:leader="none" w:pos="277"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Adjusted Diluted Earnings Per Share amounts are computed independently for each quarter. Therefore, the sum of the quarterly Adjusted Diluted Earnings Per Share amounts may not equal the year to date Adjusted Diluted Earnings Per Share amounts due to rounding.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historically funded our operations with cash flow from operations and, when needed, with borrowings under our credit facilities. Our principal uses of cash have been debt service, working capital and the Acquisition of Quest.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had $46.1 million in cash and cash equivalents as of February 29, 2020. We believe our sources of liquidity and capital will be sufficient to finance our continued operations, growth strategy and additional expenses we expect to incur for at least the next twelve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Debt and Credit Facilities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7, 2017, the Company entered into a credit agreement with Barclays Bank PLC and other parties (as amended to date, the “Credit Agreement”). The Credit Agreement provides for (i) a term facility of $200.0 million (“Term Facility”) with a seven year maturity and (ii) a revolving credit facility of up to $75.0 million (the “Revolving Credit Facility”) with a five year maturity. Substantially concurrent with the consummation of the Acquisition of Atkins, the full $200.0 million of the Term Facility (the “Term Loan”) was drawn. The interest rate per annum was based on either (i) a base rate equaling the higher of (a) the “prime rate”, (b) the federal funds effective rate plus 0.50% and (c) the Euro-currency rate applicable for an interest period of one month plus 1.00% plus (x) 3.00% margin for the Term Loan or (y) 2.00% margin for the Revolving Credit Facility, or (ii) London Interbank Offered Rate (“LIBOR”) adjusted for statutory reserve requirements, plus (x) 4.00% margin for the Term Loan subject to a floor of 1.00% or (y) 3.00% margin for the Revolving Credit Facility. As security for the payment or performance of its debt, the Company has pledged certain equity interests in its subsidiaries.</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16, 2018 (the “Amendment Date”), the Company entered into an amendment (the “Repricing Amendment”) to the Credit Agreement. As a result of the Repricing Amendment, the interest rate on the Term Loan was reduced and, as of the Amendment Date, such loans had an interest rate equal to, at the Company’s option, either LIBOR plus an applicable margin of 3.50% or a base rate plus an applicable margin of 2.50%. The Repricing Amendment did not change the interest rate on the Revolving Credit Facility. The Revolving Credit Facility continued to bear interest based upon the Company’s consolidated net leverage ratio as of the last financial statements delivered to the administrative agent. No additional debt was incurred, or any proceeds received, by the Company in connection with the Repricing Amendment. The incremental fees paid to the administrative agent are reflected as additional debt discount and are amortized over the terms of the long-term financing agreements using the effective-interest method.</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7, 2019, the Company entered into an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and as of the Amendment No. 2 Effective Date (as defined in the Incremental Facility Amendment), the Initial Term Loans bear interest at a rate equal to, at the Company's option, either LIBOR plus an applicable margin of 3.75% or a base rate plus an applicable margin of 2.75%. The Incremental Facility Amendment was executed to finance, in part, the Acquisition of Quest. No amounts under the Term Facility were repaid as a result of the execution of the Incremental Facility Amendment.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Applicable Rate per annum applicable to the loans under the Credit Agreement Amendment is, with respect to any Initial Term Loan that is an ABR Loan (as defined in the Credit Agreement), 2.75% per annum, and with respect to any Initial Term Loan that is a Eurodollar Loan, 3.75% per annum. The incremental term loans will mature on the maturity date applicable to the Initial Term Loans, which date is July 7, 2024.</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6.25:1.00 (with a reduction to 6.00:1.00 on and after the third anniversary of the closing date of the Credit Agreement) contingent on credit extensions in excess of 30% of the total amount of commitments available under the Revolving Credit Facility. Any failure to comply with the restrictions of the Credit Agreement may result in an event of default. The Company was in compliance with all financial covenants under the Credit Agreement as of February 29, 2020 and August 31, 2019.</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February 29, 2020, the outstanding principal balance of the Term Loan was $635.5 million and there were no cash amounts drawn against the Revolving Credit Facility. In March 2020, the Company drew $25.0 million against the Revolving Credit Facility to build up inventory and as a precautionary measure to ensure it maintains ample financial flexibility in light of the spread of COVID-19. The Company intends to use the proceeds of the Revolving Credit Facility to meet near-term elevated customer orders in response to COVID-19 as well as to increase finished goods inventory of some of its high velocity items, support working capital and support general corporate purposes. The Company may repay borrowings under the Revolving Credit Facility at any time without penalty.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Equity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9, 2019, we completed an underwritten public offering of 13,379,205 shares of our common stock at a price to the public of $26.35 per share. We paid underwriting discounts and commissions of $0.19 per share resulting in net proceeds to us of $26.16 per share, or approximately $350.0 million (the “Offering”). The Company paid $0.8 million for legal, accounting and registrations fees related to the Offering. The net proceeds were used to pay a portion of the purchase price and related fees and expenses for the Acquisition of Quest.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Acquisition of Quest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21, 2019, Atkins entered into the Purchase Agreement with the Target Companies, VMG Voyage Holdings, LLC, VMG Tax-Exempt II, L.P., Voyage Employee Holdings, LLC, and other sellers defined in the Purchase Agreement. On November 7, 2019, pursuant to the Purchase Agreement, Atkins completed the Acquisition of Quest for a cash purchase price at closing of $988.9 million, subject to customary post closing adjustments.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Acquisition of Quest was funded by the Company through a combination of cash, equity and debt financing. Total consideration paid on the closing date was $988.9 million. Cash sources of funding included $195.3 million of cash on hand, net proceeds of approximately $350.0 million from the Offering, and $443.6 million of new term loan debt from borrowings under the Incremental Facility Amendment. For the twenty-six weeks ended February 29, 2020 the Company incurred business transaction costs $26.9 million including $14.5 million of transaction advisory fees related to the Acquisition of Quest, $3.2 million of unused banker commitment fees, $6.1 million of non-deferrable debt issuance costs for the Incremental Facility Amendment, and $3.1 million of other costs including legal, due diligence, and accounting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private placement warrants to purchase 6,700,000 shares of common stock remain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right"/>
              <w:ind w:right="579"/>
              <w:spacing w:after="0"/>
              <w:rPr>
                <w:sz w:val="20"/>
                <w:szCs w:val="20"/>
                <w:color w:val="auto"/>
              </w:rPr>
            </w:pPr>
            <w:r>
              <w:rPr>
                <w:rFonts w:ascii="Arial" w:cs="Arial" w:eastAsia="Arial" w:hAnsi="Arial"/>
                <w:sz w:val="16"/>
                <w:szCs w:val="16"/>
                <w:color w:val="auto"/>
              </w:rPr>
              <w:t>Twenty-Six Weeks Ended</w:t>
            </w:r>
          </w:p>
        </w:tc>
      </w:tr>
      <w:tr>
        <w:trPr>
          <w:trHeight w:val="46"/>
        </w:trPr>
        <w:tc>
          <w:tcPr>
            <w:tcW w:w="70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31"/>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color w:val="auto"/>
              </w:rPr>
              <w:t>February 29, 2020</w:t>
            </w:r>
          </w:p>
        </w:tc>
        <w:tc>
          <w:tcPr>
            <w:tcW w:w="1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w w:val="90"/>
              </w:rPr>
              <w:t>February 23, 2019</w:t>
            </w:r>
          </w:p>
        </w:tc>
      </w:tr>
      <w:tr>
        <w:trPr>
          <w:trHeight w:val="33"/>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70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cash (used in)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21,831</w:t>
            </w:r>
          </w:p>
        </w:tc>
      </w:tr>
      <w:tr>
        <w:trPr>
          <w:trHeight w:val="237"/>
        </w:trPr>
        <w:tc>
          <w:tcPr>
            <w:tcW w:w="7000" w:type="dxa"/>
            <w:vAlign w:val="bottom"/>
          </w:tcPr>
          <w:p>
            <w:pPr>
              <w:ind w:left="6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(985,932)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(887)</w:t>
            </w:r>
          </w:p>
        </w:tc>
      </w:tr>
      <w:tr>
        <w:trPr>
          <w:trHeight w:val="33"/>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70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cash provided by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780,705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86,225</w:t>
            </w:r>
          </w:p>
        </w:tc>
      </w:tr>
      <w:tr>
        <w:trPr>
          <w:trHeight w:val="33"/>
        </w:trPr>
        <w:tc>
          <w:tcPr>
            <w:tcW w:w="7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net cash used in operating activities was $14.9 million for the period ended February 29, 2020, an increase in cash used</w:t>
      </w:r>
      <w:r>
        <w:rPr>
          <w:rFonts w:ascii="Arial" w:cs="Arial" w:eastAsia="Arial" w:hAnsi="Arial"/>
          <w:sz w:val="17"/>
          <w:szCs w:val="17"/>
          <w:i w:val="1"/>
          <w:iCs w:val="1"/>
          <w:color w:val="auto"/>
        </w:rPr>
        <w:t xml:space="preserve"> </w:t>
      </w:r>
      <w:r>
        <w:rPr>
          <w:rFonts w:ascii="Arial" w:cs="Arial" w:eastAsia="Arial" w:hAnsi="Arial"/>
          <w:sz w:val="17"/>
          <w:szCs w:val="17"/>
          <w:color w:val="auto"/>
        </w:rPr>
        <w:t>of $36.7 million, compared to net cash provided by operating activities of $21.8 million for the period ended February 23, 2019. The increase in cash used was primarily driven by significant business transaction costs, changes in working capital, and the Acquisition of Quest.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net cash used in investing activities was $985.9 million for the period ended February 29, 2020, which was an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of $985.0 million compared to cash used in the investing activities for the period ended February 23, 2019. The increase was primarily due to the Acquisition of Quest of $984.2 million, net of cash acquired.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net cash provided by financing activities was $780.7 million for the period ended February 29, 2020,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provided by financing activities of $86.2 million for the period ended February 23, 2019. Net cash provided by financing activities for the period ended February 29, 2020 includes gross proceeds of $352.5 million from the Offering offset by issuance costs of $3.3 million and proceeds from the term loan borrowing of $460.0 million offset by issuance costs of $8.2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November 7, 2019, the Company entered the Incremental Facility Amendment to increase the principal borrowed under the Term Facility by $460.0 million. In addition, as a result of the Acquisition of Quest, the Company incurred additional lease obligations. The Company's contractual obligations relating to debt and leases at February 29, 2020 are included in the table below.</w:t>
      </w:r>
    </w:p>
    <w:p>
      <w:pPr>
        <w:spacing w:after="0" w:line="148"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6"/>
          </w:tcPr>
          <w:p>
            <w:pPr>
              <w:jc w:val="right"/>
              <w:ind w:right="19"/>
              <w:spacing w:after="0"/>
              <w:rPr>
                <w:sz w:val="20"/>
                <w:szCs w:val="20"/>
                <w:color w:val="auto"/>
              </w:rPr>
            </w:pPr>
            <w:r>
              <w:rPr>
                <w:rFonts w:ascii="Arial" w:cs="Arial" w:eastAsia="Arial" w:hAnsi="Arial"/>
                <w:sz w:val="16"/>
                <w:szCs w:val="16"/>
                <w:color w:val="auto"/>
                <w:w w:val="89"/>
              </w:rPr>
              <w:t>Payments due by period</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3"/>
        </w:trPr>
        <w:tc>
          <w:tcPr>
            <w:tcW w:w="3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500" w:type="dxa"/>
            <w:vAlign w:val="bottom"/>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color w:val="auto"/>
              </w:rPr>
              <w:t>Total</w:t>
            </w:r>
          </w:p>
        </w:tc>
        <w:tc>
          <w:tcPr>
            <w:tcW w:w="260" w:type="dxa"/>
            <w:vAlign w:val="bottom"/>
          </w:tcPr>
          <w:p>
            <w:pPr>
              <w:spacing w:after="0"/>
              <w:rPr>
                <w:sz w:val="20"/>
                <w:szCs w:val="20"/>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Year 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color w:val="auto"/>
              </w:rPr>
              <w:t>Years 2-3</w:t>
            </w: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color w:val="auto"/>
              </w:rPr>
              <w:t>Years 4-5</w:t>
            </w:r>
          </w:p>
        </w:tc>
        <w:tc>
          <w:tcPr>
            <w:tcW w:w="180" w:type="dxa"/>
            <w:vAlign w:val="bottom"/>
          </w:tcPr>
          <w:p>
            <w:pPr>
              <w:spacing w:after="0"/>
              <w:rPr>
                <w:sz w:val="20"/>
                <w:szCs w:val="20"/>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Thereafter</w:t>
            </w:r>
          </w:p>
        </w:tc>
      </w:tr>
      <w:tr>
        <w:trPr>
          <w:trHeight w:val="33"/>
        </w:trPr>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635,500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635,382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Interest payments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154,276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35,405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70,809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12,758</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Finance leases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691,461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February 29, 2020, we had no material off-balance sheet arrangements that have or are reasonably likely to have a current or future material effect on its financial condition, changes in financial condition, income or expenses, results of operations, liquidity, capital expenditures or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709"/>
        <w:spacing w:after="0" w:line="257" w:lineRule="auto"/>
        <w:rPr>
          <w:sz w:val="20"/>
          <w:szCs w:val="20"/>
          <w:color w:val="auto"/>
        </w:rPr>
      </w:pPr>
      <w:r>
        <w:rPr>
          <w:rFonts w:ascii="Arial" w:cs="Arial" w:eastAsia="Arial" w:hAnsi="Arial"/>
          <w:sz w:val="18"/>
          <w:szCs w:val="18"/>
          <w:color w:val="auto"/>
        </w:rPr>
        <w:t>For a description of critical accounting policies that affect our significant judgments and estimates used in the preparation of our consolidated financial statements, refer to our Annual Report. The adoption of ASC Topic 842 resulted in a change to our lease accounting policy, as discussed in Note 9 of our condensed consolidated financial statements in this Report. There have been no other significant changes to our critical accounting policies since August 31, 2019. Refer to Note 2 of our unaudited interim condensed consolidated financial statements in this Report for further information regarding recently issued accounting standards.</w:t>
      </w:r>
    </w:p>
    <w:p>
      <w:pPr>
        <w:sectPr>
          <w:pgSz w:w="11900" w:h="16838" w:orient="portrait"/>
          <w:cols w:equalWidth="0" w:num="1">
            <w:col w:w="11240"/>
          </w:cols>
          <w:pgMar w:left="320" w:top="341" w:right="339" w:bottom="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341" w:right="339" w:bottom="75" w:gutter="0" w:footer="0" w:header="0"/>
          <w:type w:val="continuous"/>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in our market risk exposure during the thirteen week period ended February 29, 2020. For a discussion of our market risks, see “Quantitative and Qualitative Disclosures About Market Risk” in Part II, Item 7A of our Annual Report.</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February 29, 2020, the Company’s disclosure controls and procedures were effective.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discussed above, on November 7, 2019, we completed the Acquisition of Quest. As such, the scope of our assessment of the effectiveness of our disclosure controls and procedures did not include the internal control over financial reporting of Quest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Quest and its affiliated entities accounted for 46.2% of our total assets and 27.8% of our net sales as of and for the twenty-six weeks ended February 29,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 Acquisition of Quest, we have commenced a project to evaluate the processes and procedures of Quest’s internal control over financial reporting and incorporate Quest’s internal control over financial reporting into our internal control over financial reporting framework. In addition, as a result of the Acquisition of Quest, we have implemented new processes and controls over accounting for an acquisition, including determining the fair value of the assets acquired, liabilities assumed and adjustments to the fair value of contingent consideration.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February 29,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Readers should carefully consider the factors discussed in Part I, Item 1A. “Risk Factors” in our Annual Report, which could materially affect our business, financial condition, cash flows or future results. Except as set forth below, there have been no material changes in our risk factors included in our Annual Report. The risks described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Pandemics, epidemics or disease outbreaks, such as the novel coronavirus (“COVID-19”), may disrupt our business, including, among other things, consumption and trade patterns, our supply chain and production processes, each of which could materially affect our operations, liquidity, financial condition and results of operations.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actual or perceived effects of a disease outbreak, epidemic, pandemic or similar widespread public health concern, such as COVID-19, could negatively affect our operations, liquidity, financial condition and results of operations. While to date we have experienced no material negative effects on our business and results of operations as a result of the current COVID-19 outbreak, the situation remains dynamic and subject to rapid and possibly material change, including but not limited to changes that may materially affect the operations of our customers and supply chain partners, which ultimately could result in material negative effects on our business and results of operations.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COVID-19 and similar outbreaks may affect demand for our products because quarantines or other government restrictions on movements may cause erratic consumer purchase behavior. Governmental or societal impositions of restrictions on public gatherings, especially if prolonged in nature, may have adverse effects on in-person traffic to retail stores and, in turn, our business. Even the perceived risk of infection or health risk may adversely affect traffic to our store-based retail customers and, in turn, our business, liquidity, financial condition and results of operations, particularly if any self-imposed or government-imposed restrictions are in place for a significant amount of time.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spread of pandemics, epidemics or disease outbreaks such as COVID-19 may also disrupt our third party business partners’ ability to meet their obligations to us, which may negatively affect our operations. These third parties include those who supply our ingredients, packaging, and other necessary operating materials, contract manufacturers, distributors, and logistics and transportation services providers. Ports and other channels of entry may be closed or operate at only a portion of capacity, as workers may be prohibited or otherwise unable to report to work, and means of transporting products within regions or countries may be limited for the same reason. As a result of the current COVID-19 outbreak, transport restrictions related to quarantines or travel bans have been put in place and global supply may become constrained, each of which may cause the price of certain ingredients and raw materials used in our products to increase and/or we may experience disruptions to our operations. Further, our contract manufacturers’ ability to manufacture our products may be impaired by any material disruption to their procurement, manufacturing, or warehousing capabilities as a result of COVID-19 or similar outbreaks.</w:t>
      </w:r>
    </w:p>
    <w:p>
      <w:pPr>
        <w:spacing w:after="0" w:line="19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results of operations depend on, among other things, our ability to maintain and increase sales volume with our existing customers, to attract new consumers and to provide products that appeal to consumers at prices they are willing and able to pay. Our ability to implement our innovation, advertising, display and promotion activities that are designed to maintain and increase our sales volumes on a timely basis may be negatively affected as a result of modifications to retailer shelf reset timing or retailer pullback on in-store display and promotional activities during the COVID-19 outbreak or similar situations. Retailers may also alter their normal inventory receiving and product restocking practices during pandemics, epidemics or disease outbreaks such as COVID-19, which may negatively impact our business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Workforce limitations and travel restrictions resulting from pandemics, epidemics or disease outbreaks such as COVID-19 and related government actions may affect many aspects of our business. If a significant percentage of our workforce is unable to work, including because of illness or travel or government restrictions in connection with pandemics or disease outbreaks, our operations may be negatively affected. In addition, pandemics or disease outbreaks could result in a widespread health crisis that could adversely affect the economies and financial markets of many countries, resulting in an economic downturn that could affect customers’ demand for our products.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Adverse and uncertain economic conditions, such as decreases in per capita income and level of disposable income, increased unemployment or a decline in consumer confidence as a result of the COVID-19 outbreak or similar situations, could have an adverse effect on distributor, retailer and consumer demand for our products. Consumers may shift purchases to lower-priced or other perceived value offerings during economic downturns. Prolonged unfavorable economic conditions, including as a result of COVID-19 or similar outbreaks, and any resulting recession or slowed economic growth, may have an adverse effect on our sales and profitability.</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efforts to manage and mitigate these factors may be unsuccessful, and the effectiveness of these efforts depends on factors beyond our control, including the duration and severity of any pandemic, epidemic or disease outbreak, as well as third party actions taken to contain its spread and mitigate public health effects.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337" w:right="339" w:bottom="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39"/>
          </w:cols>
          <w:pgMar w:left="320" w:top="337"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7"/>
                <w:szCs w:val="17"/>
                <w:color w:val="auto"/>
              </w:rPr>
            </w:pPr>
          </w:p>
        </w:tc>
        <w:tc>
          <w:tcPr>
            <w:tcW w:w="10300" w:type="dxa"/>
            <w:vAlign w:val="bottom"/>
            <w:gridSpan w:val="3"/>
          </w:tcPr>
          <w:p>
            <w:pPr>
              <w:spacing w:after="0"/>
              <w:rPr>
                <w:sz w:val="20"/>
                <w:szCs w:val="20"/>
                <w:color w:val="auto"/>
              </w:rPr>
            </w:pPr>
            <w:r>
              <w:rPr>
                <w:rFonts w:ascii="Arial" w:cs="Arial" w:eastAsia="Arial" w:hAnsi="Arial"/>
                <w:sz w:val="16"/>
                <w:szCs w:val="16"/>
                <w:b w:val="1"/>
                <w:bCs w:val="1"/>
                <w:color w:val="auto"/>
              </w:rPr>
              <w:t>Document</w:t>
            </w:r>
          </w:p>
        </w:tc>
      </w:tr>
      <w:tr>
        <w:trPr>
          <w:trHeight w:val="210"/>
        </w:trPr>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No.</w:t>
            </w:r>
          </w:p>
        </w:tc>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3"/>
        </w:trPr>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3"/>
        </w:trPr>
        <w:tc>
          <w:tcPr>
            <w:tcW w:w="800" w:type="dxa"/>
            <w:vAlign w:val="bottom"/>
            <w:shd w:val="clear" w:color="auto" w:fill="CCEEFF"/>
          </w:tcPr>
          <w:p>
            <w:pPr>
              <w:ind w:left="40"/>
              <w:spacing w:after="0" w:line="183" w:lineRule="exact"/>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300" w:type="dxa"/>
            <w:vAlign w:val="bottom"/>
            <w:gridSpan w:val="3"/>
            <w:shd w:val="clear" w:color="auto" w:fill="CCEEFF"/>
          </w:tcPr>
          <w:p>
            <w:pPr>
              <w:spacing w:after="0" w:line="183" w:lineRule="exact"/>
              <w:rPr>
                <w:rFonts w:ascii="Arial" w:cs="Arial" w:eastAsia="Arial" w:hAnsi="Arial"/>
                <w:sz w:val="16"/>
                <w:szCs w:val="16"/>
                <w:color w:val="0000FF"/>
                <w:w w:val="95"/>
              </w:rPr>
            </w:pPr>
            <w:hyperlink r:id="rId25">
              <w:r>
                <w:rPr>
                  <w:rFonts w:ascii="Arial" w:cs="Arial" w:eastAsia="Arial" w:hAnsi="Arial"/>
                  <w:sz w:val="16"/>
                  <w:szCs w:val="16"/>
                  <w:color w:val="0000FF"/>
                  <w:w w:val="95"/>
                </w:rPr>
                <w:t>Second Amended and Restated Certificate of Incorporation of The Simply Good Foods Company (incorporated by reference to Exhibit 3.1 of our Current</w:t>
              </w:r>
            </w:hyperlink>
          </w:p>
        </w:tc>
      </w:tr>
      <w:tr>
        <w:trPr>
          <w:trHeight w:val="230"/>
        </w:trPr>
        <w:tc>
          <w:tcPr>
            <w:tcW w:w="8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120" w:type="dxa"/>
            <w:vAlign w:val="bottom"/>
            <w:tcBorders>
              <w:top w:val="single" w:sz="8" w:color="0000FF"/>
              <w:bottom w:val="single" w:sz="8" w:color="0000FF"/>
            </w:tcBorders>
            <w:shd w:val="clear" w:color="auto" w:fill="CCEEFF"/>
          </w:tcPr>
          <w:p>
            <w:pPr>
              <w:spacing w:after="0" w:line="183" w:lineRule="exact"/>
              <w:rPr>
                <w:rFonts w:ascii="Arial" w:cs="Arial" w:eastAsia="Arial" w:hAnsi="Arial"/>
                <w:sz w:val="16"/>
                <w:szCs w:val="16"/>
                <w:color w:val="0000FF"/>
                <w:w w:val="92"/>
              </w:rPr>
            </w:pPr>
            <w:hyperlink r:id="rId25">
              <w:r>
                <w:rPr>
                  <w:rFonts w:ascii="Arial" w:cs="Arial" w:eastAsia="Arial" w:hAnsi="Arial"/>
                  <w:sz w:val="16"/>
                  <w:szCs w:val="16"/>
                  <w:color w:val="0000FF"/>
                  <w:w w:val="92"/>
                </w:rPr>
                <w:t>Report on Form 8-K filed on January 27, 2020).</w:t>
              </w:r>
            </w:hyperlink>
          </w:p>
        </w:tc>
        <w:tc>
          <w:tcPr>
            <w:tcW w:w="714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3"/>
        </w:trPr>
        <w:tc>
          <w:tcPr>
            <w:tcW w:w="800" w:type="dxa"/>
            <w:vAlign w:val="bottom"/>
          </w:tcPr>
          <w:p>
            <w:pPr>
              <w:ind w:lef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00" w:type="dxa"/>
            <w:vAlign w:val="bottom"/>
            <w:gridSpan w:val="3"/>
          </w:tcPr>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Certification of Principal Executive Officer pursuant to Section 302 of the Sarbanes Oxley Act of 2002.</w:t>
              </w:r>
            </w:hyperlink>
          </w:p>
        </w:tc>
      </w:tr>
      <w:tr>
        <w:trPr>
          <w:trHeight w:val="47"/>
        </w:trPr>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71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300" w:type="dxa"/>
            <w:vAlign w:val="bottom"/>
            <w:tcBorders>
              <w:bottom w:val="single" w:sz="8" w:color="CCEEFF"/>
            </w:tcBorders>
            <w:gridSpan w:val="3"/>
            <w:shd w:val="clear" w:color="auto" w:fill="CCEEFF"/>
          </w:tcPr>
          <w:p>
            <w:pPr>
              <w:spacing w:after="0"/>
              <w:rPr>
                <w:rFonts w:ascii="Arial" w:cs="Arial" w:eastAsia="Arial" w:hAnsi="Arial"/>
                <w:sz w:val="16"/>
                <w:szCs w:val="16"/>
                <w:color w:val="0000FF"/>
              </w:rPr>
            </w:pPr>
            <w:hyperlink w:anchor="page42">
              <w:r>
                <w:rPr>
                  <w:rFonts w:ascii="Arial" w:cs="Arial" w:eastAsia="Arial" w:hAnsi="Arial"/>
                  <w:sz w:val="16"/>
                  <w:szCs w:val="16"/>
                  <w:u w:val="single" w:color="auto"/>
                  <w:color w:val="0000FF"/>
                </w:rPr>
                <w:t>Certification of Principal Financial Officer pursuant to Section 302 of the Sarbanes Oxley Act of 2002</w:t>
              </w:r>
              <w:r>
                <w:rPr>
                  <w:rFonts w:ascii="Arial" w:cs="Arial" w:eastAsia="Arial" w:hAnsi="Arial"/>
                  <w:sz w:val="16"/>
                  <w:szCs w:val="16"/>
                  <w:color w:val="0000FF"/>
                </w:rPr>
                <w:t>.</w:t>
              </w:r>
            </w:hyperlink>
          </w:p>
        </w:tc>
      </w:tr>
      <w:tr>
        <w:trPr>
          <w:trHeight w:val="224"/>
        </w:trPr>
        <w:tc>
          <w:tcPr>
            <w:tcW w:w="800" w:type="dxa"/>
            <w:vAlign w:val="bottom"/>
          </w:tcPr>
          <w:p>
            <w:pPr>
              <w:ind w:left="4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300" w:type="dxa"/>
            <w:vAlign w:val="bottom"/>
            <w:gridSpan w:val="3"/>
          </w:tcPr>
          <w:p>
            <w:pPr>
              <w:spacing w:after="0"/>
              <w:rPr>
                <w:rFonts w:ascii="Arial" w:cs="Arial" w:eastAsia="Arial" w:hAnsi="Arial"/>
                <w:sz w:val="16"/>
                <w:szCs w:val="16"/>
                <w:color w:val="0000FF"/>
              </w:rPr>
            </w:pPr>
            <w:hyperlink w:anchor="page43">
              <w:r>
                <w:rPr>
                  <w:rFonts w:ascii="Arial" w:cs="Arial" w:eastAsia="Arial" w:hAnsi="Arial"/>
                  <w:sz w:val="16"/>
                  <w:szCs w:val="16"/>
                  <w:u w:val="single" w:color="auto"/>
                  <w:color w:val="0000FF"/>
                </w:rPr>
                <w:t>Certification of Principal Executive Officer and Principal Financial Officer pursuant to Section 906 of the Sarbanes Oxley Act</w:t>
              </w:r>
              <w:r>
                <w:rPr>
                  <w:rFonts w:ascii="Arial" w:cs="Arial" w:eastAsia="Arial" w:hAnsi="Arial"/>
                  <w:sz w:val="16"/>
                  <w:szCs w:val="16"/>
                  <w:color w:val="0000FF"/>
                </w:rPr>
                <w:t>.</w:t>
              </w:r>
            </w:hyperlink>
          </w:p>
        </w:tc>
      </w:tr>
      <w:tr>
        <w:trPr>
          <w:trHeight w:val="46"/>
        </w:trPr>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71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101.INS</w:t>
            </w:r>
          </w:p>
        </w:tc>
        <w:tc>
          <w:tcPr>
            <w:tcW w:w="20" w:type="dxa"/>
            <w:vAlign w:val="bottom"/>
            <w:tcBorders>
              <w:bottom w:val="single" w:sz="8" w:color="CCEEFF"/>
            </w:tcBorders>
            <w:shd w:val="clear" w:color="auto" w:fill="CCEEFF"/>
          </w:tcPr>
          <w:p>
            <w:pPr>
              <w:spacing w:after="0"/>
              <w:rPr>
                <w:sz w:val="21"/>
                <w:szCs w:val="21"/>
                <w:color w:val="auto"/>
              </w:rPr>
            </w:pPr>
          </w:p>
        </w:tc>
        <w:tc>
          <w:tcPr>
            <w:tcW w:w="10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XBRL Instance Document</w:t>
            </w:r>
          </w:p>
        </w:tc>
      </w:tr>
      <w:tr>
        <w:trPr>
          <w:trHeight w:val="224"/>
        </w:trPr>
        <w:tc>
          <w:tcPr>
            <w:tcW w:w="920" w:type="dxa"/>
            <w:vAlign w:val="bottom"/>
            <w:gridSpan w:val="2"/>
          </w:tcPr>
          <w:p>
            <w:pPr>
              <w:ind w:left="4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9"/>
                <w:szCs w:val="19"/>
                <w:color w:val="auto"/>
              </w:rPr>
            </w:pP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Schema Document</w:t>
            </w:r>
          </w:p>
        </w:tc>
      </w:tr>
      <w:tr>
        <w:trPr>
          <w:trHeight w:val="46"/>
        </w:trPr>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71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101.CAL</w:t>
            </w:r>
          </w:p>
        </w:tc>
        <w:tc>
          <w:tcPr>
            <w:tcW w:w="20" w:type="dxa"/>
            <w:vAlign w:val="bottom"/>
            <w:tcBorders>
              <w:bottom w:val="single" w:sz="8" w:color="CCEEFF"/>
            </w:tcBorders>
            <w:shd w:val="clear" w:color="auto" w:fill="CCEEFF"/>
          </w:tcPr>
          <w:p>
            <w:pPr>
              <w:spacing w:after="0"/>
              <w:rPr>
                <w:sz w:val="21"/>
                <w:szCs w:val="21"/>
                <w:color w:val="auto"/>
              </w:rPr>
            </w:pPr>
          </w:p>
        </w:tc>
        <w:tc>
          <w:tcPr>
            <w:tcW w:w="10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24"/>
        </w:trPr>
        <w:tc>
          <w:tcPr>
            <w:tcW w:w="92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9"/>
                <w:szCs w:val="19"/>
                <w:color w:val="auto"/>
              </w:rPr>
            </w:pP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46"/>
        </w:trPr>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714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101.LAB</w:t>
            </w:r>
          </w:p>
        </w:tc>
        <w:tc>
          <w:tcPr>
            <w:tcW w:w="20" w:type="dxa"/>
            <w:vAlign w:val="bottom"/>
            <w:tcBorders>
              <w:bottom w:val="single" w:sz="8" w:color="CCEEFF"/>
            </w:tcBorders>
            <w:shd w:val="clear" w:color="auto" w:fill="CCEEFF"/>
          </w:tcPr>
          <w:p>
            <w:pPr>
              <w:spacing w:after="0"/>
              <w:rPr>
                <w:sz w:val="21"/>
                <w:szCs w:val="21"/>
                <w:color w:val="auto"/>
              </w:rPr>
            </w:pPr>
          </w:p>
        </w:tc>
        <w:tc>
          <w:tcPr>
            <w:tcW w:w="10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24"/>
        </w:trPr>
        <w:tc>
          <w:tcPr>
            <w:tcW w:w="920" w:type="dxa"/>
            <w:vAlign w:val="bottom"/>
            <w:gridSpan w:val="2"/>
          </w:tcPr>
          <w:p>
            <w:pPr>
              <w:ind w:left="4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9"/>
                <w:szCs w:val="19"/>
                <w:color w:val="auto"/>
              </w:rPr>
            </w:pPr>
          </w:p>
        </w:tc>
        <w:tc>
          <w:tcPr>
            <w:tcW w:w="10300" w:type="dxa"/>
            <w:vAlign w:val="bottom"/>
            <w:gridSpan w:val="3"/>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4" w:lineRule="exact"/>
        <w:rPr>
          <w:sz w:val="20"/>
          <w:szCs w:val="20"/>
          <w:color w:val="auto"/>
        </w:rPr>
      </w:pPr>
    </w:p>
    <w:p>
      <w:pPr>
        <w:ind w:left="940" w:hanging="905"/>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 and contained in Exhibit 101).</w:t>
      </w: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080"/>
        <w:spacing w:after="0"/>
        <w:rPr>
          <w:sz w:val="20"/>
          <w:szCs w:val="20"/>
          <w:color w:val="auto"/>
        </w:rPr>
      </w:pPr>
      <w:r>
        <w:rPr>
          <w:rFonts w:ascii="Arial" w:cs="Arial" w:eastAsia="Arial" w:hAnsi="Arial"/>
          <w:sz w:val="16"/>
          <w:szCs w:val="16"/>
          <w:b w:val="1"/>
          <w:bCs w:val="1"/>
          <w:color w:val="auto"/>
        </w:rPr>
        <w:t>THE SIMPLY GOOD FOODS COMPANY</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By: /s/ 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34925</wp:posOffset>
            </wp:positionV>
            <wp:extent cx="28975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53" w:lineRule="exact"/>
        <w:rPr>
          <w:sz w:val="20"/>
          <w:szCs w:val="20"/>
          <w:color w:val="auto"/>
        </w:rPr>
      </w:pPr>
    </w:p>
    <w:p>
      <w:pPr>
        <w:ind w:left="1660"/>
        <w:spacing w:after="0"/>
        <w:tabs>
          <w:tab w:leader="none" w:pos="2200" w:val="left"/>
          <w:tab w:leader="none" w:pos="4560" w:val="left"/>
        </w:tabs>
        <w:rPr>
          <w:sz w:val="20"/>
          <w:szCs w:val="20"/>
          <w:color w:val="auto"/>
        </w:rPr>
      </w:pPr>
      <w:r>
        <w:rPr>
          <w:rFonts w:ascii="Arial" w:cs="Arial" w:eastAsia="Arial" w:hAnsi="Arial"/>
          <w:sz w:val="16"/>
          <w:szCs w:val="16"/>
          <w:color w:val="auto"/>
        </w:rPr>
        <w:t>Date:</w:t>
        <w:tab/>
        <w:t>April 6, 2020</w:t>
      </w:r>
      <w:r>
        <w:rPr>
          <w:sz w:val="20"/>
          <w:szCs w:val="20"/>
          <w:color w:val="auto"/>
        </w:rPr>
        <w:tab/>
      </w:r>
      <w:r>
        <w:rPr>
          <w:rFonts w:ascii="Arial" w:cs="Arial" w:eastAsia="Arial" w:hAnsi="Arial"/>
          <w:sz w:val="15"/>
          <w:szCs w:val="15"/>
          <w:color w:val="auto"/>
        </w:rPr>
        <w:t>Name: Timothy A. Matthews</w:t>
      </w:r>
    </w:p>
    <w:p>
      <w:pPr>
        <w:spacing w:after="0" w:line="86"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Title: Vice President, Controller, and Chief Accounting Officer</w:t>
      </w:r>
    </w:p>
    <w:p>
      <w:pPr>
        <w:spacing w:after="0" w:line="86"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(Principal Accounting Officer)</w:t>
      </w:r>
    </w:p>
    <w:p>
      <w:pPr>
        <w:spacing w:after="0" w:line="27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20"/>
          </w:cols>
          <w:pgMar w:left="320" w:top="125" w:right="8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E. Scalzo, certify that:</w:t>
      </w:r>
    </w:p>
    <w:p>
      <w:pPr>
        <w:spacing w:after="0" w:line="22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4"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8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400" w:type="dxa"/>
            <w:vAlign w:val="bottom"/>
          </w:tcPr>
          <w:p>
            <w:pPr>
              <w:spacing w:after="0"/>
              <w:rPr>
                <w:sz w:val="20"/>
                <w:szCs w:val="20"/>
                <w:color w:val="auto"/>
              </w:rPr>
            </w:pPr>
            <w:r>
              <w:rPr>
                <w:rFonts w:ascii="Arial" w:cs="Arial" w:eastAsia="Arial" w:hAnsi="Arial"/>
                <w:sz w:val="16"/>
                <w:szCs w:val="16"/>
                <w:color w:val="auto"/>
              </w:rPr>
              <w:t>Date: April 6, 2020</w:t>
            </w:r>
          </w:p>
        </w:tc>
        <w:tc>
          <w:tcPr>
            <w:tcW w:w="740" w:type="dxa"/>
            <w:vAlign w:val="bottom"/>
          </w:tcPr>
          <w:p>
            <w:pPr>
              <w:ind w:left="16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740" w:type="dxa"/>
            <w:vAlign w:val="bottom"/>
            <w:vMerge w:val="restart"/>
          </w:tcPr>
          <w:p>
            <w:pPr>
              <w:ind w:left="16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E. Cunfer, certify that:</w:t>
      </w:r>
    </w:p>
    <w:p>
      <w:pPr>
        <w:spacing w:after="0" w:line="225" w:lineRule="exact"/>
        <w:rPr>
          <w:sz w:val="20"/>
          <w:szCs w:val="20"/>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Simply Good Foods Company (the "registrant");</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4"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656"/>
        <w:spacing w:after="0" w:line="308" w:lineRule="auto"/>
        <w:tabs>
          <w:tab w:leader="none" w:pos="88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firstLine="4"/>
        <w:spacing w:after="0" w:line="286" w:lineRule="auto"/>
        <w:tabs>
          <w:tab w:leader="none" w:pos="1873"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300" w:firstLine="4"/>
        <w:spacing w:after="0" w:line="263" w:lineRule="auto"/>
        <w:tabs>
          <w:tab w:leader="none" w:pos="172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300" w:firstLine="4"/>
        <w:spacing w:after="0" w:line="263" w:lineRule="auto"/>
        <w:tabs>
          <w:tab w:leader="none" w:pos="17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656"/>
        <w:spacing w:after="0" w:line="308" w:lineRule="auto"/>
        <w:tabs>
          <w:tab w:leader="none" w:pos="8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firstLine="4"/>
        <w:spacing w:after="0" w:line="308" w:lineRule="auto"/>
        <w:tabs>
          <w:tab w:leader="none" w:pos="1766"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firstLine="4"/>
        <w:spacing w:after="0" w:line="277" w:lineRule="auto"/>
        <w:tabs>
          <w:tab w:leader="none" w:pos="180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400" w:type="dxa"/>
            <w:vAlign w:val="bottom"/>
          </w:tcPr>
          <w:p>
            <w:pPr>
              <w:spacing w:after="0"/>
              <w:rPr>
                <w:sz w:val="20"/>
                <w:szCs w:val="20"/>
                <w:color w:val="auto"/>
              </w:rPr>
            </w:pPr>
            <w:r>
              <w:rPr>
                <w:rFonts w:ascii="Arial" w:cs="Arial" w:eastAsia="Arial" w:hAnsi="Arial"/>
                <w:sz w:val="16"/>
                <w:szCs w:val="16"/>
                <w:color w:val="auto"/>
              </w:rPr>
              <w:t>Date: April 6, 2020</w:t>
            </w:r>
          </w:p>
        </w:tc>
        <w:tc>
          <w:tcPr>
            <w:tcW w:w="740" w:type="dxa"/>
            <w:vAlign w:val="bottom"/>
          </w:tcPr>
          <w:p>
            <w:pPr>
              <w:ind w:left="16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740" w:type="dxa"/>
            <w:vAlign w:val="bottom"/>
            <w:vMerge w:val="restart"/>
          </w:tcPr>
          <w:p>
            <w:pPr>
              <w:ind w:left="16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of The Simply Good Foods Company (the “Company”) on Form 10-Q for the fiscal period ended February 29, 2020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187" w:lineRule="exact"/>
        <w:rPr>
          <w:sz w:val="20"/>
          <w:szCs w:val="20"/>
          <w:color w:val="auto"/>
        </w:rPr>
      </w:pPr>
    </w:p>
    <w:p>
      <w:pPr>
        <w:ind w:left="840" w:hanging="184"/>
        <w:spacing w:after="0"/>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right="20" w:firstLine="656"/>
        <w:spacing w:after="0" w:line="277" w:lineRule="auto"/>
        <w:tabs>
          <w:tab w:leader="none" w:pos="8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covered by the Report.</w:t>
      </w:r>
    </w:p>
    <w:p>
      <w:pPr>
        <w:spacing w:after="0" w:line="38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337" w:lineRule="exact"/>
        <w:rPr>
          <w:sz w:val="20"/>
          <w:szCs w:val="20"/>
          <w:color w:val="auto"/>
        </w:rPr>
      </w:pPr>
    </w:p>
    <w:tbl>
      <w:tblPr>
        <w:tblLayout w:type="fixed"/>
        <w:tblInd w:w="180" w:type="dxa"/>
        <w:tblCellMar>
          <w:top w:w="0" w:type="dxa"/>
          <w:left w:w="0" w:type="dxa"/>
          <w:bottom w:w="0" w:type="dxa"/>
          <w:right w:w="0" w:type="dxa"/>
        </w:tblCellMar>
      </w:tblPr>
      <w:tr>
        <w:trPr>
          <w:trHeight w:val="206"/>
        </w:trPr>
        <w:tc>
          <w:tcPr>
            <w:tcW w:w="1400" w:type="dxa"/>
            <w:vAlign w:val="bottom"/>
          </w:tcPr>
          <w:p>
            <w:pPr>
              <w:spacing w:after="0"/>
              <w:rPr>
                <w:sz w:val="20"/>
                <w:szCs w:val="20"/>
                <w:color w:val="auto"/>
              </w:rPr>
            </w:pPr>
            <w:r>
              <w:rPr>
                <w:rFonts w:ascii="Arial" w:cs="Arial" w:eastAsia="Arial" w:hAnsi="Arial"/>
                <w:sz w:val="16"/>
                <w:szCs w:val="16"/>
                <w:color w:val="auto"/>
              </w:rPr>
              <w:t>Date: April 6, 2020</w:t>
            </w:r>
          </w:p>
        </w:tc>
        <w:tc>
          <w:tcPr>
            <w:tcW w:w="740" w:type="dxa"/>
            <w:vAlign w:val="bottom"/>
          </w:tcPr>
          <w:p>
            <w:pPr>
              <w:ind w:left="16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Joseph E. Scalzo</w:t>
            </w: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740" w:type="dxa"/>
            <w:vAlign w:val="bottom"/>
            <w:vMerge w:val="restart"/>
          </w:tcPr>
          <w:p>
            <w:pPr>
              <w:ind w:left="16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Joseph E. Scalzo</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Executive Officer)</w:t>
            </w:r>
          </w:p>
        </w:tc>
        <w:tc>
          <w:tcPr>
            <w:tcW w:w="0" w:type="dxa"/>
            <w:vAlign w:val="bottom"/>
          </w:tcPr>
          <w:p>
            <w:pPr>
              <w:spacing w:after="0"/>
              <w:rPr>
                <w:sz w:val="1"/>
                <w:szCs w:val="1"/>
                <w:color w:val="auto"/>
              </w:rPr>
            </w:pPr>
          </w:p>
        </w:tc>
      </w:tr>
      <w:tr>
        <w:trPr>
          <w:trHeight w:val="594"/>
        </w:trPr>
        <w:tc>
          <w:tcPr>
            <w:tcW w:w="1400" w:type="dxa"/>
            <w:vAlign w:val="bottom"/>
          </w:tcPr>
          <w:p>
            <w:pPr>
              <w:spacing w:after="0"/>
              <w:rPr>
                <w:sz w:val="20"/>
                <w:szCs w:val="20"/>
                <w:color w:val="auto"/>
              </w:rPr>
            </w:pPr>
            <w:r>
              <w:rPr>
                <w:rFonts w:ascii="Arial" w:cs="Arial" w:eastAsia="Arial" w:hAnsi="Arial"/>
                <w:sz w:val="16"/>
                <w:szCs w:val="16"/>
                <w:color w:val="auto"/>
              </w:rPr>
              <w:t>Date: April 6, 2020</w:t>
            </w:r>
          </w:p>
        </w:tc>
        <w:tc>
          <w:tcPr>
            <w:tcW w:w="740" w:type="dxa"/>
            <w:vAlign w:val="bottom"/>
          </w:tcPr>
          <w:p>
            <w:pPr>
              <w:ind w:left="160"/>
              <w:spacing w:after="0"/>
              <w:rPr>
                <w:sz w:val="20"/>
                <w:szCs w:val="20"/>
                <w:color w:val="auto"/>
              </w:rPr>
            </w:pPr>
            <w:r>
              <w:rPr>
                <w:rFonts w:ascii="Arial" w:cs="Arial" w:eastAsia="Arial" w:hAnsi="Arial"/>
                <w:sz w:val="16"/>
                <w:szCs w:val="16"/>
                <w:color w:val="auto"/>
              </w:rPr>
              <w:t>By:</w:t>
            </w:r>
          </w:p>
        </w:tc>
        <w:tc>
          <w:tcPr>
            <w:tcW w:w="3640" w:type="dxa"/>
            <w:vAlign w:val="bottom"/>
          </w:tcPr>
          <w:p>
            <w:pPr>
              <w:ind w:left="40"/>
              <w:spacing w:after="0"/>
              <w:rPr>
                <w:sz w:val="20"/>
                <w:szCs w:val="20"/>
                <w:color w:val="auto"/>
              </w:rPr>
            </w:pPr>
            <w:r>
              <w:rPr>
                <w:rFonts w:ascii="Arial" w:cs="Arial" w:eastAsia="Arial" w:hAnsi="Arial"/>
                <w:sz w:val="16"/>
                <w:szCs w:val="16"/>
                <w:color w:val="auto"/>
              </w:rPr>
              <w:t>/s/ Todd E. Cunfer</w:t>
            </w:r>
          </w:p>
        </w:tc>
        <w:tc>
          <w:tcPr>
            <w:tcW w:w="0" w:type="dxa"/>
            <w:vAlign w:val="bottom"/>
          </w:tcPr>
          <w:p>
            <w:pPr>
              <w:spacing w:after="0"/>
              <w:rPr>
                <w:sz w:val="1"/>
                <w:szCs w:val="1"/>
                <w:color w:val="auto"/>
              </w:rPr>
            </w:pPr>
          </w:p>
        </w:tc>
      </w:tr>
      <w:tr>
        <w:trPr>
          <w:trHeight w:val="33"/>
        </w:trPr>
        <w:tc>
          <w:tcPr>
            <w:tcW w:w="1400" w:type="dxa"/>
            <w:vAlign w:val="bottom"/>
          </w:tcPr>
          <w:p>
            <w:pPr>
              <w:spacing w:after="0"/>
              <w:rPr>
                <w:sz w:val="2"/>
                <w:szCs w:val="2"/>
                <w:color w:val="auto"/>
              </w:rPr>
            </w:pPr>
          </w:p>
        </w:tc>
        <w:tc>
          <w:tcPr>
            <w:tcW w:w="740" w:type="dxa"/>
            <w:vAlign w:val="bottom"/>
            <w:vMerge w:val="restart"/>
          </w:tcPr>
          <w:p>
            <w:pPr>
              <w:ind w:left="160"/>
              <w:spacing w:after="0"/>
              <w:rPr>
                <w:sz w:val="20"/>
                <w:szCs w:val="20"/>
                <w:color w:val="auto"/>
              </w:rPr>
            </w:pPr>
            <w:r>
              <w:rPr>
                <w:rFonts w:ascii="Arial" w:cs="Arial" w:eastAsia="Arial" w:hAnsi="Arial"/>
                <w:sz w:val="16"/>
                <w:szCs w:val="16"/>
                <w:color w:val="auto"/>
              </w:rPr>
              <w:t>Name:</w:t>
            </w: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640" w:type="dxa"/>
            <w:vAlign w:val="bottom"/>
          </w:tcPr>
          <w:p>
            <w:pPr>
              <w:ind w:left="40"/>
              <w:spacing w:after="0"/>
              <w:rPr>
                <w:sz w:val="20"/>
                <w:szCs w:val="20"/>
                <w:color w:val="auto"/>
              </w:rPr>
            </w:pPr>
            <w:r>
              <w:rPr>
                <w:rFonts w:ascii="Arial" w:cs="Arial" w:eastAsia="Arial" w:hAnsi="Arial"/>
                <w:sz w:val="16"/>
                <w:szCs w:val="16"/>
                <w:color w:val="auto"/>
              </w:rPr>
              <w:t>Todd E. Cunfer</w:t>
            </w:r>
          </w:p>
        </w:tc>
        <w:tc>
          <w:tcPr>
            <w:tcW w:w="0" w:type="dxa"/>
            <w:vAlign w:val="bottom"/>
          </w:tcPr>
          <w:p>
            <w:pPr>
              <w:spacing w:after="0"/>
              <w:rPr>
                <w:sz w:val="1"/>
                <w:szCs w:val="1"/>
                <w:color w:val="auto"/>
              </w:rPr>
            </w:pPr>
          </w:p>
        </w:tc>
      </w:tr>
      <w:tr>
        <w:trPr>
          <w:trHeight w:val="256"/>
        </w:trPr>
        <w:tc>
          <w:tcPr>
            <w:tcW w:w="140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Title:</w:t>
            </w:r>
          </w:p>
        </w:tc>
        <w:tc>
          <w:tcPr>
            <w:tcW w:w="364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40" w:type="dxa"/>
            <w:vAlign w:val="bottom"/>
          </w:tcPr>
          <w:p>
            <w:pPr>
              <w:ind w:left="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931"/>
    </w:lvl>
    <w:lvl w:ilvl="1">
      <w:lvlJc w:val="left"/>
      <w:lvlText w:val="(%2)"/>
      <w:numFmt w:val="decimal"/>
      <w:start w:val="80"/>
    </w:lvl>
  </w:abstractNum>
  <w:abstractNum w:abstractNumId="3">
    <w:nsid w:val="140E0F76"/>
    <w:multiLevelType w:val="hybridMultilevel"/>
    <w:lvl w:ilvl="0">
      <w:lvlJc w:val="left"/>
      <w:lvlText w:val="(%1)"/>
      <w:numFmt w:val="decimal"/>
      <w:start w:val="157"/>
    </w:lvl>
  </w:abstractNum>
  <w:abstractNum w:abstractNumId="4">
    <w:nsid w:val="3352255A"/>
    <w:multiLevelType w:val="hybridMultilevel"/>
    <w:lvl w:ilvl="0">
      <w:lvlJc w:val="left"/>
      <w:lvlText w:val="\emdash "/>
      <w:numFmt w:val="bullet"/>
      <w:start w:val="1"/>
    </w:lvl>
  </w:abstractNum>
  <w:abstractNum w:abstractNumId="5">
    <w:nsid w:val="109CF92E"/>
    <w:multiLevelType w:val="hybridMultilevel"/>
    <w:lvl w:ilvl="0">
      <w:lvlJc w:val="left"/>
      <w:lvlText w:val="%1."/>
      <w:numFmt w:val="decimal"/>
      <w:start w:val="840"/>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5" Type="http://schemas.openxmlformats.org/officeDocument/2006/relationships/hyperlink" Target="http://www.sec.gov/Archives/edgar/data/1702744/000170274420000011/second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2020-04-06T16:31:09Z</dcterms:created>
  <dcterms:modified xsi:type="dcterms:W3CDTF">2020-04-06T16:31:09Z</dcterms:modified>
</cp:coreProperties>
</file>