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Garamond;serif" w:hAnsi="Garamond;serif"/>
          <w:b/>
          <w:color w:val="000000"/>
          <w:sz w:val="36"/>
        </w:rPr>
      </w:pPr>
      <w:r>
        <w:rPr>
          <w:rFonts w:ascii="Garamond;serif" w:hAnsi="Garamond;serif"/>
          <w:b/>
          <w:color w:val="000000"/>
          <w:sz w:val="36"/>
        </w:rPr>
        <w:t>UNITED STATES</w:t>
      </w:r>
    </w:p>
    <w:p>
      <w:pPr>
        <w:pStyle w:val="TextBody"/>
        <w:bidi w:val="0"/>
        <w:spacing w:lineRule="auto" w:line="288" w:before="0" w:after="0"/>
        <w:jc w:val="center"/>
        <w:rPr>
          <w:rFonts w:ascii="Garamond;serif" w:hAnsi="Garamond;serif"/>
          <w:b/>
          <w:color w:val="000000"/>
          <w:sz w:val="36"/>
        </w:rPr>
      </w:pPr>
      <w:r>
        <w:rPr>
          <w:rFonts w:ascii="Garamond;serif" w:hAnsi="Garamond;serif"/>
          <w:b/>
          <w:color w:val="000000"/>
          <w:sz w:val="36"/>
        </w:rPr>
        <w:t>SECURITIES AND EXCHANGE COMMISSION</w:t>
      </w:r>
    </w:p>
    <w:p>
      <w:pPr>
        <w:pStyle w:val="TextBody"/>
        <w:bidi w:val="0"/>
        <w:spacing w:lineRule="auto" w:line="288" w:before="0" w:after="0"/>
        <w:jc w:val="center"/>
        <w:rPr>
          <w:rFonts w:ascii="Garamond;serif" w:hAnsi="Garamond;serif"/>
          <w:b/>
          <w:color w:val="000000"/>
          <w:sz w:val="24"/>
        </w:rPr>
      </w:pPr>
      <w:r>
        <w:rPr>
          <w:rFonts w:ascii="Garamond;serif" w:hAnsi="Garamond;serif"/>
          <w:b/>
          <w:color w:val="000000"/>
          <w:sz w:val="24"/>
        </w:rPr>
        <w:t>WASHINGTON, D.C. 20549</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______________________________________________________</w:t>
      </w:r>
    </w:p>
    <w:p>
      <w:pPr>
        <w:pStyle w:val="TextBody"/>
        <w:bidi w:val="0"/>
        <w:spacing w:lineRule="auto" w:line="288" w:before="180" w:after="283"/>
        <w:jc w:val="center"/>
        <w:rPr>
          <w:rFonts w:ascii="Garamond;serif" w:hAnsi="Garamond;serif"/>
          <w:b/>
          <w:color w:val="000000"/>
          <w:sz w:val="32"/>
        </w:rPr>
      </w:pPr>
      <w:r>
        <w:rPr>
          <w:rFonts w:ascii="Garamond;serif" w:hAnsi="Garamond;serif"/>
          <w:b/>
          <w:color w:val="000000"/>
          <w:sz w:val="32"/>
        </w:rPr>
        <w:t xml:space="preserve">FORM 8-K </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Garamond;serif" w:hAnsi="Garamond;serif"/>
          <w:b/>
          <w:color w:val="000000"/>
          <w:sz w:val="26"/>
        </w:rPr>
      </w:pPr>
      <w:r>
        <w:rPr>
          <w:rFonts w:ascii="Garamond;serif" w:hAnsi="Garamond;serif"/>
          <w:b/>
          <w:color w:val="000000"/>
          <w:sz w:val="26"/>
        </w:rPr>
        <w:t>Current Report</w:t>
      </w:r>
    </w:p>
    <w:p>
      <w:pPr>
        <w:pStyle w:val="TextBody"/>
        <w:bidi w:val="0"/>
        <w:spacing w:before="0" w:after="0"/>
        <w:jc w:val="center"/>
        <w:rPr/>
      </w:pPr>
      <w:r>
        <w:rPr/>
      </w:r>
    </w:p>
    <w:p>
      <w:pPr>
        <w:pStyle w:val="TextBody"/>
        <w:bidi w:val="0"/>
        <w:spacing w:lineRule="auto" w:line="288" w:before="0" w:after="0"/>
        <w:jc w:val="center"/>
        <w:rPr>
          <w:rFonts w:ascii="Garamond;serif" w:hAnsi="Garamond;serif"/>
          <w:b/>
          <w:color w:val="000000"/>
          <w:sz w:val="24"/>
        </w:rPr>
      </w:pPr>
      <w:r>
        <w:rPr>
          <w:rFonts w:ascii="Garamond;serif" w:hAnsi="Garamond;serif"/>
          <w:b/>
          <w:color w:val="000000"/>
          <w:sz w:val="24"/>
        </w:rPr>
        <w:t xml:space="preserve">Pursuant to Section 13 or 15(d) of </w:t>
      </w:r>
    </w:p>
    <w:p>
      <w:pPr>
        <w:pStyle w:val="TextBody"/>
        <w:bidi w:val="0"/>
        <w:spacing w:lineRule="auto" w:line="288" w:before="0" w:after="0"/>
        <w:jc w:val="center"/>
        <w:rPr>
          <w:rFonts w:ascii="Garamond;serif" w:hAnsi="Garamond;serif"/>
          <w:b/>
          <w:color w:val="000000"/>
          <w:sz w:val="24"/>
        </w:rPr>
      </w:pPr>
      <w:r>
        <w:rPr>
          <w:rFonts w:ascii="Garamond;serif" w:hAnsi="Garamond;serif"/>
          <w:b/>
          <w:color w:val="000000"/>
          <w:sz w:val="24"/>
        </w:rPr>
        <w:t>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Garamond;serif" w:hAnsi="Garamond;serif"/>
          <w:b w:val="false"/>
          <w:color w:val="000000"/>
          <w:sz w:val="24"/>
        </w:rPr>
        <w:t>Date of Report (Date of earliest event reported):</w:t>
      </w:r>
      <w:r>
        <w:rPr>
          <w:color w:val="000000"/>
        </w:rPr>
        <w:t xml:space="preserve"> </w:t>
      </w:r>
      <w:r>
        <w:rPr>
          <w:rFonts w:ascii="Garamond;serif" w:hAnsi="Garamond;serif"/>
          <w:b/>
          <w:color w:val="000000"/>
          <w:sz w:val="24"/>
        </w:rPr>
        <w:t>October 27, 2026</w:t>
      </w:r>
    </w:p>
    <w:p>
      <w:pPr>
        <w:pStyle w:val="TextBody"/>
        <w:bidi w:val="0"/>
        <w:spacing w:lineRule="auto" w:line="288" w:before="0" w:after="0"/>
        <w:jc w:val="center"/>
        <w:rPr/>
      </w:pPr>
      <w:r>
        <w:rPr>
          <w:rFonts w:ascii="Garamond;serif" w:hAnsi="Garamond;serif"/>
          <w:b w:val="false"/>
          <w:color w:val="000000"/>
          <w:sz w:val="20"/>
        </w:rPr>
        <w:t>_______________________________________________________</w:t>
      </w:r>
      <w:r>
        <w:rPr>
          <w:color w:val="000000"/>
        </w:rPr>
        <w:t xml:space="preserve"> </w:t>
      </w:r>
    </w:p>
    <w:p>
      <w:pPr>
        <w:pStyle w:val="TextBody"/>
        <w:bidi w:val="0"/>
        <w:spacing w:lineRule="auto" w:line="288" w:before="0" w:after="0"/>
        <w:jc w:val="center"/>
        <w:rPr>
          <w:rFonts w:ascii="Garamond;serif" w:hAnsi="Garamond;serif"/>
          <w:b/>
          <w:color w:val="000000"/>
          <w:sz w:val="36"/>
        </w:rPr>
      </w:pPr>
      <w:r>
        <w:rPr>
          <w:rFonts w:ascii="Garamond;serif" w:hAnsi="Garamond;serif"/>
          <w:b/>
          <w:color w:val="000000"/>
          <w:sz w:val="36"/>
        </w:rPr>
        <w:t xml:space="preserve">The Simply Good Foods Company </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(Exact name of registrant as specified in its charter)</w:t>
      </w:r>
    </w:p>
    <w:p>
      <w:pPr>
        <w:pStyle w:val="TextBody"/>
        <w:bidi w:val="0"/>
        <w:spacing w:before="120" w:after="283"/>
        <w:jc w:val="center"/>
        <w:rPr/>
      </w:pPr>
      <w:r>
        <w:rPr/>
        <w:drawing>
          <wp:inline distT="0" distB="0" distL="0" distR="0">
            <wp:extent cx="1828800" cy="1409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409700"/>
                    </a:xfrm>
                    <a:prstGeom prst="rect">
                      <a:avLst/>
                    </a:prstGeom>
                  </pic:spPr>
                </pic:pic>
              </a:graphicData>
            </a:graphic>
          </wp:inline>
        </w:drawing>
      </w:r>
      <w:bookmarkStart w:id="0" w:name="i-1"/>
      <w:bookmarkEnd w:id="0"/>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_______________________________________________________</w:t>
      </w:r>
    </w:p>
    <w:tbl>
      <w:tblPr>
        <w:tblW w:w="8917" w:type="dxa"/>
        <w:jc w:val="center"/>
        <w:tblInd w:w="0" w:type="dxa"/>
        <w:tblLayout w:type="fixed"/>
        <w:tblCellMar>
          <w:top w:w="28" w:type="dxa"/>
          <w:left w:w="28" w:type="dxa"/>
          <w:bottom w:w="28" w:type="dxa"/>
          <w:right w:w="28" w:type="dxa"/>
        </w:tblCellMar>
      </w:tblPr>
      <w:tblGrid>
        <w:gridCol w:w="1134"/>
        <w:gridCol w:w="998"/>
        <w:gridCol w:w="1002"/>
        <w:gridCol w:w="109"/>
        <w:gridCol w:w="109"/>
        <w:gridCol w:w="109"/>
        <w:gridCol w:w="912"/>
        <w:gridCol w:w="912"/>
        <w:gridCol w:w="920"/>
        <w:gridCol w:w="109"/>
        <w:gridCol w:w="109"/>
        <w:gridCol w:w="109"/>
        <w:gridCol w:w="698"/>
        <w:gridCol w:w="698"/>
        <w:gridCol w:w="989"/>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7" w:after="283"/>
              <w:jc w:val="center"/>
              <w:rPr>
                <w:rFonts w:ascii="Garamond;serif" w:hAnsi="Garamond;serif"/>
                <w:b/>
                <w:color w:val="000000"/>
                <w:sz w:val="20"/>
              </w:rPr>
            </w:pPr>
            <w:r>
              <w:rPr>
                <w:rFonts w:ascii="Garamond;serif" w:hAnsi="Garamond;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7" w:after="283"/>
              <w:jc w:val="center"/>
              <w:rPr>
                <w:rFonts w:ascii="Garamond;serif" w:hAnsi="Garamond;serif"/>
                <w:b/>
                <w:color w:val="000000"/>
                <w:sz w:val="20"/>
              </w:rPr>
            </w:pPr>
            <w:r>
              <w:rPr>
                <w:rFonts w:ascii="Garamond;serif" w:hAnsi="Garamond;serif"/>
                <w:b/>
                <w:color w:val="000000"/>
                <w:sz w:val="20"/>
              </w:rPr>
              <w:t>001-38115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88" w:before="7" w:after="283"/>
              <w:jc w:val="center"/>
              <w:rPr>
                <w:rFonts w:ascii="Garamond;serif" w:hAnsi="Garamond;serif"/>
                <w:b/>
                <w:color w:val="000000"/>
                <w:sz w:val="20"/>
              </w:rPr>
            </w:pPr>
            <w:r>
              <w:rPr>
                <w:rFonts w:ascii="Garamond;serif" w:hAnsi="Garamond;serif"/>
                <w:b/>
                <w:color w:val="000000"/>
                <w:sz w:val="20"/>
              </w:rPr>
              <w:t>82-1038121</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7" w:after="283"/>
              <w:jc w:val="center"/>
              <w:rPr>
                <w:rFonts w:ascii="Garamond;serif" w:hAnsi="Garamond;serif"/>
                <w:b w:val="false"/>
                <w:color w:val="000000"/>
                <w:sz w:val="20"/>
              </w:rPr>
            </w:pPr>
            <w:r>
              <w:rPr>
                <w:rFonts w:ascii="Garamond;serif" w:hAnsi="Garamond;serif"/>
                <w:b w:val="false"/>
                <w:color w:val="000000"/>
                <w:sz w:val="20"/>
              </w:rPr>
              <w:t>(State or other jurisdiction of</w:t>
            </w:r>
          </w:p>
          <w:p>
            <w:pPr>
              <w:pStyle w:val="TableContents"/>
              <w:bidi w:val="0"/>
              <w:spacing w:lineRule="auto" w:line="288" w:before="7" w:after="283"/>
              <w:jc w:val="center"/>
              <w:rPr>
                <w:color w:val="000000"/>
              </w:rPr>
            </w:pPr>
            <w:r>
              <w:rPr>
                <w:color w:val="000000"/>
              </w:rPr>
              <w:t> </w:t>
            </w:r>
            <w:r>
              <w:rPr>
                <w:rFonts w:ascii="Garamond;serif" w:hAnsi="Garamond;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7" w:after="283"/>
              <w:jc w:val="center"/>
              <w:rPr>
                <w:rFonts w:ascii="Garamond;serif" w:hAnsi="Garamond;serif"/>
                <w:b w:val="false"/>
                <w:color w:val="000000"/>
                <w:sz w:val="20"/>
              </w:rPr>
            </w:pPr>
            <w:r>
              <w:rPr>
                <w:rFonts w:ascii="Garamond;serif" w:hAnsi="Garamond;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7" w:after="283"/>
              <w:jc w:val="center"/>
              <w:rPr>
                <w:rFonts w:ascii="Garamond;serif" w:hAnsi="Garamond;serif"/>
                <w:b w:val="false"/>
                <w:color w:val="000000"/>
                <w:sz w:val="20"/>
              </w:rPr>
            </w:pPr>
            <w:r>
              <w:rPr>
                <w:rFonts w:ascii="Garamond;serif" w:hAnsi="Garamond;serif"/>
                <w:b w:val="false"/>
                <w:color w:val="000000"/>
                <w:sz w:val="20"/>
              </w:rPr>
              <w:t>(I.R.S. Employer</w:t>
            </w:r>
          </w:p>
          <w:p>
            <w:pPr>
              <w:pStyle w:val="TableContents"/>
              <w:bidi w:val="0"/>
              <w:spacing w:lineRule="auto" w:line="288" w:before="7" w:after="283"/>
              <w:jc w:val="center"/>
              <w:rPr>
                <w:rFonts w:ascii="Garamond;serif" w:hAnsi="Garamond;serif"/>
                <w:b w:val="false"/>
                <w:color w:val="000000"/>
                <w:sz w:val="20"/>
              </w:rPr>
            </w:pPr>
            <w:r>
              <w:rPr>
                <w:rFonts w:ascii="Garamond;serif" w:hAnsi="Garamond;serif"/>
                <w:b w:val="false"/>
                <w:color w:val="000000"/>
                <w:sz w:val="20"/>
              </w:rPr>
              <w:t>Identification Number)</w:t>
            </w:r>
          </w:p>
        </w:tc>
      </w:tr>
    </w:tbl>
    <w:p>
      <w:pPr>
        <w:pStyle w:val="TextBody"/>
        <w:bidi w:val="0"/>
        <w:spacing w:before="0" w:after="0"/>
        <w:jc w:val="left"/>
        <w:rPr/>
      </w:pPr>
      <w:r>
        <w:rPr/>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 xml:space="preserve">1225 17th Street, Suite 1000 </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 xml:space="preserve">Denver, CO 80202 </w:t>
      </w:r>
    </w:p>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 xml:space="preserve">(Address of principal executive offices and zip code) </w:t>
      </w:r>
    </w:p>
    <w:p>
      <w:pPr>
        <w:pStyle w:val="TextBody"/>
        <w:bidi w:val="0"/>
        <w:spacing w:before="0" w:after="0"/>
        <w:jc w:val="center"/>
        <w:rPr/>
      </w:pPr>
      <w:r>
        <w:rPr/>
      </w:r>
    </w:p>
    <w:p>
      <w:pPr>
        <w:pStyle w:val="TextBody"/>
        <w:bidi w:val="0"/>
        <w:spacing w:lineRule="auto" w:line="288" w:before="0" w:after="0"/>
        <w:jc w:val="center"/>
        <w:rPr/>
      </w:pPr>
      <w:r>
        <w:rPr>
          <w:rFonts w:ascii="Garamond;serif" w:hAnsi="Garamond;serif"/>
          <w:b w:val="false"/>
          <w:color w:val="000000"/>
          <w:sz w:val="20"/>
        </w:rPr>
        <w:t>Registrant’s telephone number, including area code:</w:t>
      </w:r>
      <w:r>
        <w:rPr>
          <w:color w:val="000000"/>
        </w:rPr>
        <w:t xml:space="preserve"> </w:t>
      </w:r>
      <w:r>
        <w:rPr>
          <w:rFonts w:ascii="Garamond;serif" w:hAnsi="Garamond;serif"/>
          <w:b/>
          <w:color w:val="000000"/>
          <w:sz w:val="20"/>
        </w:rPr>
        <w:t xml:space="preserve">(303) 633-2840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ind w:left="0" w:right="0" w:hanging="405"/>
        <w:jc w:val="left"/>
        <w:rPr>
          <w:color w:val="000000"/>
        </w:rPr>
      </w:pPr>
      <w:r>
        <w:rPr>
          <w:color w:val="000000"/>
        </w:rPr>
        <w:t xml:space="preserve">☐ </w:t>
      </w:r>
      <w:r>
        <w:rPr>
          <w:rFonts w:ascii="Garamond;serif" w:hAnsi="Garamond;serif"/>
          <w:b w:val="false"/>
          <w:color w:val="000000"/>
          <w:sz w:val="20"/>
        </w:rPr>
        <w:t>Written communications pursuant to Rule 425 under the Securities Act (17 CFR 230.425)</w:t>
      </w:r>
    </w:p>
    <w:p>
      <w:pPr>
        <w:pStyle w:val="TextBody"/>
        <w:bidi w:val="0"/>
        <w:spacing w:lineRule="auto" w:line="288" w:before="0" w:after="0"/>
        <w:ind w:left="0" w:right="0" w:hanging="405"/>
        <w:jc w:val="left"/>
        <w:rPr>
          <w:color w:val="000000"/>
        </w:rPr>
      </w:pPr>
      <w:r>
        <w:rPr>
          <w:color w:val="000000"/>
        </w:rPr>
        <w:t xml:space="preserve">☐ </w:t>
      </w:r>
      <w:r>
        <w:rPr>
          <w:rFonts w:ascii="Garamond;serif" w:hAnsi="Garamond;serif"/>
          <w:b w:val="false"/>
          <w:color w:val="000000"/>
          <w:sz w:val="20"/>
        </w:rPr>
        <w:t>Soliciting material pursuant to Rule 14a-12 under the Exchange Act (17 CFR 240.14a-12)</w:t>
      </w:r>
    </w:p>
    <w:p>
      <w:pPr>
        <w:pStyle w:val="TextBody"/>
        <w:bidi w:val="0"/>
        <w:spacing w:lineRule="auto" w:line="288" w:before="0" w:after="0"/>
        <w:ind w:left="0" w:right="0" w:hanging="405"/>
        <w:jc w:val="left"/>
        <w:rPr>
          <w:color w:val="000000"/>
        </w:rPr>
      </w:pPr>
      <w:r>
        <w:rPr>
          <w:color w:val="000000"/>
        </w:rPr>
        <w:t xml:space="preserve">☐ </w:t>
      </w:r>
      <w:r>
        <w:rPr>
          <w:rFonts w:ascii="Garamond;serif" w:hAnsi="Garamond;serif"/>
          <w:b w:val="false"/>
          <w:color w:val="000000"/>
          <w:sz w:val="20"/>
        </w:rPr>
        <w:t>Pre-commencement communications pursuant to Rule 14d-2(b) under the Exchange Act (17 CFR 240.14d-2(b))</w:t>
      </w:r>
    </w:p>
    <w:p>
      <w:pPr>
        <w:pStyle w:val="TextBody"/>
        <w:bidi w:val="0"/>
        <w:spacing w:lineRule="auto" w:line="288" w:before="0" w:after="0"/>
        <w:ind w:left="0" w:right="0" w:hanging="405"/>
        <w:jc w:val="left"/>
        <w:rPr>
          <w:color w:val="000000"/>
        </w:rPr>
      </w:pPr>
      <w:r>
        <w:rPr>
          <w:color w:val="000000"/>
        </w:rPr>
        <w:t xml:space="preserve">☐ </w:t>
      </w:r>
      <w:r>
        <w:rPr>
          <w:rFonts w:ascii="Garamond;serif" w:hAnsi="Garamond;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30"/>
        <w:gridCol w:w="1220"/>
        <w:gridCol w:w="1227"/>
        <w:gridCol w:w="109"/>
        <w:gridCol w:w="109"/>
        <w:gridCol w:w="109"/>
        <w:gridCol w:w="510"/>
        <w:gridCol w:w="510"/>
        <w:gridCol w:w="512"/>
        <w:gridCol w:w="109"/>
        <w:gridCol w:w="109"/>
        <w:gridCol w:w="109"/>
        <w:gridCol w:w="1211"/>
        <w:gridCol w:w="1211"/>
        <w:gridCol w:w="1720"/>
      </w:tblGrid>
      <w:tr>
        <w:trPr/>
        <w:tc>
          <w:tcPr>
            <w:tcW w:w="143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3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Name of each exchange on which registered</w:t>
            </w:r>
          </w:p>
        </w:tc>
      </w:tr>
      <w:tr>
        <w:trPr/>
        <w:tc>
          <w:tcPr>
            <w:tcW w:w="3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SMPL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20"/>
              </w:rPr>
            </w:pPr>
            <w:r>
              <w:rPr>
                <w:rFonts w:ascii="Garamond;serif" w:hAnsi="Garamond;serif"/>
                <w:b w:val="false"/>
                <w:color w:val="000000"/>
                <w:sz w:val="20"/>
              </w:rPr>
              <w:t>Nasdaq</w:t>
            </w:r>
          </w:p>
        </w:tc>
      </w:tr>
    </w:tbl>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 xml:space="preserve">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Garamond;serif" w:hAnsi="Garamond;serif"/>
          <w:b/>
          <w:color w:val="000000"/>
          <w:sz w:val="22"/>
        </w:rPr>
      </w:pPr>
      <w:r>
        <w:rPr>
          <w:rFonts w:ascii="Garamond;serif" w:hAnsi="Garamond;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Garamond;serif" w:hAnsi="Garamond;serif"/>
          <w:b w:val="false"/>
          <w:color w:val="000000"/>
          <w:sz w:val="20"/>
        </w:rPr>
        <w:t>On October 27, 2026, The Simply Good Foods Company, a Delaware corporation (the “Company”), reported its results for the fourth quarter and full fiscal year ended August 29, 2026. The results are discussed in detail in the press release attached hereto as Exhibit 99.1. In addition, the Company has posted an investor presentation at www.thesimplygoodfoodscompany.com.</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Garamond;serif" w:hAnsi="Garamond;serif"/>
          <w:b w:val="false"/>
          <w:color w:val="000000"/>
          <w:sz w:val="20"/>
        </w:rPr>
        <w:t>The information in this item, including Exhibit 99.1, is being furnished, not filed. Accordingly, the information in this item will not be incorporated by reference into any registration statement unless specifically identified therein as being incorporated by reference therein.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Garamond;serif" w:hAnsi="Garamond;serif"/>
          <w:b w:val="false"/>
          <w:color w:val="000000"/>
          <w:sz w:val="20"/>
        </w:rPr>
        <w:t>Certain statements made herein are not historical facts but are forward-looking statements for purposes of the safe harbor provisions under The Private Securities Litigation Reform Act of 1995. Forward-looking statements generally are accompanied by or include words such as “will”, “expect”, “intends” or other similar words, phrases or expressions.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ability to achieve our estimates of OWYN’s net sales and Adjusted EBITDA and our anticipated synergies from the OWYN Acquisition, our net leverage ratio post-acquisition, our Adjusted EPS post-acquisition, our ability to maintain OWYN personnel and effectively integrate OWYN, our operations being dependent on changes in consumer preferences and purchasing habits regarding our products, a global supply chain and effects of supply chain constraints and inflationary pressure on us and our contract manufacturers, our ability to continue to operate at a profit or to maintain our margins, the effect pandemics or other global disruptions on our business, financial condition and results of operations,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loss of one or more members of our management team, potential for increased costs and harm to our business resulting from unauthorized access of the information technology systems we use in our business, expansion of our wellness platform and other risks and uncertainties indicated in the Company’s Form 10-K, Form 10-Q, and Form 8-K reports (including all amendments to those reports) filed with the U.S. Securities and Exchange Commission from time to time. In addition, forward-looking statements provide the Company’s expectations, plans or forecasts of future events and views as of the date of this communication. Except as required by law, the Company undertakes no obligation to update such statements to reflect events or circumstances arising after such date and cautions investors not to place undue reliance on any such forward-looking statements. These forward-looking statements should not be relied upon as representing the Company’s assessments as of any date subsequent to the date of this communication.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Garamond;serif" w:hAnsi="Garamond;serif"/>
          <w:b/>
          <w:color w:val="000000"/>
          <w:sz w:val="22"/>
        </w:rPr>
        <w:t>Item 9.01</w:t>
      </w:r>
      <w:r>
        <w:rPr>
          <w:color w:val="000000"/>
        </w:rPr>
        <w:t>    </w:t>
      </w:r>
      <w:r>
        <w:rPr>
          <w:rFonts w:ascii="Garamond;serif" w:hAnsi="Garamond;serif"/>
          <w:b/>
          <w:color w:val="000000"/>
          <w:sz w:val="22"/>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
        <w:jc w:val="left"/>
        <w:rPr>
          <w:rFonts w:ascii="Garamond;serif" w:hAnsi="Garamond;serif"/>
          <w:b w:val="false"/>
          <w:i/>
          <w:color w:val="000000"/>
          <w:sz w:val="22"/>
        </w:rPr>
      </w:pPr>
      <w:r>
        <w:rPr>
          <w:rFonts w:ascii="Garamond;serif" w:hAnsi="Garamond;serif"/>
          <w:b w:val="false"/>
          <w:i/>
          <w:color w:val="000000"/>
          <w:sz w:val="22"/>
        </w:rPr>
        <w:t>(d) Exhibits</w:t>
      </w:r>
    </w:p>
    <w:p>
      <w:pPr>
        <w:pStyle w:val="TextBody"/>
        <w:bidi w:val="0"/>
        <w:spacing w:lineRule="auto" w:line="288" w:before="0" w:after="0"/>
        <w:jc w:val="left"/>
        <w:rPr>
          <w:color w:val="000000"/>
        </w:rPr>
      </w:pPr>
      <w:r>
        <w:rPr>
          <w:color w:val="000000"/>
        </w:rPr>
        <w:t> </w:t>
      </w:r>
    </w:p>
    <w:tbl>
      <w:tblPr>
        <w:tblW w:w="9761" w:type="dxa"/>
        <w:jc w:val="center"/>
        <w:tblInd w:w="0" w:type="dxa"/>
        <w:tblLayout w:type="fixed"/>
        <w:tblCellMar>
          <w:top w:w="28" w:type="dxa"/>
          <w:left w:w="28" w:type="dxa"/>
          <w:bottom w:w="28" w:type="dxa"/>
          <w:right w:w="28" w:type="dxa"/>
        </w:tblCellMar>
      </w:tblPr>
      <w:tblGrid>
        <w:gridCol w:w="554"/>
        <w:gridCol w:w="487"/>
        <w:gridCol w:w="488"/>
        <w:gridCol w:w="109"/>
        <w:gridCol w:w="109"/>
        <w:gridCol w:w="109"/>
        <w:gridCol w:w="2311"/>
        <w:gridCol w:w="2311"/>
        <w:gridCol w:w="3283"/>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color w:val="000000"/>
                <w:sz w:val="22"/>
              </w:rPr>
            </w:pPr>
            <w:r>
              <w:rPr>
                <w:rFonts w:ascii="Garamond;serif" w:hAnsi="Garamond;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color w:val="000000"/>
                <w:sz w:val="22"/>
              </w:rPr>
            </w:pPr>
            <w:r>
              <w:rPr>
                <w:rFonts w:ascii="Garamond;serif" w:hAnsi="Garamond;serif"/>
                <w:b/>
                <w:color w:val="000000"/>
                <w:sz w:val="22"/>
              </w:rPr>
              <w:t>Description</w:t>
            </w:r>
          </w:p>
        </w:tc>
      </w:tr>
      <w:tr>
        <w:trPr/>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_pressreleasexq4x2026.htm">
              <w:r>
                <w:rPr>
                  <w:rStyle w:val="InternetLink"/>
                  <w:rFonts w:ascii="Garamond;serif" w:hAnsi="Garamond;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991_pressreleasexq4x2026.htm">
              <w:r>
                <w:rPr>
                  <w:rStyle w:val="InternetLink"/>
                  <w:rFonts w:ascii="Garamond;serif" w:hAnsi="Garamond;serif"/>
                  <w:b w:val="false"/>
                  <w:color w:val="0000FF"/>
                  <w:sz w:val="20"/>
                  <w:u w:val="single"/>
                </w:rPr>
                <w:t>Press Release dated October 27, 2026</w:t>
              </w:r>
            </w:hyperlink>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Garamond;serif" w:hAnsi="Garamond;serif"/>
          <w:b/>
          <w:color w:val="000000"/>
          <w:sz w:val="22"/>
        </w:rPr>
      </w:pPr>
      <w:r>
        <w:rPr>
          <w:rFonts w:ascii="Garamond;serif" w:hAnsi="Garamond;serif"/>
          <w:b/>
          <w:color w:val="000000"/>
          <w:sz w:val="22"/>
        </w:rPr>
        <w:t>SIGNATURE</w:t>
      </w:r>
    </w:p>
    <w:p>
      <w:pPr>
        <w:pStyle w:val="TextBody"/>
        <w:bidi w:val="0"/>
        <w:spacing w:lineRule="auto" w:line="417" w:before="0" w:after="0"/>
        <w:ind w:left="0" w:right="0" w:firstLine="720"/>
        <w:jc w:val="both"/>
        <w:rPr>
          <w:rFonts w:ascii="Garamond;serif" w:hAnsi="Garamond;serif"/>
          <w:b w:val="false"/>
          <w:color w:val="000000"/>
          <w:sz w:val="20"/>
        </w:rPr>
      </w:pPr>
      <w:r>
        <w:rPr>
          <w:rFonts w:ascii="Garamond;serif" w:hAnsi="Garamond;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pPr>
      <w:r>
        <w:rPr/>
      </w:r>
    </w:p>
    <w:tbl>
      <w:tblPr>
        <w:tblW w:w="7618" w:type="dxa"/>
        <w:jc w:val="left"/>
        <w:tblInd w:w="0" w:type="dxa"/>
        <w:tblLayout w:type="fixed"/>
        <w:tblCellMar>
          <w:top w:w="28" w:type="dxa"/>
          <w:left w:w="28" w:type="dxa"/>
          <w:bottom w:w="28" w:type="dxa"/>
          <w:right w:w="28" w:type="dxa"/>
        </w:tblCellMar>
      </w:tblPr>
      <w:tblGrid>
        <w:gridCol w:w="233"/>
        <w:gridCol w:w="205"/>
        <w:gridCol w:w="207"/>
        <w:gridCol w:w="599"/>
        <w:gridCol w:w="599"/>
        <w:gridCol w:w="601"/>
        <w:gridCol w:w="248"/>
        <w:gridCol w:w="248"/>
        <w:gridCol w:w="253"/>
        <w:gridCol w:w="1293"/>
        <w:gridCol w:w="1293"/>
        <w:gridCol w:w="1839"/>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Date: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October 27, 2026</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By:</w:t>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/s/ Christopher J. Bealer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Name:</w:t>
            </w:r>
          </w:p>
        </w:tc>
        <w:tc>
          <w:tcPr>
            <w:tcW w:w="4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Christopher J. Bealer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Title:</w:t>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20"/>
              </w:rPr>
            </w:pPr>
            <w:r>
              <w:rPr>
                <w:rFonts w:ascii="Garamond;serif" w:hAnsi="Garamond;serif"/>
                <w:b w:val="false"/>
                <w:i/>
                <w:color w:val="000000"/>
                <w:sz w:val="20"/>
              </w:rPr>
              <w:t>(Principal Financial and Accounting Officer)</w:t>
            </w:r>
          </w:p>
        </w:tc>
      </w:tr>
    </w:tbl>
    <w:p>
      <w:pPr>
        <w:pStyle w:val="TextBody"/>
        <w:bidi w:val="0"/>
        <w:ind w:left="0" w:right="0" w:hanging="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drawing>
          <wp:inline distT="0" distB="0" distL="0" distR="0">
            <wp:extent cx="1552575" cy="12001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552575" cy="1200150"/>
                    </a:xfrm>
                    <a:prstGeom prst="rect">
                      <a:avLst/>
                    </a:prstGeom>
                  </pic:spPr>
                </pic:pic>
              </a:graphicData>
            </a:graphic>
          </wp:inline>
        </w:drawing>
      </w:r>
    </w:p>
    <w:p>
      <w:pPr>
        <w:pStyle w:val="TextBody"/>
        <w:bidi w:val="0"/>
        <w:spacing w:lineRule="auto" w:line="288" w:before="120" w:after="120"/>
        <w:jc w:val="center"/>
        <w:rPr>
          <w:rFonts w:ascii="Garamond;serif" w:hAnsi="Garamond;serif"/>
          <w:b/>
          <w:color w:val="000000"/>
          <w:sz w:val="28"/>
        </w:rPr>
      </w:pPr>
      <w:r>
        <w:rPr>
          <w:rFonts w:ascii="Garamond;serif" w:hAnsi="Garamond;serif"/>
          <w:b/>
          <w:color w:val="000000"/>
          <w:sz w:val="28"/>
        </w:rPr>
        <w:t>The Simply Good Foods Company Reports Fiscal Fourth Quarter</w:t>
      </w:r>
    </w:p>
    <w:p>
      <w:pPr>
        <w:pStyle w:val="TextBody"/>
        <w:bidi w:val="0"/>
        <w:spacing w:lineRule="auto" w:line="288" w:before="120" w:after="120"/>
        <w:jc w:val="center"/>
        <w:rPr>
          <w:rFonts w:ascii="Garamond;serif" w:hAnsi="Garamond;serif"/>
          <w:b/>
          <w:color w:val="000000"/>
          <w:sz w:val="28"/>
        </w:rPr>
      </w:pPr>
      <w:r>
        <w:rPr>
          <w:rFonts w:ascii="Garamond;serif" w:hAnsi="Garamond;serif"/>
          <w:b/>
          <w:color w:val="000000"/>
          <w:sz w:val="28"/>
        </w:rPr>
        <w:t>and Full Fiscal Year 2026 Financial Results and Provides Fiscal Year 2027 Outlook</w:t>
      </w:r>
    </w:p>
    <w:p>
      <w:pPr>
        <w:pStyle w:val="TextBody"/>
        <w:bidi w:val="0"/>
        <w:spacing w:before="0" w:after="0"/>
        <w:jc w:val="center"/>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 xml:space="preserve">Denver, CO, October 27, 2026 - The Simply Good Foods Company (Nasdaq: SMPL) (“Simply Good Foods,” or the “Company”), a leader in the Nutritional Snacking category, today reported financial results for the thirteen and fifty-two weeks ended August 29, 2026. </w:t>
      </w:r>
    </w:p>
    <w:p>
      <w:pPr>
        <w:pStyle w:val="TextBody"/>
        <w:bidi w:val="0"/>
        <w:spacing w:before="0" w:after="0"/>
        <w:jc w:val="both"/>
        <w:rPr/>
      </w:pPr>
      <w:r>
        <w:rPr/>
      </w:r>
    </w:p>
    <w:p>
      <w:pPr>
        <w:pStyle w:val="TextBody"/>
        <w:bidi w:val="0"/>
        <w:spacing w:lineRule="auto" w:line="288" w:before="0" w:after="0"/>
        <w:jc w:val="both"/>
        <w:rPr/>
      </w:pPr>
      <w:r>
        <w:rPr>
          <w:rFonts w:ascii="Garamond;serif" w:hAnsi="Garamond;serif"/>
          <w:b/>
          <w:color w:val="000000"/>
          <w:sz w:val="20"/>
        </w:rPr>
        <w:t>Fourth Quarter Summary:</w:t>
      </w:r>
      <w:r>
        <w:rPr>
          <w:rFonts w:ascii="Garamond;serif" w:hAnsi="Garamond;serif"/>
          <w:b/>
          <w:color w:val="000000"/>
          <w:sz w:val="13"/>
        </w:rPr>
        <w:t>(1)</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Net sales of $333.3 million</w:t>
      </w:r>
      <w:r>
        <w:rPr>
          <w:color w:val="000000"/>
        </w:rPr>
        <w:t xml:space="preserve"> </w:t>
      </w:r>
      <w:r>
        <w:rPr>
          <w:rFonts w:ascii="Garamond;serif" w:hAnsi="Garamond;serif"/>
          <w:b/>
          <w:color w:val="000000"/>
          <w:sz w:val="20"/>
        </w:rPr>
        <w:t>versus $369.0 million</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Net income of $30.5 million versus net loss of $12.4 million</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Earnings per diluted share of $0.34 versus loss per diluted share of $0.12</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Adjusted Diluted EPS</w:t>
      </w:r>
      <w:r>
        <w:rPr>
          <w:rFonts w:ascii="Garamond;serif" w:hAnsi="Garamond;serif"/>
          <w:b/>
          <w:color w:val="000000"/>
          <w:sz w:val="13"/>
        </w:rPr>
        <w:t xml:space="preserve">(2) </w:t>
      </w:r>
      <w:r>
        <w:rPr>
          <w:rFonts w:ascii="Garamond;serif" w:hAnsi="Garamond;serif"/>
          <w:b/>
          <w:color w:val="000000"/>
          <w:sz w:val="20"/>
        </w:rPr>
        <w:t>of $0.44 versus $0.46</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Adjusted EBITDA</w:t>
      </w:r>
      <w:r>
        <w:rPr>
          <w:rFonts w:ascii="Garamond;serif" w:hAnsi="Garamond;serif"/>
          <w:b/>
          <w:color w:val="000000"/>
          <w:sz w:val="13"/>
        </w:rPr>
        <w:t>(3)</w:t>
      </w:r>
      <w:r>
        <w:rPr>
          <w:color w:val="000000"/>
        </w:rPr>
        <w:t xml:space="preserve"> </w:t>
      </w:r>
      <w:r>
        <w:rPr>
          <w:rFonts w:ascii="Garamond;serif" w:hAnsi="Garamond;serif"/>
          <w:b/>
          <w:color w:val="000000"/>
          <w:sz w:val="20"/>
        </w:rPr>
        <w:t>$57.5 million versus $66.2 million</w:t>
      </w:r>
    </w:p>
    <w:p>
      <w:pPr>
        <w:pStyle w:val="TextBody"/>
        <w:bidi w:val="0"/>
        <w:spacing w:lineRule="auto" w:line="288" w:before="0" w:after="0"/>
        <w:jc w:val="both"/>
        <w:rPr/>
      </w:pPr>
      <w:r>
        <w:rPr>
          <w:rFonts w:ascii="Garamond;serif" w:hAnsi="Garamond;serif"/>
          <w:b/>
          <w:color w:val="000000"/>
          <w:sz w:val="20"/>
        </w:rPr>
        <w:t>Fiscal Year 2027</w:t>
      </w:r>
      <w:r>
        <w:rPr>
          <w:rFonts w:ascii="Garamond;serif" w:hAnsi="Garamond;serif"/>
          <w:b/>
          <w:color w:val="000000"/>
          <w:sz w:val="13"/>
        </w:rPr>
        <w:t>(4)</w:t>
      </w:r>
      <w:r>
        <w:rPr>
          <w:color w:val="000000"/>
        </w:rPr>
        <w:t xml:space="preserve"> </w:t>
      </w:r>
      <w:r>
        <w:rPr>
          <w:rFonts w:ascii="Garamond;serif" w:hAnsi="Garamond;serif"/>
          <w:b/>
          <w:color w:val="000000"/>
          <w:sz w:val="20"/>
        </w:rPr>
        <w:t>Outlook:</w:t>
      </w:r>
    </w:p>
    <w:p>
      <w:pPr>
        <w:pStyle w:val="TextBody"/>
        <w:bidi w:val="0"/>
        <w:spacing w:lineRule="auto" w:line="288" w:before="0" w:after="0"/>
        <w:ind w:left="0" w:right="0" w:firstLine="90"/>
        <w:jc w:val="both"/>
        <w:rPr/>
      </w:pPr>
      <w:r>
        <w:rPr>
          <w:color w:val="000000"/>
        </w:rPr>
        <w:t>•</w:t>
      </w:r>
      <w:r>
        <w:rPr>
          <w:rFonts w:ascii="Garamond;serif" w:hAnsi="Garamond;serif"/>
          <w:b/>
          <w:color w:val="000000"/>
          <w:sz w:val="20"/>
        </w:rPr>
        <w:t>Net sales expected to decline between 13% and 17% year-over-year</w:t>
      </w:r>
    </w:p>
    <w:p>
      <w:pPr>
        <w:pStyle w:val="TextBody"/>
        <w:bidi w:val="0"/>
        <w:spacing w:lineRule="auto" w:line="288" w:before="0" w:after="0"/>
        <w:ind w:left="0" w:right="0" w:firstLine="90"/>
        <w:jc w:val="both"/>
        <w:rPr/>
      </w:pPr>
      <w:r>
        <w:rPr>
          <w:color w:val="000000"/>
        </w:rPr>
        <w:t>•</w:t>
      </w:r>
      <w:r>
        <w:rPr>
          <w:rFonts w:ascii="Garamond;serif" w:hAnsi="Garamond;serif"/>
          <w:b/>
          <w:color w:val="000000"/>
          <w:sz w:val="20"/>
        </w:rPr>
        <w:t>Gross margins (GAAP) expected to increase between 250 and 300 basis points year-over-year</w:t>
      </w:r>
    </w:p>
    <w:p>
      <w:pPr>
        <w:pStyle w:val="TextBody"/>
        <w:bidi w:val="0"/>
        <w:spacing w:lineRule="auto" w:line="288" w:before="0" w:after="0"/>
        <w:jc w:val="both"/>
        <w:rPr/>
      </w:pPr>
      <w:r>
        <w:rPr>
          <w:color w:val="000000"/>
        </w:rPr>
        <w:t>•</w:t>
      </w:r>
      <w:r>
        <w:rPr>
          <w:rFonts w:ascii="Garamond;serif" w:hAnsi="Garamond;serif"/>
          <w:b/>
          <w:color w:val="000000"/>
          <w:sz w:val="20"/>
        </w:rPr>
        <w:t>Adjusted EBITDA</w:t>
      </w:r>
      <w:r>
        <w:rPr>
          <w:color w:val="000000"/>
        </w:rPr>
        <w:t xml:space="preserve"> </w:t>
      </w:r>
      <w:r>
        <w:rPr>
          <w:rFonts w:ascii="Garamond;serif" w:hAnsi="Garamond;serif"/>
          <w:b/>
          <w:color w:val="000000"/>
          <w:sz w:val="20"/>
        </w:rPr>
        <w:t>expected to decline between 9% and 14% year-over-year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Garamond;serif" w:hAnsi="Garamond;serif"/>
          <w:b w:val="false"/>
          <w:color w:val="000000"/>
          <w:sz w:val="20"/>
        </w:rPr>
        <w:t>Fiscal 2026 was a year of decisive action. We recognized that our performance was not where it needed to be and moved quickly to reset the business. We aligned the organization around a focused set of priorities, accelerated work to improve our cost structure, strengthened our financial flexibility, and overhauled our marketing approach across Quest, Atkins, and OWYN. We delivered on the modest financial commitments we made following our second quarter reset, continued to generate significant cash flow despite lower net sales, and completed much of the foundational work necessary to improve the long-term trajectory of the business,” said Joe Scalzo, President and Chief Executive Officer.</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Scalzo continued, “Fiscal 2027 will be a challenging but important year in our turnaround. While we expect significant declines in net sales and Adjusted EBITDA, we are taking the actions necessary to restore the economic foundation of the business and rebuild brand momentum. We are reinvesting a portion of our margin recovery behind our brands, with new marketing strategies designed to strengthen consumer connection and improve underlying brand health. We expect performance to improve over the course of the year as our marketing investments take hold, the volume impact of pricing eases, and year-over-year comparisons become more favorable. We believe these actions will position us to exit fiscal 2027 with stronger momentum, improved profitability, and a healthier foundation for long-term growth.”</w:t>
      </w:r>
    </w:p>
    <w:p>
      <w:pPr>
        <w:pStyle w:val="TextBody"/>
        <w:bidi w:val="0"/>
        <w:spacing w:before="0" w:after="0"/>
        <w:jc w:val="both"/>
        <w:rPr/>
      </w:pPr>
      <w:r>
        <w:rPr/>
      </w:r>
    </w:p>
    <w:p>
      <w:pPr>
        <w:pStyle w:val="TextBody"/>
        <w:bidi w:val="0"/>
        <w:spacing w:lineRule="auto" w:line="288" w:before="0" w:after="0"/>
        <w:jc w:val="left"/>
        <w:rPr/>
      </w:pPr>
      <w:r>
        <w:rPr>
          <w:rFonts w:ascii="Garamond;serif" w:hAnsi="Garamond;serif"/>
          <w:b/>
          <w:color w:val="000000"/>
          <w:sz w:val="20"/>
        </w:rPr>
        <w:t>Fourth Quarter 2026 Results</w:t>
      </w:r>
      <w:r>
        <w:rPr>
          <w:rFonts w:ascii="Garamond;serif" w:hAnsi="Garamond;serif"/>
          <w:b/>
          <w:color w:val="000000"/>
          <w:sz w:val="13"/>
        </w:rPr>
        <w:t>(1)</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sales of $333.3 million decreased $35.7 million, or 9.7%, versus the comparable year ago period driven by a decline for Atkins and OWYN of 14.9% and 20.6%, respectively. The Company's net sales performance was largely driven by softer retail takeaway and velocity-related distribution pressure.</w:t>
      </w:r>
    </w:p>
    <w:p>
      <w:pPr>
        <w:pStyle w:val="TextBody"/>
        <w:bidi w:val="0"/>
        <w:spacing w:before="0" w:after="0"/>
        <w:jc w:val="both"/>
        <w:rPr/>
      </w:pPr>
      <w:r>
        <w:rPr/>
      </w:r>
    </w:p>
    <w:p>
      <w:pPr>
        <w:pStyle w:val="TextBody"/>
        <w:bidi w:val="0"/>
        <w:spacing w:lineRule="auto" w:line="288" w:before="0" w:after="0"/>
        <w:jc w:val="both"/>
        <w:rPr/>
      </w:pPr>
      <w:r>
        <w:rPr>
          <w:rFonts w:ascii="Garamond;serif" w:hAnsi="Garamond;serif"/>
          <w:b w:val="false"/>
          <w:color w:val="000000"/>
          <w:sz w:val="20"/>
        </w:rPr>
        <w:t>Total Simply Good Foods fourth quarter retail takeaway</w:t>
      </w:r>
      <w:r>
        <w:rPr>
          <w:rFonts w:ascii="Garamond;serif" w:hAnsi="Garamond;serif"/>
          <w:b w:val="false"/>
          <w:color w:val="000000"/>
          <w:sz w:val="13"/>
        </w:rPr>
        <w:t>(5)</w:t>
      </w:r>
      <w:r>
        <w:rPr>
          <w:color w:val="000000"/>
        </w:rPr>
        <w:t xml:space="preserve"> </w:t>
      </w:r>
      <w:r>
        <w:rPr>
          <w:rFonts w:ascii="Garamond;serif" w:hAnsi="Garamond;serif"/>
          <w:b w:val="false"/>
          <w:color w:val="000000"/>
          <w:sz w:val="20"/>
        </w:rPr>
        <w:t>decreased about 8% driven by declines for Atkins, OWYN, and Quest of approximately 23%, 7%, and 2%, respectively.</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 xml:space="preserve">Gross profit of $113.3 million decreased 10.5% versus the comparable year ago period, driven by volume declines, higher input costs, and restructuring costs. Gross margin was 34.0%, a decline of 30 basis points versus prior year, which was largely driven by higher input costs. </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0"/>
        </w:rPr>
      </w:pPr>
      <w:r>
        <w:rPr>
          <w:rFonts w:ascii="Garamond;serif" w:hAnsi="Garamond;serif"/>
          <w:b w:val="false"/>
          <w:color w:val="000000"/>
          <w:sz w:val="20"/>
        </w:rPr>
        <w:t>Selling and marketing expenses were $32.4 million for both the fiscal fourth quarter and comparable year ago period.</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 xml:space="preserve">General and administrative ("G&amp;A") expenses of $30.6 million, which contain $1.9 million in restructuring costs, decreased 24.8% versus the comparable year ago period, which includes $8.7 million of integration expenses. </w:t>
      </w:r>
    </w:p>
    <w:p>
      <w:pPr>
        <w:pStyle w:val="TextBody"/>
        <w:bidi w:val="0"/>
        <w:spacing w:before="0" w:after="0"/>
        <w:jc w:val="both"/>
        <w:rPr/>
      </w:pPr>
      <w:r>
        <w:rPr/>
      </w:r>
    </w:p>
    <w:p>
      <w:pPr>
        <w:pStyle w:val="TextBody"/>
        <w:bidi w:val="0"/>
        <w:spacing w:lineRule="auto" w:line="288"/>
        <w:jc w:val="both"/>
        <w:rPr>
          <w:rFonts w:ascii="Garamond;serif" w:hAnsi="Garamond;serif"/>
          <w:b w:val="false"/>
          <w:color w:val="000000"/>
          <w:sz w:val="20"/>
        </w:rPr>
      </w:pPr>
      <w:r>
        <w:rPr>
          <w:rFonts w:ascii="Garamond;serif" w:hAnsi="Garamond;serif"/>
          <w:b w:val="false"/>
          <w:color w:val="000000"/>
          <w:sz w:val="20"/>
        </w:rPr>
        <w:t>Net interest expense of $4.7 million reflected a 28.7% increase versus the comparable year ago period due to a higher debt balance.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effective tax rate was 25.6%.</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income of $30.5 million compared to net loss of $12.4 million for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Adjusted EBITDA of $57.5 million decreased 13.2% versus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 xml:space="preserve">Reported earnings per diluted share was $0.34 versus reported loss per diluted share of $0.12 in the comparable year ago period. </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Adjusted Diluted EPS was $0.44 versus $0.46 in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Weighted average diluted shares outstanding of 88.5 million declined modestly versus the comparable year ago period, reflecting share repurchases.</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Fiscal Year 2026 Summary:</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Net sales were $1,356.5 million versus $1,450.9 million</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Net loss of $155.9 million versus net income of $103.6 million</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Loss per diluted share of $1.69 versus earnings per diluted share of $1.02</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Adjusted Diluted EPS</w:t>
      </w:r>
      <w:r>
        <w:rPr>
          <w:rFonts w:ascii="Garamond;serif" w:hAnsi="Garamond;serif"/>
          <w:b/>
          <w:color w:val="000000"/>
          <w:sz w:val="13"/>
        </w:rPr>
        <w:t xml:space="preserve">(2) </w:t>
      </w:r>
      <w:r>
        <w:rPr>
          <w:rFonts w:ascii="Garamond;serif" w:hAnsi="Garamond;serif"/>
          <w:b/>
          <w:color w:val="000000"/>
          <w:sz w:val="20"/>
        </w:rPr>
        <w:t>of $1.70 versus $1.92</w:t>
      </w:r>
    </w:p>
    <w:p>
      <w:pPr>
        <w:pStyle w:val="TextBody"/>
        <w:bidi w:val="0"/>
        <w:spacing w:lineRule="auto" w:line="288" w:before="0" w:after="0"/>
        <w:ind w:left="0" w:right="0" w:hanging="360"/>
        <w:jc w:val="both"/>
        <w:rPr/>
      </w:pPr>
      <w:r>
        <w:rPr>
          <w:color w:val="000000"/>
        </w:rPr>
        <w:t>•</w:t>
      </w:r>
      <w:r>
        <w:rPr>
          <w:rFonts w:ascii="Garamond;serif" w:hAnsi="Garamond;serif"/>
          <w:b/>
          <w:color w:val="000000"/>
          <w:sz w:val="20"/>
        </w:rPr>
        <w:t>Adjusted EBITDA</w:t>
      </w:r>
      <w:r>
        <w:rPr>
          <w:rFonts w:ascii="Garamond;serif" w:hAnsi="Garamond;serif"/>
          <w:b/>
          <w:color w:val="000000"/>
          <w:sz w:val="13"/>
        </w:rPr>
        <w:t xml:space="preserve">(3) </w:t>
      </w:r>
      <w:r>
        <w:rPr>
          <w:rFonts w:ascii="Garamond;serif" w:hAnsi="Garamond;serif"/>
          <w:b/>
          <w:color w:val="000000"/>
          <w:sz w:val="20"/>
        </w:rPr>
        <w:t>of $225.9 million versus $278.2 million</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sales of $1,356.5 million decreased 6.5% versus the comparable year ago period, driven by declines for Atkins and OWYN of 20.9% and 9.7%, respectively, partially offset by Quest growth of 0.7%. Atkins distribution-related declines were largely as expected. OWYN's net sales decline was the result of poor velocities, including on newly expanded distribution.</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Total Simply Good Foods retail takeaway decreased approximately 5% driven by declines for Atkins of approximately 22%, partially offset by Quest and OWYN growth of about 3% and 1% respectively.</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Gross profit of $442.4 million decreased 15.9% versus the comparable year ago period, driven by higher input costs. Gross margin was 32.6%, a 360-basis point decline versus the comparable year ago period, driven mainly by $6.5 million of one-time OWYN integration expenses and $5.7 million of restructuring costs.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Selling and marketing expenses of $129.4 million decreased 3.6% versus the comparable year ago period driven by planned marketing declines for Atkins, which more than offset increases to support growth for Quest and OWYN.</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G&amp;A expenses of $143.9 million, which includes restructuring costs of $12.7 million, integration expenses of $4.1 million, and term loan transaction fees of $3.0 million, decreased 7.7% versus the comparable year ago period, which included $20.5 million of integration expenses and $0.7 million of term loan transaction fees.</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As part of the Company's process to evaluate the carrying value of our brands, prior to the fourth quarter of fiscal year 2026 we recognized $331.0 million non-cash, impairment charges related to Goodwill, and the Atkins and OWYN brand intangible assets. The impairment is largely the result of current fiscal year performance, updated projections of future revenue, and declines in stock price.</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 xml:space="preserve">Net interest expense of $18.5 million reflected a 10% decrease versus the comparable year ago period due to lower interest rates. </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effective tax rate was 21.3%.</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Net loss of $155.9 million compared to net income of $103.6 million for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Adjusted EBITDA of $225.9 million decreased 18.8% versus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 xml:space="preserve">Reported loss per diluted share of $1.69 versus reported earnings per diluted share of $1.02 in the comparable year ago period. </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Adjusted Diluted EPS was $1.70 versus $1.92 in the comparable year ago period.</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Weighted average diluted shares outstanding of 92.4 million declined modestly versus the comparable year ago period, reflecting share repurchases.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2</w:t>
                      </w:r>
                    </w:p>
                  </w:txbxContent>
                </v:textbox>
                <w10:wrap type="none"/>
              </v:rect>
            </w:pict>
          </mc:Fallback>
        </mc:AlternateContent>
      </w:r>
    </w:p>
    <w:p>
      <w:pPr>
        <w:pStyle w:val="TextBody"/>
        <w:bidi w:val="0"/>
        <w:spacing w:lineRule="auto" w:line="288" w:before="0" w:after="0"/>
        <w:jc w:val="left"/>
        <w:rPr>
          <w:rFonts w:ascii="Garamond;serif" w:hAnsi="Garamond;serif"/>
          <w:b/>
          <w:color w:val="000000"/>
          <w:sz w:val="20"/>
        </w:rPr>
      </w:pPr>
      <w:r>
        <w:rPr>
          <w:rFonts w:ascii="Garamond;serif" w:hAnsi="Garamond;serif"/>
          <w:b/>
          <w:color w:val="000000"/>
          <w:sz w:val="20"/>
        </w:rPr>
        <w:t>Balance Sheet and Cash Flow</w:t>
      </w:r>
    </w:p>
    <w:p>
      <w:pPr>
        <w:pStyle w:val="TextBody"/>
        <w:bidi w:val="0"/>
        <w:spacing w:before="0" w:after="0"/>
        <w:jc w:val="both"/>
        <w:rPr/>
      </w:pPr>
      <w:r>
        <w:rPr/>
      </w:r>
    </w:p>
    <w:p>
      <w:pPr>
        <w:pStyle w:val="TextBody"/>
        <w:bidi w:val="0"/>
        <w:spacing w:lineRule="auto" w:line="288" w:before="0" w:after="0"/>
        <w:jc w:val="both"/>
        <w:rPr/>
      </w:pPr>
      <w:r>
        <w:rPr>
          <w:rFonts w:ascii="Garamond;serif" w:hAnsi="Garamond;serif"/>
          <w:b w:val="false"/>
          <w:color w:val="000000"/>
          <w:sz w:val="20"/>
        </w:rPr>
        <w:t>At the end of fiscal year 2026, the Company had cash of $138.4 million and an outstanding principal balance on its term loan of $350.0 million, bringing the Company's quarter-end trailing twelve-month Net Debt to Adjusted EBITDA ratio to 0.9x</w:t>
      </w:r>
      <w:r>
        <w:rPr>
          <w:rFonts w:ascii="Garamond;serif" w:hAnsi="Garamond;serif"/>
          <w:b w:val="false"/>
          <w:color w:val="000000"/>
          <w:sz w:val="13"/>
        </w:rPr>
        <w:t>(6)</w:t>
      </w:r>
      <w:r>
        <w:rPr>
          <w:rFonts w:ascii="Garamond;serif" w:hAnsi="Garamond;serif"/>
          <w:b w:val="false"/>
          <w:color w:val="000000"/>
          <w:sz w:val="20"/>
        </w:rPr>
        <w:t>. Cash flow from operations was about $181.0 million versus $178.5 million in the comparable year ago period. Capital expenditures were approximately $24.1 million.</w:t>
      </w:r>
    </w:p>
    <w:p>
      <w:pPr>
        <w:pStyle w:val="TextBody"/>
        <w:bidi w:val="0"/>
        <w:spacing w:before="0" w:after="0"/>
        <w:jc w:val="both"/>
        <w:rPr/>
      </w:pPr>
      <w:r>
        <w:rPr/>
      </w:r>
    </w:p>
    <w:p>
      <w:pPr>
        <w:pStyle w:val="TextBody"/>
        <w:bidi w:val="0"/>
        <w:spacing w:lineRule="auto" w:line="288" w:before="0" w:after="0"/>
        <w:jc w:val="left"/>
        <w:rPr>
          <w:rFonts w:ascii="Garamond;serif" w:hAnsi="Garamond;serif"/>
          <w:b/>
          <w:color w:val="000000"/>
          <w:sz w:val="20"/>
        </w:rPr>
      </w:pPr>
      <w:r>
        <w:rPr>
          <w:rFonts w:ascii="Garamond;serif" w:hAnsi="Garamond;serif"/>
          <w:b/>
          <w:color w:val="000000"/>
          <w:sz w:val="20"/>
        </w:rPr>
        <w:t>Fiscal Year 2027 Outlook</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Company anticipates the following in fiscal year 2027:</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Garamond;serif" w:hAnsi="Garamond;serif"/>
          <w:b w:val="false"/>
          <w:color w:val="000000"/>
          <w:sz w:val="20"/>
        </w:rPr>
        <w:t>Net sales expected to decline between 13% and 17% year-over-year</w:t>
      </w:r>
    </w:p>
    <w:p>
      <w:pPr>
        <w:pStyle w:val="TextBody"/>
        <w:bidi w:val="0"/>
        <w:spacing w:lineRule="auto" w:line="288" w:before="0" w:after="0"/>
        <w:ind w:left="0" w:right="0" w:hanging="360"/>
        <w:jc w:val="left"/>
        <w:rPr/>
      </w:pPr>
      <w:r>
        <w:rPr>
          <w:color w:val="000000"/>
        </w:rPr>
        <w:t>•</w:t>
      </w:r>
      <w:r>
        <w:rPr>
          <w:rFonts w:ascii="Garamond;serif" w:hAnsi="Garamond;serif"/>
          <w:b w:val="false"/>
          <w:color w:val="000000"/>
          <w:sz w:val="20"/>
        </w:rPr>
        <w:t>Gross margins (GAAP) expected to increase between 250 and 300 basis points year-over-year</w:t>
      </w:r>
    </w:p>
    <w:p>
      <w:pPr>
        <w:pStyle w:val="TextBody"/>
        <w:bidi w:val="0"/>
        <w:spacing w:lineRule="auto" w:line="288" w:before="0" w:after="0"/>
        <w:ind w:left="0" w:right="0" w:hanging="360"/>
        <w:jc w:val="left"/>
        <w:rPr/>
      </w:pPr>
      <w:r>
        <w:rPr>
          <w:color w:val="000000"/>
        </w:rPr>
        <w:t>•</w:t>
      </w:r>
      <w:r>
        <w:rPr>
          <w:rFonts w:ascii="Garamond;serif" w:hAnsi="Garamond;serif"/>
          <w:b w:val="false"/>
          <w:color w:val="000000"/>
          <w:sz w:val="20"/>
        </w:rPr>
        <w:t>Adjusted EBITDA expected to decline between 9% and 14% year-over-year</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Company expects net interest expense in the range of $18 to $20 million. The Company expects capital expenditures in the range of $15 to $20 million.</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For the first quarter of fiscal year 2027:</w:t>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The Company expects net sales to decline between 19% and 22% year-over-year</w:t>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Gross margins (GAAP) expected to increase by approximately 100 basis points year-over-year</w:t>
      </w:r>
    </w:p>
    <w:p>
      <w:pPr>
        <w:pStyle w:val="TextBody"/>
        <w:bidi w:val="0"/>
        <w:spacing w:lineRule="auto" w:line="288" w:before="0" w:after="0"/>
        <w:ind w:left="0" w:right="0" w:hanging="360"/>
        <w:jc w:val="both"/>
        <w:rPr/>
      </w:pPr>
      <w:r>
        <w:rPr>
          <w:color w:val="000000"/>
        </w:rPr>
        <w:t>•</w:t>
      </w:r>
      <w:r>
        <w:rPr>
          <w:rFonts w:ascii="Garamond;serif" w:hAnsi="Garamond;serif"/>
          <w:b w:val="false"/>
          <w:color w:val="000000"/>
          <w:sz w:val="20"/>
        </w:rPr>
        <w:t>Adjusted EBITDA expected to decline between 28% and 33% year-over-year</w:t>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The foregoing outlook assumes current economic conditions, consumer purchasing behavior and prevailing tariff rates remain generally consistent across the Company's fiscal year.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Garamond;serif" w:hAnsi="Garamond;serif"/>
          <w:b w:val="false"/>
          <w:color w:val="000000"/>
          <w:sz w:val="16"/>
        </w:rPr>
      </w:pPr>
      <w:r>
        <w:rPr>
          <w:rFonts w:ascii="Garamond;serif" w:hAnsi="Garamond;serif"/>
          <w:b w:val="false"/>
          <w:color w:val="000000"/>
          <w:sz w:val="16"/>
        </w:rPr>
        <w:t>___________________________________</w:t>
      </w:r>
    </w:p>
    <w:p>
      <w:pPr>
        <w:pStyle w:val="TextBody"/>
        <w:bidi w:val="0"/>
        <w:spacing w:lineRule="auto" w:line="288" w:before="0" w:after="0"/>
        <w:jc w:val="both"/>
        <w:rPr/>
      </w:pPr>
      <w:r>
        <w:rPr>
          <w:rFonts w:ascii="Garamond;serif" w:hAnsi="Garamond;serif"/>
          <w:b w:val="false"/>
          <w:i/>
          <w:color w:val="000000"/>
          <w:sz w:val="10"/>
        </w:rPr>
        <w:t>(1)</w:t>
      </w:r>
      <w:r>
        <w:rPr>
          <w:color w:val="000000"/>
        </w:rPr>
        <w:t xml:space="preserve"> </w:t>
      </w:r>
      <w:r>
        <w:rPr>
          <w:rFonts w:ascii="Garamond;serif" w:hAnsi="Garamond;serif"/>
          <w:b w:val="false"/>
          <w:i/>
          <w:color w:val="000000"/>
          <w:sz w:val="16"/>
        </w:rPr>
        <w:t>All comparisons refer to the fourth quarter or full fiscal year ended August 29, 2026, versus the comparable year-ago period ended August 30, 2025.</w:t>
      </w:r>
    </w:p>
    <w:p>
      <w:pPr>
        <w:pStyle w:val="TextBody"/>
        <w:bidi w:val="0"/>
        <w:spacing w:lineRule="auto" w:line="288" w:before="0" w:after="0"/>
        <w:ind w:left="0" w:right="0" w:hanging="180"/>
        <w:jc w:val="both"/>
        <w:rPr/>
      </w:pPr>
      <w:r>
        <w:rPr>
          <w:rFonts w:ascii="Garamond;serif" w:hAnsi="Garamond;serif"/>
          <w:b w:val="false"/>
          <w:i/>
          <w:color w:val="000000"/>
          <w:sz w:val="10"/>
        </w:rPr>
        <w:t>(2)</w:t>
      </w:r>
      <w:r>
        <w:rPr>
          <w:color w:val="000000"/>
        </w:rPr>
        <w:t xml:space="preserve"> </w:t>
      </w:r>
      <w:r>
        <w:rPr>
          <w:rFonts w:ascii="Garamond;serif" w:hAnsi="Garamond;serif"/>
          <w:b w:val="false"/>
          <w:i/>
          <w:color w:val="000000"/>
          <w:sz w:val="16"/>
        </w:rPr>
        <w:t>Adjusted Diluted Earnings Per Share is a non-GAAP financial measure. Please refer to “Reconciliation of Adjusted Diluted Earnings Per Share” in this press release for an explanation and reconciliation of this non-GAAP financial measure.</w:t>
      </w:r>
    </w:p>
    <w:p>
      <w:pPr>
        <w:pStyle w:val="TextBody"/>
        <w:bidi w:val="0"/>
        <w:spacing w:lineRule="auto" w:line="288" w:before="0" w:after="0"/>
        <w:ind w:left="0" w:right="0" w:hanging="180"/>
        <w:jc w:val="both"/>
        <w:rPr/>
      </w:pPr>
      <w:r>
        <w:rPr>
          <w:rFonts w:ascii="Garamond;serif" w:hAnsi="Garamond;serif"/>
          <w:b w:val="false"/>
          <w:i/>
          <w:color w:val="000000"/>
          <w:sz w:val="10"/>
        </w:rPr>
        <w:t>(3)</w:t>
      </w:r>
      <w:r>
        <w:rPr>
          <w:color w:val="000000"/>
        </w:rPr>
        <w:t xml:space="preserve"> </w:t>
      </w:r>
      <w:r>
        <w:rPr>
          <w:rFonts w:ascii="Garamond;serif" w:hAnsi="Garamond;serif"/>
          <w:b w:val="false"/>
          <w:i/>
          <w:color w:val="000000"/>
          <w:sz w:val="16"/>
        </w:rPr>
        <w:t>Adjusted Earnings Before Interest, Taxes, Depreciation and Amortization ("EBITDA") is a non-GAAP financial measure. Please refer to the “Reconciliation of EBITDA and Adjusted EBITDA” in this press release for an explanation and reconciliation of this non-GAAP financial measure.</w:t>
      </w:r>
    </w:p>
    <w:p>
      <w:pPr>
        <w:pStyle w:val="TextBody"/>
        <w:bidi w:val="0"/>
        <w:spacing w:lineRule="auto" w:line="288" w:before="0" w:after="0"/>
        <w:ind w:left="0" w:right="0" w:hanging="180"/>
        <w:jc w:val="both"/>
        <w:rPr/>
      </w:pPr>
      <w:r>
        <w:rPr>
          <w:rFonts w:ascii="Garamond;serif" w:hAnsi="Garamond;serif"/>
          <w:b w:val="false"/>
          <w:i/>
          <w:color w:val="000000"/>
          <w:sz w:val="10"/>
        </w:rPr>
        <w:t xml:space="preserve">(4) </w:t>
      </w:r>
      <w:r>
        <w:rPr>
          <w:rFonts w:ascii="Garamond;serif" w:hAnsi="Garamond;serif"/>
          <w:b w:val="false"/>
          <w:i/>
          <w:color w:val="000000"/>
          <w:sz w:val="16"/>
        </w:rPr>
        <w:t>The Company does not provide a forward-looking reconciliation of expected Fiscal Year 2026 Adjusted EBITDA to Net Income, the most directly comparable GAAP financial measure, because we are unable to provide such a reconciliation without unreasonable effort due to the unavailability of reliable estimates for certain components of consolidated net income and the respective reconciliations, and the inherent difficulty of predicting what the changes in these components will be throughout the fiscal year. As these items may vary greatly between periods, we are unable to address the probable significance of the unavailable information, which could significantly affect our future financial results.</w:t>
      </w:r>
    </w:p>
    <w:p>
      <w:pPr>
        <w:pStyle w:val="TextBody"/>
        <w:bidi w:val="0"/>
        <w:spacing w:lineRule="auto" w:line="288" w:before="0" w:after="0"/>
        <w:ind w:left="0" w:right="0" w:hanging="180"/>
        <w:jc w:val="both"/>
        <w:rPr/>
      </w:pPr>
      <w:r>
        <w:rPr>
          <w:rFonts w:ascii="Garamond;serif" w:hAnsi="Garamond;serif"/>
          <w:b w:val="false"/>
          <w:i/>
          <w:color w:val="000000"/>
          <w:sz w:val="10"/>
        </w:rPr>
        <w:t>(5)</w:t>
      </w:r>
      <w:r>
        <w:rPr>
          <w:color w:val="000000"/>
        </w:rPr>
        <w:t xml:space="preserve"> </w:t>
      </w:r>
      <w:r>
        <w:rPr>
          <w:rFonts w:ascii="Garamond;serif" w:hAnsi="Garamond;serif"/>
          <w:b w:val="false"/>
          <w:i/>
          <w:color w:val="000000"/>
          <w:sz w:val="16"/>
        </w:rPr>
        <w:t>Combined Quest, Atkins, and OWYN Circana MULO++C-store and Company unmeasured channel estimate for the 13 and 52-weeks ending August 29, 2026, vs. the comparable 13 and 52-week year ago period.</w:t>
      </w:r>
    </w:p>
    <w:p>
      <w:pPr>
        <w:pStyle w:val="TextBody"/>
        <w:bidi w:val="0"/>
        <w:spacing w:lineRule="auto" w:line="288" w:before="0" w:after="0"/>
        <w:ind w:left="0" w:right="0" w:hanging="180"/>
        <w:jc w:val="both"/>
        <w:rPr/>
      </w:pPr>
      <w:r>
        <w:rPr>
          <w:rFonts w:ascii="Garamond;serif" w:hAnsi="Garamond;serif"/>
          <w:b w:val="false"/>
          <w:i/>
          <w:color w:val="000000"/>
          <w:sz w:val="10"/>
        </w:rPr>
        <w:t>(6)</w:t>
      </w:r>
      <w:r>
        <w:rPr>
          <w:color w:val="000000"/>
        </w:rPr>
        <w:t xml:space="preserve"> </w:t>
      </w:r>
      <w:r>
        <w:rPr>
          <w:rFonts w:ascii="Garamond;serif" w:hAnsi="Garamond;serif"/>
          <w:b w:val="false"/>
          <w:i/>
          <w:color w:val="000000"/>
          <w:sz w:val="16"/>
        </w:rPr>
        <w:t>Net Debt to Adjusted EBITDA is a non-GAAP financial measure which Simply Good Foods defines as the total debt outstanding under our credit agreement with Barclays Bank PLC and other parties ("Credit Agreement"), reduced by cash and cash equivalents, and divided by the Company's trailing twelve month Adjusted EBITDA, as previously defined. The Company does not provide a forward-looking reconciliation of Net Debt to Adjusted EBITDA to Net Debt to Consolidated Net Income, the most directly comparable GAAP financial measures, expected for Fiscal Year 2026, because we are unable to provide such a reconciliation without unreasonable effort due to the unavailability of reliable estimates for certain components of consolidated net income and the respective reconciliations, and the inherent difficulty of predicting what the changes in these components will be throughout the fiscal year. As these items may vary greatly between periods, we are unable to address the probable significance of the unavailable information, which could significantly affect our future financial results.</w:t>
      </w:r>
    </w:p>
    <w:p>
      <w:pPr>
        <w:pStyle w:val="TextBody"/>
        <w:bidi w:val="0"/>
        <w:ind w:left="0" w:right="0" w:hanging="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3</w:t>
                      </w:r>
                    </w:p>
                  </w:txbxContent>
                </v:textbox>
                <w10:wrap type="none"/>
              </v:rect>
            </w:pict>
          </mc:Fallback>
        </mc:AlternateContent>
      </w:r>
    </w:p>
    <w:p>
      <w:pPr>
        <w:pStyle w:val="TextBody"/>
        <w:bidi w:val="0"/>
        <w:spacing w:lineRule="auto" w:line="288" w:before="0" w:after="0"/>
        <w:ind w:left="0" w:right="0" w:hanging="180"/>
        <w:jc w:val="both"/>
        <w:rPr>
          <w:rFonts w:ascii="Garamond;serif" w:hAnsi="Garamond;serif"/>
          <w:b/>
          <w:color w:val="000000"/>
          <w:sz w:val="20"/>
        </w:rPr>
      </w:pPr>
      <w:r>
        <w:rPr>
          <w:rFonts w:ascii="Garamond;serif" w:hAnsi="Garamond;serif"/>
          <w:b/>
          <w:color w:val="000000"/>
          <w:sz w:val="20"/>
        </w:rPr>
        <w:t>Conference Call and Webcast Information</w:t>
      </w:r>
    </w:p>
    <w:p>
      <w:pPr>
        <w:pStyle w:val="TextBody"/>
        <w:bidi w:val="0"/>
        <w:spacing w:lineRule="auto" w:line="288" w:before="0" w:after="0"/>
        <w:jc w:val="both"/>
        <w:rPr/>
      </w:pPr>
      <w:r>
        <w:rPr>
          <w:rFonts w:ascii="Garamond;serif" w:hAnsi="Garamond;serif"/>
          <w:b w:val="false"/>
          <w:color w:val="000000"/>
          <w:sz w:val="20"/>
        </w:rPr>
        <w:t xml:space="preserve">The Company will host a conference call with members of the executive management team to discuss these results today, Thursday, October 27, 2026, at 6:30 a.m. Mountain time (8:30 a.m. Eastern time). Investors interested in participating in the live call can dial 877-407-0792 from the U.S. or 201-689-8263 from International locations. A live webcast will be available via the "Investors" section of the Company's website at </w:t>
      </w:r>
      <w:r>
        <w:rPr>
          <w:rFonts w:ascii="Garamond;serif" w:hAnsi="Garamond;serif"/>
          <w:b w:val="false"/>
          <w:color w:val="0563C1"/>
          <w:sz w:val="20"/>
          <w:u w:val="single"/>
        </w:rPr>
        <w:t>www.thesimplygoodfoodscompany.com</w:t>
      </w:r>
      <w:r>
        <w:rPr>
          <w:rFonts w:ascii="Garamond;serif" w:hAnsi="Garamond;serif"/>
          <w:b w:val="false"/>
          <w:color w:val="000000"/>
          <w:sz w:val="20"/>
        </w:rPr>
        <w:t>. A telephone replay will be available approximately two hours after the call concludes and will remain accessible through October 30, 2025, by dialing 844-512-2921 from the U.S., or 412-317-6671 from international locations, and entering confirmation code 13755448.</w:t>
      </w:r>
    </w:p>
    <w:p>
      <w:pPr>
        <w:pStyle w:val="TextBody"/>
        <w:bidi w:val="0"/>
        <w:spacing w:before="0" w:after="0"/>
        <w:jc w:val="both"/>
        <w:rPr/>
      </w:pPr>
      <w:r>
        <w:rPr/>
      </w:r>
    </w:p>
    <w:p>
      <w:pPr>
        <w:pStyle w:val="TextBody"/>
        <w:bidi w:val="0"/>
        <w:spacing w:lineRule="auto" w:line="288" w:before="0" w:after="0"/>
        <w:jc w:val="both"/>
        <w:rPr>
          <w:rFonts w:ascii="Garamond;serif" w:hAnsi="Garamond;serif"/>
          <w:b/>
          <w:color w:val="000000"/>
          <w:sz w:val="20"/>
        </w:rPr>
      </w:pPr>
      <w:r>
        <w:rPr>
          <w:rFonts w:ascii="Garamond;serif" w:hAnsi="Garamond;serif"/>
          <w:b/>
          <w:color w:val="000000"/>
          <w:sz w:val="20"/>
        </w:rPr>
        <w:t>About The Simply Good Foods Company</w:t>
      </w:r>
    </w:p>
    <w:p>
      <w:pPr>
        <w:pStyle w:val="TextBody"/>
        <w:bidi w:val="0"/>
        <w:spacing w:lineRule="auto" w:line="288" w:before="0" w:after="0"/>
        <w:jc w:val="both"/>
        <w:rPr/>
      </w:pPr>
      <w:r>
        <w:rPr>
          <w:rFonts w:ascii="Garamond;serif" w:hAnsi="Garamond;serif"/>
          <w:b w:val="false"/>
          <w:color w:val="000000"/>
          <w:sz w:val="20"/>
        </w:rPr>
        <w:t xml:space="preserve">The Simply Good Foods Company (Nasdaq: SMPL), headquartered in Denver, Colorado, is a consumer-packaged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 To learn more, visit </w:t>
      </w:r>
      <w:r>
        <w:rPr>
          <w:rFonts w:ascii="Garamond;serif" w:hAnsi="Garamond;serif"/>
          <w:b w:val="false"/>
          <w:color w:val="0563C1"/>
          <w:sz w:val="20"/>
          <w:u w:val="single"/>
        </w:rPr>
        <w:t>www.thesimplygoodfoodscompany.com</w:t>
      </w:r>
      <w:r>
        <w:rPr>
          <w:rFonts w:ascii="Garamond;serif" w:hAnsi="Garamond;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Garamond;serif" w:hAnsi="Garamond;serif"/>
          <w:b/>
          <w:color w:val="000000"/>
          <w:sz w:val="20"/>
        </w:rPr>
      </w:pPr>
      <w:r>
        <w:rPr>
          <w:rFonts w:ascii="Garamond;serif" w:hAnsi="Garamond;serif"/>
          <w:b/>
          <w:color w:val="000000"/>
          <w:sz w:val="20"/>
        </w:rPr>
        <w:t>Investor Contact</w:t>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Matt Siler</w:t>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Vice President, Investor Relations and Treasury</w:t>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The Simply Good Foods Company</w:t>
      </w:r>
    </w:p>
    <w:p>
      <w:pPr>
        <w:pStyle w:val="TextBody"/>
        <w:bidi w:val="0"/>
        <w:spacing w:lineRule="auto" w:line="288"/>
        <w:jc w:val="left"/>
        <w:rPr>
          <w:rFonts w:ascii="Garamond;serif" w:hAnsi="Garamond;serif"/>
          <w:b w:val="false"/>
          <w:color w:val="0563C1"/>
          <w:sz w:val="20"/>
          <w:u w:val="single"/>
        </w:rPr>
      </w:pPr>
      <w:r>
        <w:rPr>
          <w:rFonts w:ascii="Garamond;serif" w:hAnsi="Garamond;serif"/>
          <w:b w:val="false"/>
          <w:color w:val="0563C1"/>
          <w:sz w:val="20"/>
          <w:u w:val="single"/>
        </w:rPr>
        <w:t>msiler@simplygoodfoodsco.com</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4</w:t>
                      </w:r>
                    </w:p>
                  </w:txbxContent>
                </v:textbox>
                <w10:wrap type="none"/>
              </v:rect>
            </w:pict>
          </mc:Fallback>
        </mc:AlternateContent>
      </w:r>
    </w:p>
    <w:p>
      <w:pPr>
        <w:pStyle w:val="TextBody"/>
        <w:bidi w:val="0"/>
        <w:spacing w:lineRule="auto" w:line="288" w:before="0" w:after="0"/>
        <w:jc w:val="left"/>
        <w:rPr>
          <w:rFonts w:ascii="Garamond;serif" w:hAnsi="Garamond;serif"/>
          <w:b/>
          <w:color w:val="000000"/>
          <w:sz w:val="20"/>
        </w:rPr>
      </w:pPr>
      <w:r>
        <w:rPr>
          <w:rFonts w:ascii="Garamond;serif" w:hAnsi="Garamond;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Garamond;serif" w:hAnsi="Garamond;serif"/>
          <w:b w:val="false"/>
          <w:color w:val="000000"/>
          <w:sz w:val="20"/>
        </w:rPr>
      </w:pPr>
      <w:r>
        <w:rPr>
          <w:rFonts w:ascii="Garamond;serif" w:hAnsi="Garamond;serif"/>
          <w:b w:val="false"/>
          <w:color w:val="000000"/>
          <w:sz w:val="20"/>
        </w:rPr>
        <w:t>Certain statements made herein are not historical facts but are forward-looking statements for purposes of the safe harbor provisions under The Private Securities Litigation Reform Act of 1995. Forward-looking statements generally are accompanied by or include words such as “will”, “expect”, “intends” or other similar words, phrases or expressions.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risks and uncertainties relate to, among other things, our ability to achieve our estimates of OWYN’s net sales and Adjusted EBITDA and our anticipated synergies from the OWYN Acquisition, our net leverage ratio post-acquisition, our Adjusted EPS post-acquisition, our ability to maintain OWYN personnel and effectively integrate OWYN, our operations being dependent on changes in consumer preferences and purchasing habits regarding our products, a global supply chain and effects of supply chain constraints and inflationary pressure on us and our contract manufacturers, our ability to continue to operate at a profit or to maintain our margins, the effect of pandemics or other global disruptions on our business, financial condition and results of operations, the sufficiency of our sources of liquidity and capital, our ability to maintain current operation levels and implement our growth strategies, our ability to maintain and gain market acceptance for our products or new products, our ability to capitalize on attractive opportunities, our ability to respond to competition and changes in the economy including changes regarding inflation and increasing ingredient and packaging costs and labor challenges at our contract manufacturers and third party logistics providers, the amounts of or changes with respect to certain anticipated raw materials and other costs, difficulties and delays in achieving the synergies and cost savings in connection with acquisitions, changes in the business environment in which we operate including general financial, economic, capital market, regulatory and geopolitical conditions affecting us and the industry in which we operate,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loss of one or more members of our management team, potential for increased costs and harm to our business resulting from unauthorized access of the information technology systems we use in our business, expansion of our wellness platform and other risks and uncertainties indicated in the Company’s Form 10-K, Form 10-Q, and Form 8-K reports (including all amendments to those reports) filed with the U.S. Securities and Exchange Commission from time to time. In addition, forward-looking statements provide the Company’s expectations, plans or forecasts of future events and views as of the date of this communication. Except as required by law, the Company undertakes no obligation to update such statements to reflect events or circumstances arising after such date and cautions investors not to place undue reliance on any such forward-looking statements. These forward-looking statements should not be relied upon as representing the Company’s assessments as of any date subsequent to the date of this communication.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5</w:t>
                      </w:r>
                    </w:p>
                  </w:txbxContent>
                </v:textbox>
                <w10:wrap type="none"/>
              </v:rect>
            </w:pict>
          </mc:Fallback>
        </mc:AlternateConten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Balance Sheets</w:t>
      </w:r>
    </w:p>
    <w:p>
      <w:pPr>
        <w:pStyle w:val="TextBody"/>
        <w:bidi w:val="0"/>
        <w:spacing w:lineRule="auto" w:line="288" w:before="0" w:after="120"/>
        <w:jc w:val="center"/>
        <w:rPr>
          <w:rFonts w:ascii="Garamond;serif" w:hAnsi="Garamond;serif"/>
          <w:b w:val="false"/>
          <w:i/>
          <w:color w:val="000000"/>
          <w:sz w:val="20"/>
        </w:rPr>
      </w:pPr>
      <w:r>
        <w:rPr>
          <w:rFonts w:ascii="Garamond;serif" w:hAnsi="Garamond;serif"/>
          <w:b w:val="false"/>
          <w:i/>
          <w:color w:val="000000"/>
          <w:sz w:val="20"/>
        </w:rPr>
        <w:t>(Unaudited, dollars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563"/>
        <w:gridCol w:w="1939"/>
        <w:gridCol w:w="1931"/>
        <w:gridCol w:w="109"/>
        <w:gridCol w:w="109"/>
        <w:gridCol w:w="109"/>
        <w:gridCol w:w="237"/>
        <w:gridCol w:w="1183"/>
        <w:gridCol w:w="114"/>
        <w:gridCol w:w="109"/>
        <w:gridCol w:w="109"/>
        <w:gridCol w:w="109"/>
        <w:gridCol w:w="237"/>
        <w:gridCol w:w="1182"/>
        <w:gridCol w:w="165"/>
      </w:tblGrid>
      <w:tr>
        <w:trPr/>
        <w:tc>
          <w:tcPr>
            <w:tcW w:w="256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138,425 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98,468 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137,036 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164,978 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132,458 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167,217 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7,522 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7,209 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15,812 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433,540 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453,684 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52,614 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39,738 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953,004 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1,261,603 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551,974 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589,974 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45,612 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51,046 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2,036,744 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2,396,045 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45,071 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78,298 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32,702 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46,219 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77,773 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124,561 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347,219 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249,066 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116,788 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166,091 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42,556 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49,494 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584,336 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589,212 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Garamond;serif" w:hAnsi="Garamond;serif"/>
                <w:b w:val="false"/>
                <w:color w:val="000000"/>
                <w:sz w:val="18"/>
              </w:rPr>
            </w:pPr>
            <w:r>
              <w:rPr>
                <w:rFonts w:ascii="Garamond;serif" w:hAnsi="Garamond;serif"/>
                <w:b w:val="false"/>
                <w:color w:val="000000"/>
                <w:sz w:val="18"/>
              </w:rPr>
              <w:t>See 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Garamond;serif" w:hAnsi="Garamond;serif"/>
                <w:b w:val="false"/>
                <w:color w:val="000000"/>
                <w:sz w:val="18"/>
              </w:rPr>
            </w:pPr>
            <w:r>
              <w:rPr>
                <w:rFonts w:ascii="Garamond;serif" w:hAnsi="Garamond;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 xml:space="preserve">Preferred stock, $0.01 par value, 100,000,000 shares authorized, none issued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Common stock, $0.01 par value, 600,000,000 shares authorized, 104,073,452 and 103,688,071 issued at August 29, 2026 and August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Treasury stock, 15,619,805 shares and 3,957,571 shares at cost at August 29, 2026 and August 30,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(344,775)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(129,337)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Additional paid-in-capital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1,362,717 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1,346,687 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434,976 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590,879 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(2,433)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1,452,408 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1,806,833 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2,036,744 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2,396,045 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6</w:t>
                      </w:r>
                    </w:p>
                  </w:txbxContent>
                </v:textbox>
                <w10:wrap type="none"/>
              </v:rect>
            </w:pict>
          </mc:Fallback>
        </mc:AlternateConten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Statements of Income and Comprehensive Income (Loss)</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54"/>
        <w:gridCol w:w="893"/>
        <w:gridCol w:w="684"/>
        <w:gridCol w:w="109"/>
        <w:gridCol w:w="109"/>
        <w:gridCol w:w="109"/>
        <w:gridCol w:w="293"/>
        <w:gridCol w:w="1031"/>
        <w:gridCol w:w="118"/>
        <w:gridCol w:w="109"/>
        <w:gridCol w:w="109"/>
        <w:gridCol w:w="109"/>
        <w:gridCol w:w="293"/>
        <w:gridCol w:w="1117"/>
        <w:gridCol w:w="118"/>
        <w:gridCol w:w="109"/>
        <w:gridCol w:w="109"/>
        <w:gridCol w:w="109"/>
        <w:gridCol w:w="234"/>
        <w:gridCol w:w="1170"/>
        <w:gridCol w:w="113"/>
        <w:gridCol w:w="109"/>
        <w:gridCol w:w="109"/>
        <w:gridCol w:w="109"/>
        <w:gridCol w:w="244"/>
        <w:gridCol w:w="1169"/>
        <w:gridCol w:w="166"/>
      </w:tblGrid>
      <w:tr>
        <w:trPr/>
        <w:tc>
          <w:tcPr>
            <w:tcW w:w="125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13-Weeks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13-Weeks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333,305 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369,041 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1,356,499 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1,450,920 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219,974 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242,436 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914,136 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925,173 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113,331 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126,605 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442,363 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525,747 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32,429 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32,411 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129,446 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134,282 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30,567 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40,624 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143,901 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155,930 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16,900 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60,928 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60,928 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67,448 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138,384 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622,078 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368,860 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45,883 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(11,779)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(179,715)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156,887 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2,663 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(21,447)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(23,249)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gain on foreign currency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(4,866)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(18,408)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(20,984)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41,017 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(15,492)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(198,123)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135,903 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(3,135)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(42,220)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32,289 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30,498 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(12,357)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(155,903)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103,614 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Foreign currency translation, net of reclassification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30,434 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(12,247)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(155,021)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103,220 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88,456,490 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100,419,463 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92,372,473 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100,695,181 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88,547,937 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100,997,903 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92,372,473 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101,510,772 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7</w:t>
                      </w:r>
                    </w:p>
                  </w:txbxContent>
                </v:textbox>
                <w10:wrap type="none"/>
              </v:rect>
            </w:pict>
          </mc:Fallback>
        </mc:AlternateConten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The Simply Good Foods Company and Subsidiaries</w:t>
      </w:r>
    </w:p>
    <w:p>
      <w:pPr>
        <w:pStyle w:val="TextBody"/>
        <w:bidi w:val="0"/>
        <w:spacing w:lineRule="auto" w:line="288" w:before="0" w:after="0"/>
        <w:jc w:val="center"/>
        <w:rPr>
          <w:rFonts w:ascii="Garamond;serif" w:hAnsi="Garamond;serif"/>
          <w:b/>
          <w:color w:val="000000"/>
          <w:sz w:val="20"/>
        </w:rPr>
      </w:pPr>
      <w:r>
        <w:rPr>
          <w:rFonts w:ascii="Garamond;serif" w:hAnsi="Garamond;serif"/>
          <w:b/>
          <w:color w:val="000000"/>
          <w:sz w:val="20"/>
        </w:rPr>
        <w:t>Consolidated Statements of Cash Flows</w:t>
      </w:r>
    </w:p>
    <w:p>
      <w:pPr>
        <w:pStyle w:val="TextBody"/>
        <w:bidi w:val="0"/>
        <w:spacing w:lineRule="auto" w:line="288" w:before="0" w:after="0"/>
        <w:jc w:val="center"/>
        <w:rPr>
          <w:rFonts w:ascii="Garamond;serif" w:hAnsi="Garamond;serif"/>
          <w:b w:val="false"/>
          <w:i/>
          <w:color w:val="000000"/>
          <w:sz w:val="20"/>
        </w:rPr>
      </w:pPr>
      <w:r>
        <w:rPr>
          <w:rFonts w:ascii="Garamond;serif" w:hAnsi="Garamond;serif"/>
          <w:b w:val="false"/>
          <w:i/>
          <w:color w:val="000000"/>
          <w:sz w:val="20"/>
        </w:rPr>
        <w:t>(Unaudited, dollars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39"/>
        <w:gridCol w:w="1994"/>
        <w:gridCol w:w="2004"/>
        <w:gridCol w:w="109"/>
        <w:gridCol w:w="109"/>
        <w:gridCol w:w="109"/>
        <w:gridCol w:w="263"/>
        <w:gridCol w:w="1195"/>
        <w:gridCol w:w="127"/>
        <w:gridCol w:w="109"/>
        <w:gridCol w:w="109"/>
        <w:gridCol w:w="109"/>
        <w:gridCol w:w="277"/>
        <w:gridCol w:w="1162"/>
        <w:gridCol w:w="190"/>
      </w:tblGrid>
      <w:tr>
        <w:trPr/>
        <w:tc>
          <w:tcPr>
            <w:tcW w:w="233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(155,903)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103,614 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24,255 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21,431 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1,479 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17,280 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15,273 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60,928 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Estimated credit losses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Unrealized loss (gain) on foreign currency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(49,452)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Amortization of operating lease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28,322 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(14,682)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35,852 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(25,848)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(2,558)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(6,894)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18,535 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(17,214)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(3,591)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(5,600)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1,279 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181,049 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178,457 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(24,102)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(20,542)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Acquisition of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Investments in intangible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(2,103)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(24,102)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(20,932)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Proceeds from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12,917</w:t>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Tax payments related to 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(3,236)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(213,308)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(50,886)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Principal 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(50,000)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Proceeds from issuance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(2,632)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(117,186)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(191,205)</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Net increase (decrease)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39,761 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(33,680)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Effect of exchange rate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(382)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98,468 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132,530 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Garamond;serif" w:hAnsi="Garamond;serif"/>
                <w:b w:val="false"/>
                <w:color w:val="000000"/>
                <w:sz w:val="18"/>
              </w:rPr>
            </w:pPr>
            <w:r>
              <w:rPr>
                <w:rFonts w:ascii="Garamond;serif" w:hAnsi="Garamond;serif"/>
                <w:b w:val="false"/>
                <w:color w:val="000000"/>
                <w:sz w:val="18"/>
              </w:rPr>
              <w:t>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138,425 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98,468 </w:t>
            </w:r>
          </w:p>
        </w:tc>
        <w:tc>
          <w:tcPr>
            <w:tcW w:w="1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8</w:t>
                      </w:r>
                    </w:p>
                  </w:txbxContent>
                </v:textbox>
                <w10:wrap type="none"/>
              </v:rect>
            </w:pict>
          </mc:Fallback>
        </mc:AlternateContent>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Net Sales by Geographic Area and Brands</w:t>
      </w:r>
    </w:p>
    <w:p>
      <w:pPr>
        <w:pStyle w:val="TextBody"/>
        <w:bidi w:val="0"/>
        <w:spacing w:before="0" w:after="0"/>
        <w:jc w:val="left"/>
        <w:rPr/>
      </w:pPr>
      <w:r>
        <w:rPr/>
      </w:r>
    </w:p>
    <w:p>
      <w:pPr>
        <w:pStyle w:val="TextBody"/>
        <w:bidi w:val="0"/>
        <w:spacing w:lineRule="auto" w:line="288" w:before="0" w:after="0"/>
        <w:jc w:val="left"/>
        <w:rPr>
          <w:rFonts w:ascii="Garamond;serif" w:hAnsi="Garamond;serif"/>
          <w:b w:val="false"/>
          <w:color w:val="000000"/>
          <w:sz w:val="20"/>
        </w:rPr>
      </w:pPr>
      <w:r>
        <w:rPr>
          <w:rFonts w:ascii="Garamond;serif" w:hAnsi="Garamond;serif"/>
          <w:b w:val="false"/>
          <w:color w:val="000000"/>
          <w:sz w:val="20"/>
        </w:rPr>
        <w:t>The following is a summary of revenue disaggregated by geographic area and brand: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77"/>
        <w:gridCol w:w="521"/>
        <w:gridCol w:w="524"/>
        <w:gridCol w:w="292"/>
        <w:gridCol w:w="1224"/>
        <w:gridCol w:w="140"/>
        <w:gridCol w:w="130"/>
        <w:gridCol w:w="130"/>
        <w:gridCol w:w="130"/>
        <w:gridCol w:w="292"/>
        <w:gridCol w:w="1224"/>
        <w:gridCol w:w="140"/>
        <w:gridCol w:w="130"/>
        <w:gridCol w:w="130"/>
        <w:gridCol w:w="130"/>
        <w:gridCol w:w="280"/>
        <w:gridCol w:w="1398"/>
        <w:gridCol w:w="135"/>
        <w:gridCol w:w="130"/>
        <w:gridCol w:w="130"/>
        <w:gridCol w:w="130"/>
        <w:gridCol w:w="280"/>
        <w:gridCol w:w="1398"/>
        <w:gridCol w:w="135"/>
        <w:gridCol w:w="109"/>
        <w:gridCol w:w="166"/>
      </w:tblGrid>
      <w:tr>
        <w:trPr/>
        <w:tc>
          <w:tcPr>
            <w:tcW w:w="77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13-Weeks Ended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13-Weeks Ended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20"/>
              </w:rPr>
            </w:pPr>
            <w:r>
              <w:rPr>
                <w:rFonts w:ascii="Garamond;serif" w:hAnsi="Garamond;serif"/>
                <w:b w:val="false"/>
                <w:i/>
                <w:color w:val="000000"/>
                <w:sz w:val="20"/>
              </w:rPr>
              <w:t>(In thousands)</w:t>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North America </w:t>
            </w:r>
            <w:r>
              <w:rPr>
                <w:rFonts w:ascii="Garamond;serif" w:hAnsi="Garamond;serif"/>
                <w:b w:val="false"/>
                <w:color w:val="000000"/>
                <w:sz w:val="12"/>
              </w:rPr>
              <w:t>(1)</w:t>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Atkins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78,038 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91,682 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332,674 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420,787 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Quest</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217,662 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233,169 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869,707 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863,614 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OWYN</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29,694 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37,409 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123,785 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137,020 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North America</w:t>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325,394 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362,260 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1,326,166 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1,421,421 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International </w:t>
            </w:r>
            <w:r>
              <w:rPr>
                <w:rFonts w:ascii="Garamond;serif" w:hAnsi="Garamond;serif"/>
                <w:b w:val="false"/>
                <w:color w:val="000000"/>
                <w:sz w:val="12"/>
              </w:rPr>
              <w:t>(1)</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7,911 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6,781 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30,333 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29,499 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333,305 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369,041 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1,356,499 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1,450,920 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930" w:type="dxa"/>
            <w:gridSpan w:val="24"/>
            <w:tcBorders/>
            <w:tcMar>
              <w:top w:w="0" w:type="dxa"/>
              <w:left w:w="0" w:type="dxa"/>
              <w:bottom w:w="0" w:type="dxa"/>
              <w:right w:w="0" w:type="dxa"/>
            </w:tcMar>
            <w:vAlign w:val="center"/>
          </w:tcPr>
          <w:p>
            <w:pPr>
              <w:pStyle w:val="TableContents"/>
              <w:bidi w:val="0"/>
              <w:spacing w:lineRule="auto" w:line="268" w:before="0" w:after="0"/>
              <w:jc w:val="left"/>
              <w:rPr/>
            </w:pPr>
            <w:r>
              <w:rPr>
                <w:rFonts w:ascii="Garamond;serif" w:hAnsi="Garamond;serif"/>
                <w:b w:val="false"/>
                <w:color w:val="000000"/>
                <w:sz w:val="12"/>
              </w:rPr>
              <w:t>(1)</w:t>
            </w:r>
            <w:r>
              <w:rPr>
                <w:color w:val="000000"/>
              </w:rPr>
              <w:t xml:space="preserve"> </w:t>
            </w:r>
            <w:r>
              <w:rPr>
                <w:rFonts w:ascii="Garamond;serif" w:hAnsi="Garamond;serif"/>
                <w:b w:val="false"/>
                <w:color w:val="000000"/>
                <w:sz w:val="18"/>
              </w:rPr>
              <w:t>The North America geographic area consists of net sales substantially related to the United States and there is no individual foreign country to which more than 10% of the Company’s net sales are attributed or that is otherwise deemed individually material.</w:t>
            </w:r>
          </w:p>
        </w:tc>
        <w:tc>
          <w:tcPr>
            <w:tcW w:w="275" w:type="dxa"/>
            <w:gridSpan w:val="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9</w:t>
                      </w:r>
                    </w:p>
                  </w:txbxContent>
                </v:textbox>
                <w10:wrap type="none"/>
              </v:rect>
            </w:pict>
          </mc:Fallback>
        </mc:AlternateContent>
      </w:r>
    </w:p>
    <w:p>
      <w:pPr>
        <w:pStyle w:val="TextBody"/>
        <w:bidi w:val="0"/>
        <w:spacing w:lineRule="auto" w:line="288" w:before="0" w:after="0"/>
        <w:jc w:val="both"/>
        <w:rPr>
          <w:rFonts w:ascii="Garamond;serif" w:hAnsi="Garamond;serif"/>
          <w:b/>
          <w:i/>
          <w:color w:val="000000"/>
          <w:sz w:val="20"/>
        </w:rPr>
      </w:pPr>
      <w:r>
        <w:rPr>
          <w:rFonts w:ascii="Garamond;serif" w:hAnsi="Garamond;serif"/>
          <w:b/>
          <w:i/>
          <w:color w:val="000000"/>
          <w:sz w:val="20"/>
        </w:rPr>
        <w:t>Reconciliation of EBITDA and Adjusted EBITDA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 xml:space="preserve">EBITDA and Adjusted EBITDA. </w:t>
      </w:r>
      <w:r>
        <w:rPr>
          <w:rFonts w:ascii="Garamond;serif" w:hAnsi="Garamond;serif"/>
          <w:b w:val="false"/>
          <w:color w:val="000000"/>
          <w:sz w:val="20"/>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loss on impairment, stock-based compensation expense, business transaction costs, purchase price accounting inventory step-up, integration expense, term loan transaction fees, restructuring and other costs,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 provides a reconciliation of EBITDA and Adjusted EBITDA to their most directly comparable GAAP measure, which is net income, for the thirteen and fifty-two weeks ended August 29, 2026, and thirteen and fifty-two weeks ended August 30, 2025:</w:t>
      </w:r>
    </w:p>
    <w:tbl>
      <w:tblPr>
        <w:tblW w:w="10205" w:type="dxa"/>
        <w:jc w:val="center"/>
        <w:tblInd w:w="0" w:type="dxa"/>
        <w:tblLayout w:type="fixed"/>
        <w:tblCellMar>
          <w:top w:w="28" w:type="dxa"/>
          <w:left w:w="28" w:type="dxa"/>
          <w:bottom w:w="28" w:type="dxa"/>
          <w:right w:w="28" w:type="dxa"/>
        </w:tblCellMar>
      </w:tblPr>
      <w:tblGrid>
        <w:gridCol w:w="1069"/>
        <w:gridCol w:w="837"/>
        <w:gridCol w:w="843"/>
        <w:gridCol w:w="109"/>
        <w:gridCol w:w="109"/>
        <w:gridCol w:w="109"/>
        <w:gridCol w:w="292"/>
        <w:gridCol w:w="1070"/>
        <w:gridCol w:w="140"/>
        <w:gridCol w:w="109"/>
        <w:gridCol w:w="109"/>
        <w:gridCol w:w="109"/>
        <w:gridCol w:w="277"/>
        <w:gridCol w:w="1098"/>
        <w:gridCol w:w="132"/>
        <w:gridCol w:w="109"/>
        <w:gridCol w:w="109"/>
        <w:gridCol w:w="109"/>
        <w:gridCol w:w="258"/>
        <w:gridCol w:w="1163"/>
        <w:gridCol w:w="124"/>
        <w:gridCol w:w="109"/>
        <w:gridCol w:w="109"/>
        <w:gridCol w:w="109"/>
        <w:gridCol w:w="270"/>
        <w:gridCol w:w="1133"/>
        <w:gridCol w:w="191"/>
      </w:tblGrid>
      <w:tr>
        <w:trPr/>
        <w:tc>
          <w:tcPr>
            <w:tcW w:w="106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13-Weeks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13-Weeks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r>
      <w:tr>
        <w:trPr/>
        <w:tc>
          <w:tcPr>
            <w:tcW w:w="27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30,498 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(12,357)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(155,903)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103,614 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(872)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(2,940)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5,552 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4,150 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21,447 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23,249 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10,519 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(3,135)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(42,220)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32,289 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6,159 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24,255 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21,431 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51,856 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(5,904)</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(155,361)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177,920 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60,928 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331,000 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60,928 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4,094 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2,454 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17,280 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15,273 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820 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Inventory step-up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1,412 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Integration expense </w:t>
            </w:r>
            <w:r>
              <w:rPr>
                <w:rFonts w:ascii="Garamond;serif" w:hAnsi="Garamond;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8,744 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10,621 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20,856 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Term loan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3,030 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715 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Restructuring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1,419 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19,492 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Other </w:t>
            </w:r>
            <w:r>
              <w:rPr>
                <w:rFonts w:ascii="Garamond;serif" w:hAnsi="Garamond;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125 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238 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57,494 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66,239 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225,869 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278,162 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60" w:after="40"/>
              <w:ind w:left="0" w:right="0" w:hanging="90"/>
              <w:jc w:val="both"/>
              <w:rPr/>
            </w:pPr>
            <w:r>
              <w:rPr>
                <w:rFonts w:ascii="Garamond;serif" w:hAnsi="Garamond;serif"/>
                <w:b w:val="false"/>
                <w:color w:val="000000"/>
                <w:sz w:val="12"/>
              </w:rPr>
              <w:t xml:space="preserve">(1) </w:t>
            </w:r>
            <w:r>
              <w:rPr>
                <w:rFonts w:ascii="Garamond;serif" w:hAnsi="Garamond;serif"/>
                <w:b w:val="false"/>
                <w:color w:val="000000"/>
                <w:sz w:val="18"/>
              </w:rPr>
              <w:t>Includes one-time effects from actions taken to mitigate OWYN product quality issues.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60" w:after="40"/>
              <w:ind w:left="0" w:right="0" w:hanging="90"/>
              <w:jc w:val="both"/>
              <w:rPr/>
            </w:pPr>
            <w:r>
              <w:rPr>
                <w:rFonts w:ascii="Garamond;serif" w:hAnsi="Garamond;serif"/>
                <w:b w:val="false"/>
                <w:color w:val="000000"/>
                <w:sz w:val="12"/>
              </w:rPr>
              <w:t xml:space="preserve">(2) </w:t>
            </w:r>
            <w:r>
              <w:rPr>
                <w:rFonts w:ascii="Garamond;serif" w:hAnsi="Garamond;serif"/>
                <w:b w:val="false"/>
                <w:color w:val="000000"/>
                <w:sz w:val="18"/>
              </w:rPr>
              <w:t>Other items consist principally of exchange impact of foreign currency transactions and other expenses.</w:t>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10</w:t>
                      </w:r>
                    </w:p>
                  </w:txbxContent>
                </v:textbox>
                <w10:wrap type="none"/>
              </v:rect>
            </w:pict>
          </mc:Fallback>
        </mc:AlternateContent>
      </w:r>
    </w:p>
    <w:p>
      <w:pPr>
        <w:pStyle w:val="TextBody"/>
        <w:bidi w:val="0"/>
        <w:spacing w:lineRule="auto" w:line="288" w:before="0" w:after="0"/>
        <w:ind w:left="0" w:right="0" w:hanging="180"/>
        <w:jc w:val="both"/>
        <w:rPr>
          <w:rFonts w:ascii="Garamond;serif" w:hAnsi="Garamond;serif"/>
          <w:b/>
          <w:i/>
          <w:color w:val="000000"/>
          <w:sz w:val="20"/>
        </w:rPr>
      </w:pPr>
      <w:r>
        <w:rPr>
          <w:rFonts w:ascii="Garamond;serif" w:hAnsi="Garamond;serif"/>
          <w:b/>
          <w:i/>
          <w:color w:val="000000"/>
          <w:sz w:val="20"/>
        </w:rPr>
        <w:t>Reconciliation of Adjusted Diluted Earnings Per Share</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Adjusted Diluted Earnings per Share</w:t>
      </w:r>
      <w:r>
        <w:rPr>
          <w:rFonts w:ascii="Garamond;serif" w:hAnsi="Garamond;serif"/>
          <w:b w:val="false"/>
          <w:color w:val="000000"/>
          <w:sz w:val="20"/>
        </w:rPr>
        <w:t>. Adjusted Diluted Earnings per Share is a non-GAAP financial measure commonly used in our industry and should not be construed as an alternative to diluted earnings per share as an indicator of operating performance. Simply Good Foods defines Adjusted Diluted Earnings Per Share as diluted earnings per share before depreciation and amortization, loss on impairment, stock-based compensation expense, business transaction costs, purchase price accounting inventory step-up, integration expense, term loan transaction fees, restructuring and other costs, and other non-core expenses, on a theoretical tax effected basis of such adjustments. The tax effect of such adjustments to Adjusted Diluted Earnings Per Share is calculated by applying an overall assumed statutory tax rate to each gross adjustment as shown in the reconciliation to Adjusted EBITDA, as previously defined. The assumed statutory tax rate reflects a normalized effective tax rate estimated based on assumptions regarding the Company's statutory and effective tax rate for each respective reporting period, including the current and deferred tax effects of each adjustment, and is adjusted for the effects of tax reform, if any. The Company consistently applies the overall assumed statutory tax rate to periods throughout each fiscal year and reassesses the overall assumed statutory rate on annual basis. The Company believes that the inclusion of these supplementary adjustments in presenting Adjusted Diluted Earnings per Share, when used in conjunction with diluted earnings per share, are appropriate to provide additional information to investors,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Diluted Earnings per Share is frequently used by securities analysts, investors and other interested parties in the evaluation of companies in its industry</w:t>
      </w:r>
      <w:r>
        <w:rPr>
          <w:rFonts w:ascii="Garamond;serif" w:hAnsi="Garamond;serif"/>
          <w:b w:val="false"/>
          <w:i/>
          <w:color w:val="000000"/>
          <w:sz w:val="24"/>
        </w:rPr>
        <w:t>.</w:t>
      </w:r>
      <w:r>
        <w:rPr>
          <w:color w:val="000000"/>
        </w:rPr>
        <w:t xml:space="preserve"> </w:t>
      </w:r>
      <w:r>
        <w:rPr>
          <w:rFonts w:ascii="Garamond;serif" w:hAnsi="Garamond;serif"/>
          <w:b w:val="false"/>
          <w:color w:val="000000"/>
          <w:sz w:val="20"/>
        </w:rPr>
        <w:t>Adjusted Diluted Earnings per Share may not be comparable to other similarly titled captions of other companies due to differences in the non-GAAP calculation.</w:t>
      </w:r>
    </w:p>
    <w:p>
      <w:pPr>
        <w:pStyle w:val="TextBody"/>
        <w:bidi w:val="0"/>
        <w:spacing w:before="0" w:after="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tables below provide a reconciliation of Adjusted Diluted Earnings Per Share to its most directly comparable GAAP measure, which is diluted earnings per share, for the thirteen and fifty-two weeks ended August 29, 2026, and the thirteen and fifty-two weeks ended August 30, 2025:</w:t>
      </w:r>
    </w:p>
    <w:tbl>
      <w:tblPr>
        <w:tblW w:w="10205" w:type="dxa"/>
        <w:jc w:val="center"/>
        <w:tblInd w:w="0" w:type="dxa"/>
        <w:tblLayout w:type="fixed"/>
        <w:tblCellMar>
          <w:top w:w="28" w:type="dxa"/>
          <w:left w:w="28" w:type="dxa"/>
          <w:bottom w:w="28" w:type="dxa"/>
          <w:right w:w="28" w:type="dxa"/>
        </w:tblCellMar>
      </w:tblPr>
      <w:tblGrid>
        <w:gridCol w:w="1288"/>
        <w:gridCol w:w="654"/>
        <w:gridCol w:w="657"/>
        <w:gridCol w:w="139"/>
        <w:gridCol w:w="139"/>
        <w:gridCol w:w="139"/>
        <w:gridCol w:w="358"/>
        <w:gridCol w:w="929"/>
        <w:gridCol w:w="172"/>
        <w:gridCol w:w="139"/>
        <w:gridCol w:w="139"/>
        <w:gridCol w:w="139"/>
        <w:gridCol w:w="344"/>
        <w:gridCol w:w="963"/>
        <w:gridCol w:w="166"/>
        <w:gridCol w:w="139"/>
        <w:gridCol w:w="139"/>
        <w:gridCol w:w="139"/>
        <w:gridCol w:w="344"/>
        <w:gridCol w:w="963"/>
        <w:gridCol w:w="166"/>
        <w:gridCol w:w="139"/>
        <w:gridCol w:w="139"/>
        <w:gridCol w:w="139"/>
        <w:gridCol w:w="354"/>
        <w:gridCol w:w="921"/>
        <w:gridCol w:w="258"/>
      </w:tblGrid>
      <w:tr>
        <w:trPr/>
        <w:tc>
          <w:tcPr>
            <w:tcW w:w="128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13-Weeks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13-Weeks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52-Weeks Ended</w:t>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30, 2025</w:t>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20"/>
              </w:rPr>
            </w:pPr>
            <w:r>
              <w:rPr>
                <w:rFonts w:ascii="Garamond;serif" w:hAnsi="Garamond;serif"/>
                <w:b w:val="false"/>
                <w:color w:val="000000"/>
                <w:sz w:val="20"/>
              </w:rPr>
              <w:t>Diluted (loss) earnings per share</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0.34 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(1.69)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1.02 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Depreciation and amortization</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0.21 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Loss on impairment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0.60 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Stock-based compensation expense</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Business transaction costs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Inventory step-up</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Integration expense</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0.21 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Term loan transaction fees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Restructuring and other costs</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Tax effects of adjustments </w:t>
            </w:r>
            <w:r>
              <w:rPr>
                <w:rFonts w:ascii="Garamond;serif" w:hAnsi="Garamond;serif"/>
                <w:b w:val="false"/>
                <w:color w:val="000000"/>
                <w:sz w:val="12"/>
              </w:rPr>
              <w:t>(1)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(0.30)</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Garamond;serif" w:hAnsi="Garamond;serif"/>
                <w:b w:val="false"/>
                <w:color w:val="000000"/>
                <w:sz w:val="18"/>
              </w:rPr>
              <w:t xml:space="preserve">Rounding </w:t>
            </w:r>
            <w:r>
              <w:rPr>
                <w:rFonts w:ascii="Garamond;serif" w:hAnsi="Garamond;serif"/>
                <w:b w:val="false"/>
                <w:color w:val="000000"/>
                <w:sz w:val="12"/>
              </w:rPr>
              <w:t>(2)</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Adjusted diluted earnings per share</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1.92 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7606" w:type="dxa"/>
            <w:gridSpan w:val="24"/>
            <w:tcBorders/>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40"/>
              <w:ind w:left="0" w:right="0" w:hanging="90"/>
              <w:jc w:val="both"/>
              <w:rPr/>
            </w:pPr>
            <w:r>
              <w:rPr>
                <w:rFonts w:ascii="Garamond;serif" w:hAnsi="Garamond;serif"/>
                <w:b w:val="false"/>
                <w:color w:val="000000"/>
                <w:sz w:val="10"/>
              </w:rPr>
              <w:t xml:space="preserve">(1) </w:t>
            </w:r>
            <w:r>
              <w:rPr>
                <w:rFonts w:ascii="Garamond;serif" w:hAnsi="Garamond;serif"/>
                <w:b w:val="false"/>
                <w:color w:val="000000"/>
                <w:sz w:val="16"/>
              </w:rPr>
              <w:t xml:space="preserve">This line item reflects the aggregate tax effect of all non-tax adjustments reflected in the preceding line items of the table. The tax effect of each adjustment is computed (i) by dividing the gross amount of the adjustment, as shown in the Adjusted EBITDA reconciliation, by the number of diluted weighted average shares outstanding for the applicable fiscal period and (ii) applying an overall assumed statutory tax rate of 25% for the thirteen and fifty-two weeks ended August 29, 2026, as well as the thirteen and fifty-two weeks ended August 30, 2025. </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ind w:left="0" w:right="0" w:hanging="90"/>
              <w:jc w:val="both"/>
              <w:rPr/>
            </w:pPr>
            <w:r>
              <w:rPr>
                <w:rFonts w:ascii="Garamond;serif" w:hAnsi="Garamond;serif"/>
                <w:b w:val="false"/>
                <w:color w:val="000000"/>
                <w:sz w:val="10"/>
              </w:rPr>
              <w:t>(2)</w:t>
            </w:r>
            <w:r>
              <w:rPr>
                <w:color w:val="000000"/>
              </w:rPr>
              <w:t xml:space="preserve"> </w:t>
            </w:r>
            <w:r>
              <w:rPr>
                <w:rFonts w:ascii="Garamond;serif" w:hAnsi="Garamond;serif"/>
                <w:b w:val="false"/>
                <w:color w:val="000000"/>
                <w:sz w:val="16"/>
              </w:rPr>
              <w:t>Adjusted Diluted Earnings Per Share amounts are computed independently for each quarter. Therefore, the sum of the quarterly Adjusted Diluted Earnings Per Share amounts may not equal the year to date Adjusted Diluted Earnings Per Share amounts due to rounding.</w:t>
            </w:r>
          </w:p>
        </w:tc>
      </w:tr>
    </w:tbl>
    <w:p>
      <w:pPr>
        <w:pStyle w:val="TextBody"/>
        <w:bidi w:val="0"/>
        <w:spacing w:before="0" w:after="0"/>
        <w:ind w:left="0" w:right="0" w:hanging="270"/>
        <w:jc w:val="both"/>
        <w:rPr/>
      </w:pPr>
      <w:r>
        <w:rPr/>
      </w:r>
    </w:p>
    <w:p>
      <w:pPr>
        <w:pStyle w:val="TextBody"/>
        <w:bidi w:val="0"/>
        <w:spacing w:before="0" w:after="0"/>
        <w:ind w:left="0" w:right="0" w:hanging="18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11</w:t>
                      </w:r>
                    </w:p>
                  </w:txbxContent>
                </v:textbox>
                <w10:wrap type="none"/>
              </v:rect>
            </w:pict>
          </mc:Fallback>
        </mc:AlternateContent>
      </w:r>
    </w:p>
    <w:p>
      <w:pPr>
        <w:pStyle w:val="TextBody"/>
        <w:bidi w:val="0"/>
        <w:spacing w:lineRule="auto" w:line="288" w:before="0" w:after="0"/>
        <w:ind w:left="0" w:right="0" w:hanging="180"/>
        <w:jc w:val="both"/>
        <w:rPr/>
      </w:pPr>
      <w:r>
        <w:rPr>
          <w:rFonts w:ascii="Garamond;serif" w:hAnsi="Garamond;serif"/>
          <w:b/>
          <w:i/>
          <w:color w:val="000000"/>
          <w:sz w:val="20"/>
        </w:rPr>
        <w:t>Reconciliation of Net Debt to Adjusted EBITDA</w:t>
      </w:r>
      <w:r>
        <w:rPr>
          <w:color w:val="000000"/>
        </w:rPr>
        <w:t xml:space="preserve"> </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Garamond;serif" w:hAnsi="Garamond;serif"/>
          <w:b/>
          <w:i/>
          <w:color w:val="000000"/>
          <w:sz w:val="20"/>
        </w:rPr>
        <w:t>Net Debt to Adjusted EBITDA</w:t>
      </w:r>
      <w:r>
        <w:rPr>
          <w:rFonts w:ascii="Garamond;serif" w:hAnsi="Garamond;serif"/>
          <w:b w:val="false"/>
          <w:color w:val="000000"/>
          <w:sz w:val="20"/>
        </w:rPr>
        <w:t>. Net Debt to Adjusted EBITDA is a non-GAAP financial measure which Simply Good Foods defines as the total debt outstanding under our credit agreement with Barclays Bank PLC and other parties (“Credit Agreement”), reduced by cash and cash equivalents, and divided by the trailing twelve months of Adjusted EBITDA, as previously defined.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Garamond;serif" w:hAnsi="Garamond;serif"/>
          <w:b w:val="false"/>
          <w:color w:val="000000"/>
          <w:sz w:val="20"/>
        </w:rPr>
      </w:pPr>
      <w:r>
        <w:rPr>
          <w:rFonts w:ascii="Garamond;serif" w:hAnsi="Garamond;serif"/>
          <w:b w:val="false"/>
          <w:color w:val="000000"/>
          <w:sz w:val="20"/>
        </w:rPr>
        <w:t>The following unaudited table below provides a reconciliation of Net Debt to Adjusted EBITDA as of August 29, 2026:</w:t>
      </w:r>
    </w:p>
    <w:p>
      <w:pPr>
        <w:pStyle w:val="TextBody"/>
        <w:bidi w:val="0"/>
        <w:spacing w:before="0" w:after="0"/>
        <w:ind w:left="0" w:right="0" w:firstLine="720"/>
        <w:jc w:val="both"/>
        <w:rPr/>
      </w:pPr>
      <w:r>
        <w:rPr/>
      </w:r>
    </w:p>
    <w:tbl>
      <w:tblPr>
        <w:tblW w:w="6971" w:type="dxa"/>
        <w:jc w:val="center"/>
        <w:tblInd w:w="0" w:type="dxa"/>
        <w:tblLayout w:type="fixed"/>
        <w:tblCellMar>
          <w:top w:w="28" w:type="dxa"/>
          <w:left w:w="28" w:type="dxa"/>
          <w:bottom w:w="28" w:type="dxa"/>
          <w:right w:w="28" w:type="dxa"/>
        </w:tblCellMar>
      </w:tblPr>
      <w:tblGrid>
        <w:gridCol w:w="1787"/>
        <w:gridCol w:w="1569"/>
        <w:gridCol w:w="1579"/>
        <w:gridCol w:w="109"/>
        <w:gridCol w:w="109"/>
        <w:gridCol w:w="109"/>
        <w:gridCol w:w="270"/>
        <w:gridCol w:w="1133"/>
        <w:gridCol w:w="306"/>
      </w:tblGrid>
      <w:tr>
        <w:trPr/>
        <w:tc>
          <w:tcPr>
            <w:tcW w:w="178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i/>
                <w:color w:val="000000"/>
                <w:sz w:val="18"/>
              </w:rPr>
            </w:pPr>
            <w:r>
              <w:rPr>
                <w:rFonts w:ascii="Garamond;serif" w:hAnsi="Garamond;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Garamond;serif" w:hAnsi="Garamond;serif"/>
                <w:b w:val="false"/>
                <w:color w:val="000000"/>
                <w:sz w:val="18"/>
              </w:rPr>
            </w:pPr>
            <w:r>
              <w:rPr>
                <w:rFonts w:ascii="Garamond;serif" w:hAnsi="Garamond;serif"/>
                <w:b w:val="false"/>
                <w:color w:val="000000"/>
                <w:sz w:val="18"/>
              </w:rPr>
              <w:t>August 29, 2026</w:t>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Total debt outstanding under the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350,000 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(138,425)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Debt as of August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211,575 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225,869 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Garamond;serif" w:hAnsi="Garamond;serif"/>
                <w:b w:val="false"/>
                <w:color w:val="000000"/>
                <w:sz w:val="18"/>
              </w:rPr>
            </w:pPr>
            <w:r>
              <w:rPr>
                <w:rFonts w:ascii="Garamond;serif" w:hAnsi="Garamond;serif"/>
                <w:b w:val="false"/>
                <w:color w:val="000000"/>
                <w:sz w:val="18"/>
              </w:rPr>
              <w:t>Net Debt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0.9 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Garamond;serif" w:hAnsi="Garamond;serif"/>
                <w:b w:val="false"/>
                <w:color w:val="000000"/>
                <w:sz w:val="18"/>
              </w:rPr>
            </w:pPr>
            <w:r>
              <w:rPr>
                <w:rFonts w:ascii="Garamond;serif" w:hAnsi="Garamond;serif"/>
                <w:b w:val="false"/>
                <w:color w:val="000000"/>
                <w:sz w:val="18"/>
              </w:rPr>
              <w:t>x</w:t>
            </w:r>
          </w:p>
        </w:tc>
      </w:tr>
    </w:tbl>
    <w:p>
      <w:pPr>
        <w:pStyle w:val="TextBody"/>
        <w:bidi w:val="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0"/>
                        </w:rPr>
                      </w:pPr>
                      <w:r>
                        <w:rPr>
                          <w:rFonts w:ascii="Garamond;serif" w:hAnsi="Garamond;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5712</Words>
  <Characters>33211</Characters>
  <CharactersWithSpaces>38497</CharactersWithSpaces>
  <Paragraphs>784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