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26"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7" w:lineRule="exact"/>
        <w:rPr>
          <w:sz w:val="24"/>
          <w:szCs w:val="24"/>
          <w:color w:val="auto"/>
        </w:rPr>
      </w:pPr>
    </w:p>
    <w:p>
      <w:pPr>
        <w:ind w:left="2220" w:right="860" w:hanging="774"/>
        <w:spacing w:after="0" w:line="235" w:lineRule="auto"/>
        <w:tabs>
          <w:tab w:leader="none" w:pos="22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May 28, 2022</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3" w:lineRule="exact"/>
        <w:rPr>
          <w:sz w:val="24"/>
          <w:szCs w:val="24"/>
          <w:color w:val="auto"/>
        </w:rPr>
      </w:pPr>
    </w:p>
    <w:p>
      <w:pPr>
        <w:ind w:left="2220" w:right="860" w:hanging="745"/>
        <w:spacing w:after="0" w:line="245" w:lineRule="auto"/>
        <w:tabs>
          <w:tab w:leader="none" w:pos="2220" w:val="left"/>
        </w:tabs>
        <w:numPr>
          <w:ilvl w:val="0"/>
          <w:numId w:val="2"/>
        </w:numPr>
        <w:rPr>
          <w:rFonts w:ascii="Arial" w:cs="Arial" w:eastAsia="Arial" w:hAnsi="Arial"/>
          <w:sz w:val="16"/>
          <w:szCs w:val="16"/>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5"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 to ________</w:t>
      </w:r>
    </w:p>
    <w:p>
      <w:pPr>
        <w:spacing w:after="0" w:line="200" w:lineRule="exact"/>
        <w:rPr>
          <w:sz w:val="24"/>
          <w:szCs w:val="24"/>
          <w:color w:val="auto"/>
        </w:rPr>
      </w:pPr>
    </w:p>
    <w:p>
      <w:pPr>
        <w:spacing w:after="0" w:line="2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001-38115</w:t>
      </w:r>
    </w:p>
    <w:p>
      <w:pPr>
        <w:spacing w:after="0" w:line="30"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The Simply Good Foods Company</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2233930</wp:posOffset>
            </wp:positionH>
            <wp:positionV relativeFrom="paragraph">
              <wp:posOffset>85725</wp:posOffset>
            </wp:positionV>
            <wp:extent cx="2682875"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8287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ectPr>
          <w:pgSz w:w="11900" w:h="16864" w:orient="portrait"/>
          <w:cols w:equalWidth="0" w:num="1">
            <w:col w:w="11240"/>
          </w:cols>
          <w:pgMar w:left="320" w:top="695" w:right="339" w:bottom="0" w:gutter="0" w:footer="0" w:header="0"/>
        </w:sectPr>
      </w:pPr>
    </w:p>
    <w:p>
      <w:pPr>
        <w:spacing w:after="0" w:line="148"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82-1038121</w:t>
      </w:r>
    </w:p>
    <w:p>
      <w:pPr>
        <w:spacing w:after="0" w:line="63" w:lineRule="exact"/>
        <w:rPr>
          <w:sz w:val="24"/>
          <w:szCs w:val="24"/>
          <w:color w:val="auto"/>
        </w:rPr>
      </w:pPr>
    </w:p>
    <w:p>
      <w:pPr>
        <w:sectPr>
          <w:pgSz w:w="11900" w:h="16864" w:orient="portrait"/>
          <w:cols w:equalWidth="0" w:num="2">
            <w:col w:w="7860" w:space="720"/>
            <w:col w:w="2660"/>
          </w:cols>
          <w:pgMar w:left="320" w:top="695" w:right="339" w:bottom="0" w:gutter="0" w:footer="0" w:header="0"/>
          <w:type w:val="continuous"/>
        </w:sectPr>
      </w:pPr>
    </w:p>
    <w:tbl>
      <w:tblPr>
        <w:tblLayout w:type="fixed"/>
        <w:tblInd w:w="1100" w:type="dxa"/>
        <w:tblCellMar>
          <w:top w:w="0" w:type="dxa"/>
          <w:left w:w="0" w:type="dxa"/>
          <w:bottom w:w="0" w:type="dxa"/>
          <w:right w:w="0" w:type="dxa"/>
        </w:tblCellMar>
      </w:tblPr>
      <w:tr>
        <w:trPr>
          <w:trHeight w:val="184"/>
        </w:trPr>
        <w:tc>
          <w:tcPr>
            <w:tcW w:w="4340" w:type="dxa"/>
            <w:vAlign w:val="bottom"/>
          </w:tcPr>
          <w:p>
            <w:pPr>
              <w:jc w:val="center"/>
              <w:ind w:right="229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4760" w:type="dxa"/>
            <w:vAlign w:val="bottom"/>
            <w:vMerge w:val="restart"/>
          </w:tcPr>
          <w:p>
            <w:pPr>
              <w:ind w:left="2400"/>
              <w:spacing w:after="0"/>
              <w:rPr>
                <w:sz w:val="20"/>
                <w:szCs w:val="20"/>
                <w:color w:val="auto"/>
              </w:rPr>
            </w:pPr>
            <w:r>
              <w:rPr>
                <w:rFonts w:ascii="Times New Roman" w:cs="Times New Roman" w:eastAsia="Times New Roman" w:hAnsi="Times New Roman"/>
                <w:sz w:val="16"/>
                <w:szCs w:val="16"/>
                <w:color w:val="auto"/>
              </w:rPr>
              <w:t>(I.R.S. Employer Identification No.)</w:t>
            </w:r>
          </w:p>
        </w:tc>
        <w:tc>
          <w:tcPr>
            <w:tcW w:w="0" w:type="dxa"/>
            <w:vAlign w:val="bottom"/>
          </w:tcPr>
          <w:p>
            <w:pPr>
              <w:spacing w:after="0"/>
              <w:rPr>
                <w:sz w:val="1"/>
                <w:szCs w:val="1"/>
                <w:color w:val="auto"/>
              </w:rPr>
            </w:pPr>
          </w:p>
        </w:tc>
      </w:tr>
      <w:tr>
        <w:trPr>
          <w:trHeight w:val="102"/>
        </w:trPr>
        <w:tc>
          <w:tcPr>
            <w:tcW w:w="4340" w:type="dxa"/>
            <w:vAlign w:val="bottom"/>
            <w:vMerge w:val="restart"/>
          </w:tcPr>
          <w:p>
            <w:pPr>
              <w:jc w:val="center"/>
              <w:ind w:right="231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4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340" w:type="dxa"/>
            <w:vAlign w:val="bottom"/>
            <w:vMerge w:val="continue"/>
          </w:tcPr>
          <w:p>
            <w:pPr>
              <w:spacing w:after="0"/>
              <w:rPr>
                <w:sz w:val="9"/>
                <w:szCs w:val="9"/>
                <w:color w:val="auto"/>
              </w:rPr>
            </w:pPr>
          </w:p>
        </w:tc>
        <w:tc>
          <w:tcPr>
            <w:tcW w:w="4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8"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1225 17th Street, Suite 1000</w:t>
      </w:r>
    </w:p>
    <w:p>
      <w:pPr>
        <w:spacing w:after="0" w:line="3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Denver, CO 80202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(303) 633-2840</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3"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4" w:lineRule="exact"/>
        <w:rPr>
          <w:sz w:val="24"/>
          <w:szCs w:val="24"/>
          <w:color w:val="auto"/>
        </w:rPr>
      </w:pPr>
    </w:p>
    <w:tbl>
      <w:tblPr>
        <w:tblLayout w:type="fixed"/>
        <w:tblInd w:w="1000" w:type="dxa"/>
        <w:tblCellMar>
          <w:top w:w="0" w:type="dxa"/>
          <w:left w:w="0" w:type="dxa"/>
          <w:bottom w:w="0" w:type="dxa"/>
          <w:right w:w="0" w:type="dxa"/>
        </w:tblCellMar>
      </w:tblPr>
      <w:tr>
        <w:trPr>
          <w:trHeight w:val="210"/>
        </w:trPr>
        <w:tc>
          <w:tcPr>
            <w:tcW w:w="3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Title of each class</w:t>
            </w:r>
          </w:p>
        </w:tc>
        <w:tc>
          <w:tcPr>
            <w:tcW w:w="27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Trading symbol</w:t>
            </w:r>
          </w:p>
        </w:tc>
        <w:tc>
          <w:tcPr>
            <w:tcW w:w="3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47"/>
        </w:trPr>
        <w:tc>
          <w:tcPr>
            <w:tcW w:w="3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r>
      <w:tr>
        <w:trPr>
          <w:trHeight w:val="204"/>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0" w:type="dxa"/>
            <w:vAlign w:val="bottom"/>
          </w:tcPr>
          <w:p>
            <w:pPr>
              <w:spacing w:after="0"/>
              <w:rPr>
                <w:sz w:val="17"/>
                <w:szCs w:val="17"/>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SMPL</w:t>
            </w:r>
          </w:p>
        </w:tc>
        <w:tc>
          <w:tcPr>
            <w:tcW w:w="140" w:type="dxa"/>
            <w:vAlign w:val="bottom"/>
          </w:tcPr>
          <w:p>
            <w:pPr>
              <w:spacing w:after="0"/>
              <w:rPr>
                <w:sz w:val="17"/>
                <w:szCs w:val="17"/>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Nasdaq</w:t>
            </w:r>
          </w:p>
        </w:tc>
      </w:tr>
    </w:tbl>
    <w:p>
      <w:pPr>
        <w:spacing w:after="0" w:line="3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64" w:orient="portrait"/>
          <w:cols w:equalWidth="0" w:num="1">
            <w:col w:w="11240"/>
          </w:cols>
          <w:pgMar w:left="320" w:top="695" w:right="339" w:bottom="0" w:gutter="0" w:footer="0" w:header="0"/>
          <w:type w:val="continuous"/>
        </w:sectPr>
      </w:pPr>
    </w:p>
    <w:p>
      <w:pPr>
        <w:spacing w:after="0" w:line="126"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73"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ind w:left="680"/>
        <w:spacing w:after="0" w:line="184"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6"/>
          <w:szCs w:val="16"/>
          <w:color w:val="auto"/>
        </w:rPr>
        <w:t>☐</w:t>
      </w:r>
    </w:p>
    <w:p>
      <w:pPr>
        <w:spacing w:after="0" w:line="7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64" w:orient="portrait"/>
          <w:cols w:equalWidth="0" w:num="3">
            <w:col w:w="4080" w:space="540"/>
            <w:col w:w="1060" w:space="720"/>
            <w:col w:w="4840"/>
          </w:cols>
          <w:pgMar w:left="320" w:top="695"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June 25, 2022, there were 100,370,687 shares of common stock, par value $0.01 per share, issued and outstanding.</w:t>
      </w:r>
    </w:p>
    <w:p>
      <w:pPr>
        <w:sectPr>
          <w:pgSz w:w="11900" w:h="16864" w:orient="portrait"/>
          <w:cols w:equalWidth="0" w:num="1">
            <w:col w:w="11240"/>
          </w:cols>
          <w:pgMar w:left="320" w:top="695" w:right="339" w:bottom="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THE QUARTER ENDED MAY 28, 2022</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4"/>
          </w:tcPr>
          <w:p>
            <w:pPr>
              <w:ind w:left="500"/>
              <w:spacing w:after="0"/>
              <w:rPr>
                <w:sz w:val="20"/>
                <w:szCs w:val="20"/>
                <w:color w:val="auto"/>
              </w:rPr>
            </w:pPr>
            <w:r>
              <w:rPr>
                <w:rFonts w:ascii="Times New Roman" w:cs="Times New Roman" w:eastAsia="Times New Roman" w:hAnsi="Times New Roman"/>
                <w:sz w:val="16"/>
                <w:szCs w:val="16"/>
                <w:b w:val="1"/>
                <w:bCs w:val="1"/>
                <w:color w:val="auto"/>
                <w:w w:val="91"/>
              </w:rPr>
              <w:t>Page</w:t>
            </w:r>
          </w:p>
        </w:tc>
      </w:tr>
      <w:tr>
        <w:trPr>
          <w:trHeight w:val="412"/>
        </w:trPr>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b w:val="1"/>
                <w:bCs w:val="1"/>
                <w:color w:val="0000FF"/>
                <w:w w:val="99"/>
              </w:rPr>
              <w:t>PART I. Financial Information</w:t>
            </w:r>
          </w:p>
        </w:tc>
        <w:tc>
          <w:tcPr>
            <w:tcW w:w="2520" w:type="dxa"/>
            <w:vAlign w:val="bottom"/>
            <w:gridSpan w:val="6"/>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196"/>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1</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Financial Statements (Unaudited)</w:t>
            </w: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3</w:t>
            </w:r>
          </w:p>
        </w:tc>
        <w:tc>
          <w:tcPr>
            <w:tcW w:w="120" w:type="dxa"/>
            <w:vAlign w:val="bottom"/>
          </w:tcPr>
          <w:p>
            <w:pPr>
              <w:spacing w:after="0"/>
              <w:rPr>
                <w:sz w:val="17"/>
                <w:szCs w:val="17"/>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Condensed Consolidated Balance Sheets</w:t>
            </w:r>
          </w:p>
        </w:tc>
        <w:tc>
          <w:tcPr>
            <w:tcW w:w="3660" w:type="dxa"/>
            <w:vAlign w:val="bottom"/>
            <w:gridSpan w:val="8"/>
          </w:tcPr>
          <w:p>
            <w:pPr>
              <w:spacing w:after="0"/>
              <w:rPr>
                <w:sz w:val="20"/>
                <w:szCs w:val="20"/>
                <w:color w:val="auto"/>
              </w:rPr>
            </w:pP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3</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Condensed Consolidated Statements of Operations and Comprehensive Income</w:t>
            </w: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4</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3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Condensed Consolidated Statements of Cash Flows</w:t>
            </w:r>
          </w:p>
        </w:tc>
        <w:tc>
          <w:tcPr>
            <w:tcW w:w="1800" w:type="dxa"/>
            <w:vAlign w:val="bottom"/>
            <w:gridSpan w:val="5"/>
          </w:tcPr>
          <w:p>
            <w:pPr>
              <w:spacing w:after="0"/>
              <w:rPr>
                <w:sz w:val="20"/>
                <w:szCs w:val="20"/>
                <w:color w:val="auto"/>
              </w:rPr>
            </w:pPr>
          </w:p>
        </w:tc>
        <w:tc>
          <w:tcPr>
            <w:tcW w:w="1160" w:type="dxa"/>
            <w:vAlign w:val="bottom"/>
            <w:gridSpan w:val="2"/>
          </w:tcPr>
          <w:p>
            <w:pPr>
              <w:spacing w:after="0"/>
              <w:rPr>
                <w:sz w:val="20"/>
                <w:szCs w:val="20"/>
                <w:color w:val="auto"/>
              </w:rPr>
            </w:pP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5</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9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Condensed Consolidated Statements of Stockholders’ Equity</w:t>
            </w:r>
          </w:p>
        </w:tc>
        <w:tc>
          <w:tcPr>
            <w:tcW w:w="2340" w:type="dxa"/>
            <w:vAlign w:val="bottom"/>
            <w:gridSpan w:val="4"/>
          </w:tcPr>
          <w:p>
            <w:pPr>
              <w:spacing w:after="0"/>
              <w:rPr>
                <w:sz w:val="20"/>
                <w:szCs w:val="20"/>
                <w:color w:val="auto"/>
              </w:rPr>
            </w:pP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7</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Notes to Unaudited Condensed Consolidated Financial Statements</w:t>
            </w: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9</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2</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700" w:type="dxa"/>
            <w:vAlign w:val="bottom"/>
            <w:gridSpan w:val="3"/>
          </w:tcPr>
          <w:p>
            <w:pPr>
              <w:jc w:val="center"/>
              <w:ind w:left="459"/>
              <w:spacing w:after="0"/>
              <w:rPr>
                <w:sz w:val="20"/>
                <w:szCs w:val="20"/>
                <w:color w:val="auto"/>
              </w:rPr>
            </w:pPr>
            <w:r>
              <w:rPr>
                <w:rFonts w:ascii="Times New Roman" w:cs="Times New Roman" w:eastAsia="Times New Roman" w:hAnsi="Times New Roman"/>
                <w:sz w:val="16"/>
                <w:szCs w:val="16"/>
                <w:color w:val="0000FF"/>
                <w:w w:val="99"/>
              </w:rPr>
              <w:t>21</w:t>
            </w:r>
          </w:p>
        </w:tc>
        <w:tc>
          <w:tcPr>
            <w:tcW w:w="120" w:type="dxa"/>
            <w:vAlign w:val="bottom"/>
          </w:tcPr>
          <w:p>
            <w:pPr>
              <w:spacing w:after="0"/>
              <w:rPr>
                <w:sz w:val="20"/>
                <w:szCs w:val="20"/>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36"/>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3</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700" w:type="dxa"/>
            <w:vAlign w:val="bottom"/>
            <w:gridSpan w:val="3"/>
          </w:tcPr>
          <w:p>
            <w:pPr>
              <w:jc w:val="center"/>
              <w:ind w:left="459"/>
              <w:spacing w:after="0"/>
              <w:rPr>
                <w:sz w:val="20"/>
                <w:szCs w:val="20"/>
                <w:color w:val="auto"/>
              </w:rPr>
            </w:pPr>
            <w:r>
              <w:rPr>
                <w:rFonts w:ascii="Times New Roman" w:cs="Times New Roman" w:eastAsia="Times New Roman" w:hAnsi="Times New Roman"/>
                <w:sz w:val="16"/>
                <w:szCs w:val="16"/>
                <w:color w:val="0000FF"/>
                <w:w w:val="99"/>
              </w:rPr>
              <w:t>32</w:t>
            </w:r>
          </w:p>
        </w:tc>
        <w:tc>
          <w:tcPr>
            <w:tcW w:w="120" w:type="dxa"/>
            <w:vAlign w:val="bottom"/>
          </w:tcPr>
          <w:p>
            <w:pPr>
              <w:spacing w:after="0"/>
              <w:rPr>
                <w:sz w:val="20"/>
                <w:szCs w:val="20"/>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62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37"/>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4</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700" w:type="dxa"/>
            <w:vAlign w:val="bottom"/>
            <w:gridSpan w:val="3"/>
          </w:tcPr>
          <w:p>
            <w:pPr>
              <w:jc w:val="center"/>
              <w:ind w:left="459"/>
              <w:spacing w:after="0"/>
              <w:rPr>
                <w:sz w:val="20"/>
                <w:szCs w:val="20"/>
                <w:color w:val="auto"/>
              </w:rPr>
            </w:pPr>
            <w:r>
              <w:rPr>
                <w:rFonts w:ascii="Times New Roman" w:cs="Times New Roman" w:eastAsia="Times New Roman" w:hAnsi="Times New Roman"/>
                <w:sz w:val="16"/>
                <w:szCs w:val="16"/>
                <w:color w:val="0000FF"/>
                <w:w w:val="99"/>
              </w:rPr>
              <w:t>32</w:t>
            </w:r>
          </w:p>
        </w:tc>
        <w:tc>
          <w:tcPr>
            <w:tcW w:w="120" w:type="dxa"/>
            <w:vAlign w:val="bottom"/>
          </w:tcPr>
          <w:p>
            <w:pPr>
              <w:spacing w:after="0"/>
              <w:rPr>
                <w:sz w:val="20"/>
                <w:szCs w:val="20"/>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2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0000FF"/>
              </w:rPr>
              <w:t>PART II. Other Information</w:t>
            </w: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6"/>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1</w:t>
            </w:r>
            <w:r>
              <w:rPr>
                <w:rFonts w:ascii="Times New Roman" w:cs="Times New Roman" w:eastAsia="Times New Roman" w:hAnsi="Times New Roman"/>
                <w:sz w:val="16"/>
                <w:szCs w:val="16"/>
                <w:color w:val="000000"/>
              </w:rPr>
              <w:t>.</w:t>
            </w:r>
          </w:p>
        </w:tc>
        <w:tc>
          <w:tcPr>
            <w:tcW w:w="17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1960" w:type="dxa"/>
            <w:vAlign w:val="bottom"/>
            <w:tcBorders>
              <w:top w:val="single" w:sz="8" w:color="0000FF"/>
            </w:tcBorders>
            <w:gridSpan w:val="2"/>
          </w:tcPr>
          <w:p>
            <w:pPr>
              <w:spacing w:after="0"/>
              <w:rPr>
                <w:sz w:val="17"/>
                <w:szCs w:val="17"/>
                <w:color w:val="auto"/>
              </w:rPr>
            </w:pPr>
          </w:p>
        </w:tc>
        <w:tc>
          <w:tcPr>
            <w:tcW w:w="1720" w:type="dxa"/>
            <w:vAlign w:val="bottom"/>
            <w:gridSpan w:val="2"/>
          </w:tcPr>
          <w:p>
            <w:pPr>
              <w:spacing w:after="0"/>
              <w:rPr>
                <w:sz w:val="17"/>
                <w:szCs w:val="17"/>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33</w:t>
            </w:r>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1A</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33</w:t>
            </w:r>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2</w:t>
            </w:r>
            <w:r>
              <w:rPr>
                <w:rFonts w:ascii="Times New Roman" w:cs="Times New Roman" w:eastAsia="Times New Roman" w:hAnsi="Times New Roman"/>
                <w:sz w:val="16"/>
                <w:szCs w:val="16"/>
                <w:color w:val="000000"/>
              </w:rPr>
              <w:t>.</w:t>
            </w:r>
          </w:p>
        </w:tc>
        <w:tc>
          <w:tcPr>
            <w:tcW w:w="1360" w:type="dxa"/>
            <w:vAlign w:val="bottom"/>
          </w:tcPr>
          <w:p>
            <w:pPr>
              <w:spacing w:after="0"/>
              <w:rPr>
                <w:sz w:val="20"/>
                <w:szCs w:val="20"/>
                <w:color w:val="auto"/>
              </w:rPr>
            </w:pP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33</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3</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Defaults Upon Senior Securities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33</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4</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33</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r>
      <w:tr>
        <w:trPr>
          <w:trHeight w:val="237"/>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5</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33</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6</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Exhibits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34</w:t>
            </w:r>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20" w:type="dxa"/>
            <w:vAlign w:val="bottom"/>
            <w:gridSpan w:val="8"/>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7"/>
              </w:rPr>
              <w:t>Signatures</w:t>
            </w:r>
          </w:p>
        </w:tc>
        <w:tc>
          <w:tcPr>
            <w:tcW w:w="4720" w:type="dxa"/>
            <w:vAlign w:val="bottom"/>
            <w:gridSpan w:val="8"/>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35</w:t>
            </w:r>
          </w:p>
        </w:tc>
      </w:tr>
      <w:tr>
        <w:trPr>
          <w:trHeight w:val="20"/>
        </w:trPr>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19"/>
          </w:cols>
          <w:pgMar w:left="1340" w:top="684" w:right="1440" w:bottom="1440" w:gutter="0" w:footer="0" w:header="0"/>
        </w:sectPr>
      </w:pPr>
    </w:p>
    <w:bookmarkStart w:id="3" w:name="page4"/>
    <w:bookmarkEnd w:id="3"/>
    <w:p>
      <w:pPr>
        <w:ind w:left="44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52"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share and per share data)</w:t>
      </w:r>
    </w:p>
    <w:p>
      <w:pPr>
        <w:spacing w:after="0" w:line="292" w:lineRule="exact"/>
        <w:rPr>
          <w:sz w:val="20"/>
          <w:szCs w:val="20"/>
          <w:color w:val="auto"/>
        </w:rPr>
      </w:pPr>
    </w:p>
    <w:tbl>
      <w:tblPr>
        <w:tblLayout w:type="fixed"/>
        <w:tblInd w:w="600" w:type="dxa"/>
        <w:tblCellMar>
          <w:top w:w="0" w:type="dxa"/>
          <w:left w:w="0" w:type="dxa"/>
          <w:bottom w:w="0" w:type="dxa"/>
          <w:right w:w="0" w:type="dxa"/>
        </w:tblCellMar>
      </w:tblPr>
      <w:tr>
        <w:trPr>
          <w:trHeight w:val="210"/>
        </w:trPr>
        <w:tc>
          <w:tcPr>
            <w:tcW w:w="6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May 28, 2022</w:t>
            </w:r>
          </w:p>
        </w:tc>
        <w:tc>
          <w:tcPr>
            <w:tcW w:w="18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August 28, 2021</w:t>
            </w:r>
          </w:p>
        </w:tc>
        <w:tc>
          <w:tcPr>
            <w:tcW w:w="0" w:type="dxa"/>
            <w:vAlign w:val="bottom"/>
          </w:tcPr>
          <w:p>
            <w:pPr>
              <w:spacing w:after="0"/>
              <w:rPr>
                <w:sz w:val="1"/>
                <w:szCs w:val="1"/>
                <w:color w:val="auto"/>
              </w:rPr>
            </w:pPr>
          </w:p>
        </w:tc>
      </w:tr>
      <w:tr>
        <w:trPr>
          <w:trHeight w:val="33"/>
        </w:trPr>
        <w:tc>
          <w:tcPr>
            <w:tcW w:w="6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56,720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75,345</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146,377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111,456</w:t>
            </w: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111,709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97,269</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4,902</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46,852</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9,694</w:t>
            </w:r>
          </w:p>
        </w:tc>
        <w:tc>
          <w:tcPr>
            <w:tcW w:w="0" w:type="dxa"/>
            <w:vAlign w:val="bottom"/>
          </w:tcPr>
          <w:p>
            <w:pPr>
              <w:spacing w:after="0"/>
              <w:rPr>
                <w:sz w:val="1"/>
                <w:szCs w:val="1"/>
                <w:color w:val="auto"/>
              </w:rPr>
            </w:pPr>
          </w:p>
        </w:tc>
      </w:tr>
      <w:tr>
        <w:trPr>
          <w:trHeight w:val="236"/>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366,724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298,666</w:t>
            </w:r>
          </w:p>
        </w:tc>
        <w:tc>
          <w:tcPr>
            <w:tcW w:w="0" w:type="dxa"/>
            <w:vAlign w:val="bottom"/>
          </w:tcPr>
          <w:p>
            <w:pPr>
              <w:spacing w:after="0"/>
              <w:rPr>
                <w:sz w:val="1"/>
                <w:szCs w:val="1"/>
                <w:color w:val="auto"/>
              </w:rPr>
            </w:pPr>
          </w:p>
        </w:tc>
      </w:tr>
      <w:tr>
        <w:trPr>
          <w:trHeight w:val="219"/>
        </w:trPr>
        <w:tc>
          <w:tcPr>
            <w:tcW w:w="6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assets:</w:t>
            </w: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16,584</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1,127,136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1,139,041</w:t>
            </w:r>
          </w:p>
        </w:tc>
        <w:tc>
          <w:tcPr>
            <w:tcW w:w="0" w:type="dxa"/>
            <w:vAlign w:val="bottom"/>
          </w:tcPr>
          <w:p>
            <w:pPr>
              <w:spacing w:after="0"/>
              <w:rPr>
                <w:sz w:val="1"/>
                <w:szCs w:val="1"/>
                <w:color w:val="auto"/>
              </w:rPr>
            </w:pPr>
          </w:p>
        </w:tc>
      </w:tr>
      <w:tr>
        <w:trPr>
          <w:trHeight w:val="239"/>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543,134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543,134</w:t>
            </w:r>
          </w:p>
        </w:tc>
        <w:tc>
          <w:tcPr>
            <w:tcW w:w="0" w:type="dxa"/>
            <w:vAlign w:val="bottom"/>
          </w:tcPr>
          <w:p>
            <w:pPr>
              <w:spacing w:after="0"/>
              <w:rPr>
                <w:sz w:val="1"/>
                <w:szCs w:val="1"/>
                <w:color w:val="auto"/>
              </w:rPr>
            </w:pPr>
          </w:p>
        </w:tc>
      </w:tr>
      <w:tr>
        <w:trPr>
          <w:trHeight w:val="224"/>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long-term assets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54,792</w:t>
            </w:r>
          </w:p>
        </w:tc>
        <w:tc>
          <w:tcPr>
            <w:tcW w:w="0" w:type="dxa"/>
            <w:vAlign w:val="bottom"/>
          </w:tcPr>
          <w:p>
            <w:pPr>
              <w:spacing w:after="0"/>
              <w:rPr>
                <w:sz w:val="1"/>
                <w:szCs w:val="1"/>
                <w:color w:val="auto"/>
              </w:rPr>
            </w:pPr>
          </w:p>
        </w:tc>
      </w:tr>
      <w:tr>
        <w:trPr>
          <w:trHeight w:val="33"/>
        </w:trPr>
        <w:tc>
          <w:tcPr>
            <w:tcW w:w="6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2,114,657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2,052,217</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64,729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59,713</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interest</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55,066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53,606</w:t>
            </w:r>
          </w:p>
        </w:tc>
        <w:tc>
          <w:tcPr>
            <w:tcW w:w="0" w:type="dxa"/>
            <w:vAlign w:val="bottom"/>
          </w:tcPr>
          <w:p>
            <w:pPr>
              <w:spacing w:after="0"/>
              <w:rPr>
                <w:sz w:val="1"/>
                <w:szCs w:val="1"/>
                <w:color w:val="auto"/>
              </w:rPr>
            </w:pPr>
          </w:p>
        </w:tc>
      </w:tr>
      <w:tr>
        <w:trPr>
          <w:trHeight w:val="254"/>
        </w:trPr>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3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120,287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113,664</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402,594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451,269</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108,078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93,755</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Warrant liability</w:t>
            </w:r>
          </w:p>
        </w:tc>
        <w:tc>
          <w:tcPr>
            <w:tcW w:w="200" w:type="dxa"/>
            <w:vAlign w:val="bottom"/>
          </w:tcPr>
          <w:p>
            <w:pPr>
              <w:spacing w:after="0"/>
              <w:rPr>
                <w:sz w:val="22"/>
                <w:szCs w:val="22"/>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159,835</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46,376</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44,890</w:t>
            </w:r>
          </w:p>
        </w:tc>
        <w:tc>
          <w:tcPr>
            <w:tcW w:w="0" w:type="dxa"/>
            <w:vAlign w:val="bottom"/>
          </w:tcPr>
          <w:p>
            <w:pPr>
              <w:spacing w:after="0"/>
              <w:rPr>
                <w:sz w:val="1"/>
                <w:szCs w:val="1"/>
                <w:color w:val="auto"/>
              </w:rPr>
            </w:pPr>
          </w:p>
        </w:tc>
      </w:tr>
      <w:tr>
        <w:trPr>
          <w:trHeight w:val="236"/>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677,335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863,413</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See commitments and contingencies (Note 9)</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stock, $0.01 par value, 100,000,000 shares authorized, none issued</w:t>
            </w:r>
          </w:p>
        </w:tc>
        <w:tc>
          <w:tcPr>
            <w:tcW w:w="200" w:type="dxa"/>
            <w:vAlign w:val="bottom"/>
          </w:tcPr>
          <w:p>
            <w:pPr>
              <w:spacing w:after="0"/>
              <w:rPr>
                <w:sz w:val="22"/>
                <w:szCs w:val="22"/>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 $0.01 par value, 600,000,000 shares authorized, 101,315,226 and 95,882,908</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issued at May 28, 2022 and August 28, 2021, respectively</w:t>
            </w:r>
          </w:p>
        </w:tc>
        <w:tc>
          <w:tcPr>
            <w:tcW w:w="20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8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Treasury stock, 887,976 shares and 98,234 shares at cost at May 28, 2022 and August 28, 2021,</w:t>
            </w:r>
          </w:p>
        </w:tc>
        <w:tc>
          <w:tcPr>
            <w:tcW w:w="2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(30,649)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(2,145)</w:t>
            </w:r>
          </w:p>
        </w:tc>
        <w:tc>
          <w:tcPr>
            <w:tcW w:w="0" w:type="dxa"/>
            <w:vAlign w:val="bottom"/>
          </w:tcPr>
          <w:p>
            <w:pPr>
              <w:spacing w:after="0"/>
              <w:rPr>
                <w:sz w:val="1"/>
                <w:szCs w:val="1"/>
                <w:color w:val="auto"/>
              </w:rPr>
            </w:pPr>
          </w:p>
        </w:tc>
      </w:tr>
      <w:tr>
        <w:trPr>
          <w:trHeight w:val="21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respectively</w:t>
            </w:r>
          </w:p>
        </w:tc>
        <w:tc>
          <w:tcPr>
            <w:tcW w:w="2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1,284,342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1,085,001</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184,254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105,807</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0" w:type="dxa"/>
            <w:vAlign w:val="bottom"/>
          </w:tcPr>
          <w:p>
            <w:pPr>
              <w:spacing w:after="0"/>
              <w:rPr>
                <w:sz w:val="1"/>
                <w:szCs w:val="1"/>
                <w:color w:val="auto"/>
              </w:rPr>
            </w:pPr>
          </w:p>
        </w:tc>
      </w:tr>
      <w:tr>
        <w:trPr>
          <w:trHeight w:val="236"/>
        </w:trPr>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1,437,322</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1,188,804</w:t>
            </w:r>
          </w:p>
        </w:tc>
        <w:tc>
          <w:tcPr>
            <w:tcW w:w="0" w:type="dxa"/>
            <w:vAlign w:val="bottom"/>
          </w:tcPr>
          <w:p>
            <w:pPr>
              <w:spacing w:after="0"/>
              <w:rPr>
                <w:sz w:val="1"/>
                <w:szCs w:val="1"/>
                <w:color w:val="auto"/>
              </w:rPr>
            </w:pPr>
          </w:p>
        </w:tc>
      </w:tr>
      <w:tr>
        <w:trPr>
          <w:trHeight w:val="238"/>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2,114,657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2,052,217</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condensed consolidated financial statements.</w:t>
      </w:r>
    </w:p>
    <w:p>
      <w:pPr>
        <w:sectPr>
          <w:pgSz w:w="11900" w:h="16838" w:orient="portrait"/>
          <w:cols w:equalWidth="0" w:num="1">
            <w:col w:w="10640"/>
          </w:cols>
          <w:pgMar w:left="320" w:top="684" w:right="939" w:bottom="1440" w:gutter="0" w:footer="0" w:header="0"/>
        </w:sectPr>
      </w:pPr>
    </w:p>
    <w:p>
      <w:pPr>
        <w:spacing w:after="0" w:line="3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684" w:right="9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left="960" w:right="19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Simply Good Foods Company and Subsidiaries Condensed Consolidated Statements of Operations and Comprehensive Income </w:t>
      </w:r>
      <w:r>
        <w:rPr>
          <w:rFonts w:ascii="Times New Roman" w:cs="Times New Roman" w:eastAsia="Times New Roman" w:hAnsi="Times New Roman"/>
          <w:sz w:val="18"/>
          <w:szCs w:val="18"/>
          <w:i w:val="1"/>
          <w:iCs w:val="1"/>
          <w:color w:val="auto"/>
        </w:rPr>
        <w:t>(Unaudited, dollars in thousands, except share and per share data)</w:t>
      </w:r>
    </w:p>
    <w:p>
      <w:pPr>
        <w:spacing w:after="0" w:line="247" w:lineRule="exact"/>
        <w:rPr>
          <w:sz w:val="20"/>
          <w:szCs w:val="20"/>
          <w:color w:val="auto"/>
        </w:rPr>
      </w:pPr>
    </w:p>
    <w:tbl>
      <w:tblPr>
        <w:tblLayout w:type="fixed"/>
        <w:tblInd w:w="660" w:type="dxa"/>
        <w:tblCellMar>
          <w:top w:w="0" w:type="dxa"/>
          <w:left w:w="0" w:type="dxa"/>
          <w:bottom w:w="0" w:type="dxa"/>
          <w:right w:w="0" w:type="dxa"/>
        </w:tblCellMar>
      </w:tblPr>
      <w:tr>
        <w:trPr>
          <w:trHeight w:val="213"/>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gridSpan w:val="5"/>
          </w:tcPr>
          <w:p>
            <w:pPr>
              <w:ind w:left="620"/>
              <w:spacing w:after="0"/>
              <w:rPr>
                <w:sz w:val="20"/>
                <w:szCs w:val="20"/>
                <w:color w:val="auto"/>
              </w:rPr>
            </w:pPr>
            <w:r>
              <w:rPr>
                <w:rFonts w:ascii="Times New Roman" w:cs="Times New Roman" w:eastAsia="Times New Roman" w:hAnsi="Times New Roman"/>
                <w:sz w:val="16"/>
                <w:szCs w:val="16"/>
                <w:color w:val="auto"/>
              </w:rPr>
              <w:t>Thirteen Weeks Ended</w:t>
            </w:r>
          </w:p>
        </w:tc>
        <w:tc>
          <w:tcPr>
            <w:tcW w:w="180" w:type="dxa"/>
            <w:vAlign w:val="bottom"/>
          </w:tcPr>
          <w:p>
            <w:pPr>
              <w:spacing w:after="0"/>
              <w:rPr>
                <w:sz w:val="18"/>
                <w:szCs w:val="18"/>
                <w:color w:val="auto"/>
              </w:rPr>
            </w:pPr>
          </w:p>
        </w:tc>
        <w:tc>
          <w:tcPr>
            <w:tcW w:w="2920" w:type="dxa"/>
            <w:vAlign w:val="bottom"/>
            <w:gridSpan w:val="4"/>
          </w:tcPr>
          <w:p>
            <w:pPr>
              <w:jc w:val="right"/>
              <w:ind w:right="639"/>
              <w:spacing w:after="0"/>
              <w:rPr>
                <w:sz w:val="20"/>
                <w:szCs w:val="20"/>
                <w:color w:val="auto"/>
              </w:rPr>
            </w:pPr>
            <w:r>
              <w:rPr>
                <w:rFonts w:ascii="Times New Roman" w:cs="Times New Roman" w:eastAsia="Times New Roman" w:hAnsi="Times New Roman"/>
                <w:sz w:val="16"/>
                <w:szCs w:val="16"/>
                <w:color w:val="auto"/>
              </w:rPr>
              <w:t>Thirty-Nine Weeks Ended</w:t>
            </w:r>
          </w:p>
        </w:tc>
        <w:tc>
          <w:tcPr>
            <w:tcW w:w="0" w:type="dxa"/>
            <w:vAlign w:val="bottom"/>
          </w:tcPr>
          <w:p>
            <w:pPr>
              <w:spacing w:after="0"/>
              <w:rPr>
                <w:sz w:val="1"/>
                <w:szCs w:val="1"/>
                <w:color w:val="auto"/>
              </w:rPr>
            </w:pPr>
          </w:p>
        </w:tc>
      </w:tr>
      <w:tr>
        <w:trPr>
          <w:trHeight w:val="210"/>
        </w:trPr>
        <w:tc>
          <w:tcPr>
            <w:tcW w:w="36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May 28, 2022</w:t>
            </w: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May 29, 2021</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May 28, 2022</w:t>
            </w: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May 29, 2021</w:t>
            </w:r>
          </w:p>
        </w:tc>
        <w:tc>
          <w:tcPr>
            <w:tcW w:w="0" w:type="dxa"/>
            <w:vAlign w:val="bottom"/>
          </w:tcPr>
          <w:p>
            <w:pPr>
              <w:spacing w:after="0"/>
              <w:rPr>
                <w:sz w:val="1"/>
                <w:szCs w:val="1"/>
                <w:color w:val="auto"/>
              </w:rPr>
            </w:pPr>
          </w:p>
        </w:tc>
      </w:tr>
      <w:tr>
        <w:trPr>
          <w:trHeight w:val="239"/>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316,531</w:t>
            </w: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284,001</w:t>
            </w: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894,514</w:t>
            </w: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745,760</w:t>
            </w:r>
          </w:p>
        </w:tc>
        <w:tc>
          <w:tcPr>
            <w:tcW w:w="0" w:type="dxa"/>
            <w:vAlign w:val="bottom"/>
          </w:tcPr>
          <w:p>
            <w:pPr>
              <w:spacing w:after="0"/>
              <w:rPr>
                <w:sz w:val="1"/>
                <w:szCs w:val="1"/>
                <w:color w:val="auto"/>
              </w:rPr>
            </w:pPr>
          </w:p>
        </w:tc>
      </w:tr>
      <w:tr>
        <w:trPr>
          <w:trHeight w:val="253"/>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197,883</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162,998</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550,788</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440,451</w:t>
            </w:r>
          </w:p>
        </w:tc>
        <w:tc>
          <w:tcPr>
            <w:tcW w:w="0" w:type="dxa"/>
            <w:vAlign w:val="bottom"/>
          </w:tcPr>
          <w:p>
            <w:pPr>
              <w:spacing w:after="0"/>
              <w:rPr>
                <w:sz w:val="1"/>
                <w:szCs w:val="1"/>
                <w:color w:val="auto"/>
              </w:rPr>
            </w:pPr>
          </w:p>
        </w:tc>
      </w:tr>
      <w:tr>
        <w:trPr>
          <w:trHeight w:val="23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118,648</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121,003</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343,726</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305,309</w:t>
            </w: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32,334</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30,826</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94,816</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82,171</w:t>
            </w:r>
          </w:p>
        </w:tc>
        <w:tc>
          <w:tcPr>
            <w:tcW w:w="0" w:type="dxa"/>
            <w:vAlign w:val="bottom"/>
          </w:tcPr>
          <w:p>
            <w:pPr>
              <w:spacing w:after="0"/>
              <w:rPr>
                <w:sz w:val="1"/>
                <w:szCs w:val="1"/>
                <w:color w:val="auto"/>
              </w:rPr>
            </w:pPr>
          </w:p>
        </w:tc>
      </w:tr>
      <w:tr>
        <w:trPr>
          <w:trHeight w:val="259"/>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26,721</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25,668</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76,711</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77,645</w:t>
            </w:r>
          </w:p>
        </w:tc>
        <w:tc>
          <w:tcPr>
            <w:tcW w:w="0" w:type="dxa"/>
            <w:vAlign w:val="bottom"/>
          </w:tcPr>
          <w:p>
            <w:pPr>
              <w:spacing w:after="0"/>
              <w:rPr>
                <w:sz w:val="1"/>
                <w:szCs w:val="1"/>
                <w:color w:val="auto"/>
              </w:rPr>
            </w:pPr>
          </w:p>
        </w:tc>
      </w:tr>
      <w:tr>
        <w:trPr>
          <w:trHeight w:val="253"/>
        </w:trPr>
        <w:tc>
          <w:tcPr>
            <w:tcW w:w="3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4,317</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4,187</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12,966</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12,643</w:t>
            </w:r>
          </w:p>
        </w:tc>
        <w:tc>
          <w:tcPr>
            <w:tcW w:w="0" w:type="dxa"/>
            <w:vAlign w:val="bottom"/>
          </w:tcPr>
          <w:p>
            <w:pPr>
              <w:spacing w:after="0"/>
              <w:rPr>
                <w:sz w:val="1"/>
                <w:szCs w:val="1"/>
                <w:color w:val="auto"/>
              </w:rPr>
            </w:pPr>
          </w:p>
        </w:tc>
      </w:tr>
      <w:tr>
        <w:trPr>
          <w:trHeight w:val="24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63,372</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60,681</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184,493</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172,459</w:t>
            </w: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55,276</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60,322</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159,233</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132,850</w:t>
            </w: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59"/>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(4,881)</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(7,985)</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(16,528)</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(24,352)</w:t>
            </w:r>
          </w:p>
        </w:tc>
        <w:tc>
          <w:tcPr>
            <w:tcW w:w="0" w:type="dxa"/>
            <w:vAlign w:val="bottom"/>
          </w:tcPr>
          <w:p>
            <w:pPr>
              <w:spacing w:after="0"/>
              <w:rPr>
                <w:sz w:val="1"/>
                <w:szCs w:val="1"/>
                <w:color w:val="auto"/>
              </w:rPr>
            </w:pPr>
          </w:p>
        </w:tc>
      </w:tr>
      <w:tr>
        <w:trPr>
          <w:trHeight w:val="253"/>
        </w:trPr>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in fair value change of warrant liability</w:t>
            </w:r>
          </w:p>
        </w:tc>
        <w:tc>
          <w:tcPr>
            <w:tcW w:w="18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(35,833)</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(30,062)</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(60,714)</w:t>
            </w:r>
          </w:p>
        </w:tc>
        <w:tc>
          <w:tcPr>
            <w:tcW w:w="0" w:type="dxa"/>
            <w:vAlign w:val="bottom"/>
          </w:tcPr>
          <w:p>
            <w:pPr>
              <w:spacing w:after="0"/>
              <w:rPr>
                <w:sz w:val="1"/>
                <w:szCs w:val="1"/>
                <w:color w:val="auto"/>
              </w:rPr>
            </w:pPr>
          </w:p>
        </w:tc>
      </w:tr>
      <w:tr>
        <w:trPr>
          <w:trHeight w:val="26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legal settlement</w:t>
            </w:r>
          </w:p>
        </w:tc>
        <w:tc>
          <w:tcPr>
            <w:tcW w:w="18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253"/>
        </w:trPr>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foreign currency transactions</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712</w:t>
            </w:r>
          </w:p>
        </w:tc>
        <w:tc>
          <w:tcPr>
            <w:tcW w:w="0" w:type="dxa"/>
            <w:vAlign w:val="bottom"/>
          </w:tcPr>
          <w:p>
            <w:pPr>
              <w:spacing w:after="0"/>
              <w:rPr>
                <w:sz w:val="1"/>
                <w:szCs w:val="1"/>
                <w:color w:val="auto"/>
              </w:rPr>
            </w:pPr>
          </w:p>
        </w:tc>
      </w:tr>
      <w:tr>
        <w:trPr>
          <w:trHeight w:val="257"/>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237"/>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other expense</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(39,019)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(46,060)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(79,121)</w:t>
            </w:r>
          </w:p>
        </w:tc>
        <w:tc>
          <w:tcPr>
            <w:tcW w:w="0" w:type="dxa"/>
            <w:vAlign w:val="bottom"/>
          </w:tcPr>
          <w:p>
            <w:pPr>
              <w:spacing w:after="0"/>
              <w:rPr>
                <w:sz w:val="1"/>
                <w:szCs w:val="1"/>
                <w:color w:val="auto"/>
              </w:rPr>
            </w:pPr>
          </w:p>
        </w:tc>
      </w:tr>
      <w:tr>
        <w:trPr>
          <w:trHeight w:val="259"/>
        </w:trPr>
        <w:tc>
          <w:tcPr>
            <w:tcW w:w="36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50,488</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21,303</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113,173</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53,729</w:t>
            </w:r>
          </w:p>
        </w:tc>
        <w:tc>
          <w:tcPr>
            <w:tcW w:w="0" w:type="dxa"/>
            <w:vAlign w:val="bottom"/>
          </w:tcPr>
          <w:p>
            <w:pPr>
              <w:spacing w:after="0"/>
              <w:rPr>
                <w:sz w:val="1"/>
                <w:szCs w:val="1"/>
                <w:color w:val="auto"/>
              </w:rPr>
            </w:pPr>
          </w:p>
        </w:tc>
      </w:tr>
      <w:tr>
        <w:trPr>
          <w:trHeight w:val="257"/>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11,654</w:t>
            </w:r>
          </w:p>
        </w:tc>
        <w:tc>
          <w:tcPr>
            <w:tcW w:w="1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15,408</w:t>
            </w:r>
          </w:p>
        </w:tc>
        <w:tc>
          <w:tcPr>
            <w:tcW w:w="1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34,726</w:t>
            </w:r>
          </w:p>
        </w:tc>
        <w:tc>
          <w:tcPr>
            <w:tcW w:w="1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31,095</w:t>
            </w:r>
          </w:p>
        </w:tc>
        <w:tc>
          <w:tcPr>
            <w:tcW w:w="0" w:type="dxa"/>
            <w:vAlign w:val="bottom"/>
          </w:tcPr>
          <w:p>
            <w:pPr>
              <w:spacing w:after="0"/>
              <w:rPr>
                <w:sz w:val="1"/>
                <w:szCs w:val="1"/>
                <w:color w:val="auto"/>
              </w:rPr>
            </w:pPr>
          </w:p>
        </w:tc>
      </w:tr>
      <w:tr>
        <w:trPr>
          <w:trHeight w:val="237"/>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38,834</w:t>
            </w:r>
          </w:p>
        </w:tc>
        <w:tc>
          <w:tcPr>
            <w:tcW w:w="140" w:type="dxa"/>
            <w:vAlign w:val="bottom"/>
          </w:tcPr>
          <w:p>
            <w:pPr>
              <w:spacing w:after="0"/>
              <w:rPr>
                <w:sz w:val="20"/>
                <w:szCs w:val="20"/>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5,895</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78,447</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22,634</w:t>
            </w:r>
          </w:p>
        </w:tc>
        <w:tc>
          <w:tcPr>
            <w:tcW w:w="0" w:type="dxa"/>
            <w:vAlign w:val="bottom"/>
          </w:tcPr>
          <w:p>
            <w:pPr>
              <w:spacing w:after="0"/>
              <w:rPr>
                <w:sz w:val="1"/>
                <w:szCs w:val="1"/>
                <w:color w:val="auto"/>
              </w:rPr>
            </w:pPr>
          </w:p>
        </w:tc>
      </w:tr>
      <w:tr>
        <w:trPr>
          <w:trHeight w:val="260"/>
        </w:trPr>
        <w:tc>
          <w:tcPr>
            <w:tcW w:w="36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36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Foreign currency translation, net of reclassification</w:t>
            </w:r>
          </w:p>
        </w:tc>
        <w:tc>
          <w:tcPr>
            <w:tcW w:w="1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4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4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4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293</w:t>
            </w:r>
          </w:p>
        </w:tc>
        <w:tc>
          <w:tcPr>
            <w:tcW w:w="0" w:type="dxa"/>
            <w:vAlign w:val="bottom"/>
          </w:tcPr>
          <w:p>
            <w:pPr>
              <w:spacing w:after="0"/>
              <w:rPr>
                <w:sz w:val="1"/>
                <w:szCs w:val="1"/>
                <w:color w:val="auto"/>
              </w:rPr>
            </w:pPr>
          </w:p>
        </w:tc>
      </w:tr>
      <w:tr>
        <w:trPr>
          <w:trHeight w:val="218"/>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w:t>
            </w: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38,762</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5,990</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77,627</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22,927</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 from net income:</w:t>
            </w: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0.80</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0.24</w:t>
            </w:r>
          </w:p>
        </w:tc>
        <w:tc>
          <w:tcPr>
            <w:tcW w:w="0" w:type="dxa"/>
            <w:vAlign w:val="bottom"/>
          </w:tcPr>
          <w:p>
            <w:pPr>
              <w:spacing w:after="0"/>
              <w:rPr>
                <w:sz w:val="1"/>
                <w:szCs w:val="1"/>
                <w:color w:val="auto"/>
              </w:rPr>
            </w:pPr>
          </w:p>
        </w:tc>
      </w:tr>
      <w:tr>
        <w:trPr>
          <w:trHeight w:val="254"/>
        </w:trPr>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140" w:type="dxa"/>
            <w:vAlign w:val="bottom"/>
          </w:tcPr>
          <w:p>
            <w:pPr>
              <w:spacing w:after="0"/>
              <w:rPr>
                <w:sz w:val="22"/>
                <w:szCs w:val="22"/>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1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26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100,426,227</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95,767,629</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98,294,114</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95,730,581</w:t>
            </w:r>
          </w:p>
        </w:tc>
        <w:tc>
          <w:tcPr>
            <w:tcW w:w="0" w:type="dxa"/>
            <w:vAlign w:val="bottom"/>
          </w:tcPr>
          <w:p>
            <w:pPr>
              <w:spacing w:after="0"/>
              <w:rPr>
                <w:sz w:val="1"/>
                <w:szCs w:val="1"/>
                <w:color w:val="auto"/>
              </w:rPr>
            </w:pPr>
          </w:p>
        </w:tc>
      </w:tr>
      <w:tr>
        <w:trPr>
          <w:trHeight w:val="26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102,237,457</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97,589,656</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100,190,068</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97,197,180</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condensed consolidated financial statements.</w:t>
      </w:r>
    </w:p>
    <w:p>
      <w:pPr>
        <w:spacing w:after="0" w:line="3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121" w:right="9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i w:val="1"/>
          <w:iCs w:val="1"/>
          <w:color w:val="auto"/>
        </w:rPr>
        <w:t>(Unaudited, dollars in thousands)</w:t>
      </w:r>
    </w:p>
    <w:p>
      <w:pPr>
        <w:spacing w:after="0" w:line="333" w:lineRule="exact"/>
        <w:rPr>
          <w:sz w:val="20"/>
          <w:szCs w:val="20"/>
          <w:color w:val="auto"/>
        </w:rPr>
      </w:pPr>
    </w:p>
    <w:tbl>
      <w:tblPr>
        <w:tblLayout w:type="fixed"/>
        <w:tblInd w:w="600" w:type="dxa"/>
        <w:tblCellMar>
          <w:top w:w="0" w:type="dxa"/>
          <w:left w:w="0" w:type="dxa"/>
          <w:bottom w:w="0" w:type="dxa"/>
          <w:right w:w="0" w:type="dxa"/>
        </w:tblCellMar>
      </w:tblPr>
      <w:tr>
        <w:trPr>
          <w:trHeight w:val="213"/>
        </w:trPr>
        <w:tc>
          <w:tcPr>
            <w:tcW w:w="68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color w:val="auto"/>
              </w:rPr>
              <w:t>Thirty-Nine Weeks Ended</w:t>
            </w:r>
          </w:p>
        </w:tc>
      </w:tr>
      <w:tr>
        <w:trPr>
          <w:trHeight w:val="210"/>
        </w:trPr>
        <w:tc>
          <w:tcPr>
            <w:tcW w:w="6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May 28, 2022</w:t>
            </w:r>
          </w:p>
        </w:tc>
        <w:tc>
          <w:tcPr>
            <w:tcW w:w="220" w:type="dxa"/>
            <w:vAlign w:val="bottom"/>
          </w:tcPr>
          <w:p>
            <w:pPr>
              <w:spacing w:after="0"/>
              <w:rPr>
                <w:sz w:val="18"/>
                <w:szCs w:val="18"/>
                <w:color w:val="auto"/>
              </w:rPr>
            </w:pPr>
          </w:p>
        </w:tc>
        <w:tc>
          <w:tcPr>
            <w:tcW w:w="13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May 29, 2021</w:t>
            </w:r>
          </w:p>
        </w:tc>
      </w:tr>
      <w:tr>
        <w:trPr>
          <w:trHeight w:val="199"/>
        </w:trPr>
        <w:tc>
          <w:tcPr>
            <w:tcW w:w="6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2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13"/>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78,447</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22,634</w:t>
            </w:r>
          </w:p>
        </w:tc>
      </w:tr>
      <w:tr>
        <w:trPr>
          <w:trHeight w:val="21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6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13,508</w:t>
            </w:r>
          </w:p>
        </w:tc>
      </w:tr>
      <w:tr>
        <w:trPr>
          <w:trHeight w:val="219"/>
        </w:trPr>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deferred financing costs and debt discount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3,449</w:t>
            </w:r>
          </w:p>
        </w:tc>
      </w:tr>
      <w:tr>
        <w:trPr>
          <w:trHeight w:val="213"/>
        </w:trPr>
        <w:tc>
          <w:tcPr>
            <w:tcW w:w="6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5,766</w:t>
            </w:r>
          </w:p>
        </w:tc>
      </w:tr>
      <w:tr>
        <w:trPr>
          <w:trHeight w:val="219"/>
        </w:trPr>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Loss in fair value change of warrant liability</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60,714</w:t>
            </w:r>
          </w:p>
        </w:tc>
      </w:tr>
      <w:tr>
        <w:trPr>
          <w:trHeight w:val="213"/>
        </w:trPr>
        <w:tc>
          <w:tcPr>
            <w:tcW w:w="6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Estimated credit losses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Unrealized gain on foreign currency transactions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w:t>
            </w:r>
          </w:p>
        </w:tc>
      </w:tr>
      <w:tr>
        <w:trPr>
          <w:trHeight w:val="213"/>
        </w:trPr>
        <w:tc>
          <w:tcPr>
            <w:tcW w:w="6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13,670</w:t>
            </w:r>
          </w:p>
        </w:tc>
      </w:tr>
      <w:tr>
        <w:trPr>
          <w:trHeight w:val="219"/>
        </w:trPr>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operating lease right-of-use asset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3,385</w:t>
            </w:r>
          </w:p>
        </w:tc>
      </w:tr>
      <w:tr>
        <w:trPr>
          <w:trHeight w:val="213"/>
        </w:trPr>
        <w:tc>
          <w:tcPr>
            <w:tcW w:w="6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on operating lease right-of-use asset impairment</w:t>
            </w: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w:t>
            </w:r>
          </w:p>
        </w:tc>
      </w:tr>
      <w:tr>
        <w:trPr>
          <w:trHeight w:val="219"/>
        </w:trPr>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Gain on lease termination</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13"/>
        </w:trPr>
        <w:tc>
          <w:tcPr>
            <w:tcW w:w="6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w:t>
            </w:r>
          </w:p>
        </w:tc>
      </w:tr>
      <w:tr>
        <w:trPr>
          <w:trHeight w:val="219"/>
        </w:trPr>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68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(35,269)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(28,737)</w:t>
            </w:r>
          </w:p>
        </w:tc>
      </w:tr>
      <w:tr>
        <w:trPr>
          <w:trHeight w:val="219"/>
        </w:trPr>
        <w:tc>
          <w:tcPr>
            <w:tcW w:w="6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Inventories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(20,318)</w:t>
            </w:r>
          </w:p>
        </w:tc>
      </w:tr>
      <w:tr>
        <w:trPr>
          <w:trHeight w:val="213"/>
        </w:trPr>
        <w:tc>
          <w:tcPr>
            <w:tcW w:w="68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Prepaid expenses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w:t>
            </w:r>
          </w:p>
        </w:tc>
      </w:tr>
      <w:tr>
        <w:trPr>
          <w:trHeight w:val="219"/>
        </w:trPr>
        <w:tc>
          <w:tcPr>
            <w:tcW w:w="6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current assets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(5,376)</w:t>
            </w:r>
          </w:p>
        </w:tc>
      </w:tr>
      <w:tr>
        <w:trPr>
          <w:trHeight w:val="213"/>
        </w:trPr>
        <w:tc>
          <w:tcPr>
            <w:tcW w:w="68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13,380</w:t>
            </w:r>
          </w:p>
        </w:tc>
      </w:tr>
      <w:tr>
        <w:trPr>
          <w:trHeight w:val="219"/>
        </w:trPr>
        <w:tc>
          <w:tcPr>
            <w:tcW w:w="6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Accrued interest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r>
      <w:tr>
        <w:trPr>
          <w:trHeight w:val="213"/>
        </w:trPr>
        <w:tc>
          <w:tcPr>
            <w:tcW w:w="68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12,745</w:t>
            </w:r>
          </w:p>
        </w:tc>
      </w:tr>
      <w:tr>
        <w:trPr>
          <w:trHeight w:val="219"/>
        </w:trPr>
        <w:tc>
          <w:tcPr>
            <w:tcW w:w="6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(2,104)</w:t>
            </w:r>
          </w:p>
        </w:tc>
      </w:tr>
      <w:tr>
        <w:trPr>
          <w:trHeight w:val="207"/>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67,363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91,488</w:t>
            </w:r>
          </w:p>
        </w:tc>
      </w:tr>
      <w:tr>
        <w:trPr>
          <w:trHeight w:val="131"/>
        </w:trPr>
        <w:tc>
          <w:tcPr>
            <w:tcW w:w="6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r>
      <w:tr>
        <w:trPr>
          <w:trHeight w:val="213"/>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6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(3,232)</w:t>
            </w:r>
          </w:p>
        </w:tc>
      </w:tr>
      <w:tr>
        <w:trPr>
          <w:trHeight w:val="213"/>
        </w:trPr>
        <w:tc>
          <w:tcPr>
            <w:tcW w:w="6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note receivable</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sale of business</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w:t>
            </w:r>
          </w:p>
        </w:tc>
      </w:tr>
      <w:tr>
        <w:trPr>
          <w:trHeight w:val="213"/>
        </w:trPr>
        <w:tc>
          <w:tcPr>
            <w:tcW w:w="68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Investments in intangible and other assets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0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w:t>
            </w:r>
          </w:p>
        </w:tc>
      </w:tr>
      <w:tr>
        <w:trPr>
          <w:trHeight w:val="131"/>
        </w:trPr>
        <w:tc>
          <w:tcPr>
            <w:tcW w:w="6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21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6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option exercises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r>
      <w:tr>
        <w:trPr>
          <w:trHeight w:val="219"/>
        </w:trPr>
        <w:tc>
          <w:tcPr>
            <w:tcW w:w="6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Tax payments related to issuance of restricted stock units and performance stock units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r>
      <w:tr>
        <w:trPr>
          <w:trHeight w:val="213"/>
        </w:trPr>
        <w:tc>
          <w:tcPr>
            <w:tcW w:w="6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Payments on finance lease obligations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r>
      <w:tr>
        <w:trPr>
          <w:trHeight w:val="219"/>
        </w:trPr>
        <w:tc>
          <w:tcPr>
            <w:tcW w:w="6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Principal payments of long-term debt</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r>
      <w:tr>
        <w:trPr>
          <w:trHeight w:val="219"/>
        </w:trPr>
        <w:tc>
          <w:tcPr>
            <w:tcW w:w="6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financing costs</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(78,476)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(99,889)</w:t>
            </w:r>
          </w:p>
        </w:tc>
      </w:tr>
      <w:tr>
        <w:trPr>
          <w:trHeight w:val="131"/>
        </w:trPr>
        <w:tc>
          <w:tcPr>
            <w:tcW w:w="6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r>
      <w:tr>
        <w:trPr>
          <w:trHeight w:val="213"/>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6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decrease in cash</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(5,947)</w:t>
            </w:r>
          </w:p>
        </w:tc>
      </w:tr>
      <w:tr>
        <w:trPr>
          <w:trHeight w:val="213"/>
        </w:trPr>
        <w:tc>
          <w:tcPr>
            <w:tcW w:w="6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Effect of exchange rate on cash</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r>
      <w:tr>
        <w:trPr>
          <w:trHeight w:val="216"/>
        </w:trPr>
        <w:tc>
          <w:tcPr>
            <w:tcW w:w="6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at beginning of period</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75,345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95,847</w:t>
            </w:r>
          </w:p>
        </w:tc>
      </w:tr>
      <w:tr>
        <w:trPr>
          <w:trHeight w:val="212"/>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56,720</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90,173</w:t>
            </w:r>
          </w:p>
        </w:tc>
      </w:tr>
      <w:tr>
        <w:trPr>
          <w:trHeight w:val="20"/>
        </w:trPr>
        <w:tc>
          <w:tcPr>
            <w:tcW w:w="6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5" w:lineRule="exact"/>
        <w:rPr>
          <w:sz w:val="20"/>
          <w:szCs w:val="20"/>
          <w:color w:val="auto"/>
        </w:rPr>
      </w:pPr>
    </w:p>
    <w:tbl>
      <w:tblPr>
        <w:tblLayout w:type="fixed"/>
        <w:tblInd w:w="600" w:type="dxa"/>
        <w:tblCellMar>
          <w:top w:w="0" w:type="dxa"/>
          <w:left w:w="0" w:type="dxa"/>
          <w:bottom w:w="0" w:type="dxa"/>
          <w:right w:w="0" w:type="dxa"/>
        </w:tblCellMar>
      </w:tblPr>
      <w:tr>
        <w:trPr>
          <w:trHeight w:val="213"/>
        </w:trPr>
        <w:tc>
          <w:tcPr>
            <w:tcW w:w="68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color w:val="auto"/>
              </w:rPr>
              <w:t>Thirty-Nine Weeks Ended</w:t>
            </w:r>
          </w:p>
        </w:tc>
      </w:tr>
      <w:tr>
        <w:trPr>
          <w:trHeight w:val="210"/>
        </w:trPr>
        <w:tc>
          <w:tcPr>
            <w:tcW w:w="6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May 28, 2022</w:t>
            </w:r>
          </w:p>
        </w:tc>
        <w:tc>
          <w:tcPr>
            <w:tcW w:w="200" w:type="dxa"/>
            <w:vAlign w:val="bottom"/>
          </w:tcPr>
          <w:p>
            <w:pPr>
              <w:spacing w:after="0"/>
              <w:rPr>
                <w:sz w:val="18"/>
                <w:szCs w:val="18"/>
                <w:color w:val="auto"/>
              </w:rPr>
            </w:pPr>
          </w:p>
        </w:tc>
        <w:tc>
          <w:tcPr>
            <w:tcW w:w="13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May 29, 2021</w:t>
            </w:r>
          </w:p>
        </w:tc>
      </w:tr>
      <w:tr>
        <w:trPr>
          <w:trHeight w:val="253"/>
        </w:trPr>
        <w:tc>
          <w:tcPr>
            <w:tcW w:w="6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22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r>
      <w:tr>
        <w:trPr>
          <w:trHeight w:val="267"/>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14,301</w:t>
            </w:r>
          </w:p>
        </w:tc>
        <w:tc>
          <w:tcPr>
            <w:tcW w:w="14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21,529</w:t>
            </w:r>
          </w:p>
        </w:tc>
      </w:tr>
      <w:tr>
        <w:trPr>
          <w:trHeight w:val="273"/>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paid for taxes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43,430</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15,282</w:t>
            </w:r>
          </w:p>
        </w:tc>
      </w:tr>
      <w:tr>
        <w:trPr>
          <w:trHeight w:val="267"/>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transactions</w:t>
            </w:r>
          </w:p>
        </w:tc>
        <w:tc>
          <w:tcPr>
            <w:tcW w:w="2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3"/>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proceeds from sale of business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r>
      <w:tr>
        <w:trPr>
          <w:trHeight w:val="267"/>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 exchanged for operating lease liabilities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6,881</w:t>
            </w:r>
          </w:p>
        </w:tc>
        <w:tc>
          <w:tcPr>
            <w:tcW w:w="14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r>
      <w:tr>
        <w:trPr>
          <w:trHeight w:val="273"/>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in extinguishment of warrant liabilities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189,897</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32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condensed consolidated financial statements.</w:t>
      </w:r>
    </w:p>
    <w:p>
      <w:pPr>
        <w:spacing w:after="0" w:line="3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share data)</w:t>
      </w:r>
    </w:p>
    <w:p>
      <w:pPr>
        <w:spacing w:after="0" w:line="364"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1820" w:type="dxa"/>
            <w:vAlign w:val="bottom"/>
          </w:tcPr>
          <w:p>
            <w:pPr>
              <w:spacing w:after="0"/>
              <w:rPr>
                <w:sz w:val="16"/>
                <w:szCs w:val="16"/>
                <w:color w:val="auto"/>
              </w:rPr>
            </w:pPr>
          </w:p>
        </w:tc>
        <w:tc>
          <w:tcPr>
            <w:tcW w:w="1900" w:type="dxa"/>
            <w:vAlign w:val="bottom"/>
            <w:gridSpan w:val="5"/>
          </w:tcPr>
          <w:p>
            <w:pPr>
              <w:ind w:left="440"/>
              <w:spacing w:after="0"/>
              <w:rPr>
                <w:sz w:val="20"/>
                <w:szCs w:val="20"/>
                <w:color w:val="auto"/>
              </w:rPr>
            </w:pPr>
            <w:r>
              <w:rPr>
                <w:rFonts w:ascii="Times New Roman" w:cs="Times New Roman" w:eastAsia="Times New Roman" w:hAnsi="Times New Roman"/>
                <w:sz w:val="14"/>
                <w:szCs w:val="14"/>
                <w:color w:val="auto"/>
              </w:rPr>
              <w:t>Common Stock</w:t>
            </w:r>
          </w:p>
        </w:tc>
        <w:tc>
          <w:tcPr>
            <w:tcW w:w="1760" w:type="dxa"/>
            <w:vAlign w:val="bottom"/>
            <w:gridSpan w:val="5"/>
          </w:tcPr>
          <w:p>
            <w:pPr>
              <w:ind w:left="380"/>
              <w:spacing w:after="0"/>
              <w:rPr>
                <w:sz w:val="20"/>
                <w:szCs w:val="20"/>
                <w:color w:val="auto"/>
              </w:rPr>
            </w:pPr>
            <w:r>
              <w:rPr>
                <w:rFonts w:ascii="Times New Roman" w:cs="Times New Roman" w:eastAsia="Times New Roman" w:hAnsi="Times New Roman"/>
                <w:sz w:val="14"/>
                <w:szCs w:val="14"/>
                <w:color w:val="auto"/>
              </w:rPr>
              <w:t>Treasury Stock</w:t>
            </w:r>
          </w:p>
        </w:tc>
        <w:tc>
          <w:tcPr>
            <w:tcW w:w="12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Additional</w:t>
            </w: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Retained Earnings</w:t>
            </w:r>
          </w:p>
        </w:tc>
        <w:tc>
          <w:tcPr>
            <w:tcW w:w="10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Accumulated Other</w:t>
            </w:r>
          </w:p>
        </w:tc>
        <w:tc>
          <w:tcPr>
            <w:tcW w:w="200" w:type="dxa"/>
            <w:vAlign w:val="bottom"/>
          </w:tcPr>
          <w:p>
            <w:pPr>
              <w:spacing w:after="0"/>
              <w:rPr>
                <w:sz w:val="16"/>
                <w:szCs w:val="16"/>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41"/>
        </w:trPr>
        <w:tc>
          <w:tcPr>
            <w:tcW w:w="18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Paid-In Capital</w:t>
            </w:r>
          </w:p>
        </w:tc>
        <w:tc>
          <w:tcPr>
            <w:tcW w:w="1320" w:type="dxa"/>
            <w:vAlign w:val="bottom"/>
            <w:gridSpan w:val="3"/>
            <w:vMerge w:val="continue"/>
          </w:tcPr>
          <w:p>
            <w:pPr>
              <w:spacing w:after="0"/>
              <w:rPr>
                <w:sz w:val="3"/>
                <w:szCs w:val="3"/>
                <w:color w:val="auto"/>
              </w:rPr>
            </w:pPr>
          </w:p>
        </w:tc>
        <w:tc>
          <w:tcPr>
            <w:tcW w:w="14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Comprehensive Loss</w:t>
            </w:r>
          </w:p>
        </w:tc>
        <w:tc>
          <w:tcPr>
            <w:tcW w:w="2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1820" w:type="dxa"/>
            <w:vAlign w:val="bottom"/>
          </w:tcPr>
          <w:p>
            <w:pPr>
              <w:spacing w:after="0"/>
              <w:rPr>
                <w:sz w:val="4"/>
                <w:szCs w:val="4"/>
                <w:color w:val="auto"/>
              </w:rPr>
            </w:pPr>
          </w:p>
        </w:tc>
        <w:tc>
          <w:tcPr>
            <w:tcW w:w="10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4"/>
                <w:szCs w:val="4"/>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4"/>
                <w:szCs w:val="4"/>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1080" w:type="dxa"/>
            <w:vAlign w:val="bottom"/>
            <w:gridSpan w:val="3"/>
            <w:vMerge w:val="continue"/>
          </w:tcPr>
          <w:p>
            <w:pPr>
              <w:spacing w:after="0"/>
              <w:rPr>
                <w:sz w:val="4"/>
                <w:szCs w:val="4"/>
                <w:color w:val="auto"/>
              </w:rPr>
            </w:pPr>
          </w:p>
        </w:tc>
        <w:tc>
          <w:tcPr>
            <w:tcW w:w="1320" w:type="dxa"/>
            <w:vAlign w:val="bottom"/>
            <w:gridSpan w:val="3"/>
            <w:vMerge w:val="continue"/>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182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8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1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August 28, 2021</w:t>
            </w:r>
          </w:p>
        </w:tc>
        <w:tc>
          <w:tcPr>
            <w:tcW w:w="9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95,882,908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98,234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1,085,001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105,807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1,188,804</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21,152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21,152</w:t>
            </w:r>
          </w:p>
        </w:tc>
        <w:tc>
          <w:tcPr>
            <w:tcW w:w="0" w:type="dxa"/>
            <w:vAlign w:val="bottom"/>
          </w:tcPr>
          <w:p>
            <w:pPr>
              <w:spacing w:after="0"/>
              <w:rPr>
                <w:sz w:val="1"/>
                <w:szCs w:val="1"/>
                <w:color w:val="auto"/>
              </w:rPr>
            </w:pPr>
          </w:p>
        </w:tc>
      </w:tr>
      <w:tr>
        <w:trPr>
          <w:trHeight w:val="23"/>
        </w:trPr>
        <w:tc>
          <w:tcPr>
            <w:tcW w:w="1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82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Stock-based</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2,605</w:t>
            </w: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13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2,605</w:t>
            </w:r>
          </w:p>
        </w:tc>
        <w:tc>
          <w:tcPr>
            <w:tcW w:w="0" w:type="dxa"/>
            <w:vAlign w:val="bottom"/>
          </w:tcPr>
          <w:p>
            <w:pPr>
              <w:spacing w:after="0"/>
              <w:rPr>
                <w:sz w:val="1"/>
                <w:szCs w:val="1"/>
                <w:color w:val="auto"/>
              </w:rPr>
            </w:pPr>
          </w:p>
        </w:tc>
      </w:tr>
      <w:tr>
        <w:trPr>
          <w:trHeight w:val="203"/>
        </w:trPr>
        <w:tc>
          <w:tcPr>
            <w:tcW w:w="1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compensation</w:t>
            </w:r>
          </w:p>
        </w:tc>
        <w:tc>
          <w:tcPr>
            <w:tcW w:w="10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currency</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95"/>
        </w:trPr>
        <w:tc>
          <w:tcPr>
            <w:tcW w:w="1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translation adjustments</w:t>
            </w: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82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Shares issued upon</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820" w:type="dxa"/>
            <w:vAlign w:val="bottom"/>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vesting of restricted stock</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units and performance</w:t>
            </w:r>
          </w:p>
        </w:tc>
        <w:tc>
          <w:tcPr>
            <w:tcW w:w="9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227,729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(3,190)</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(3,188)</w:t>
            </w:r>
          </w:p>
        </w:tc>
        <w:tc>
          <w:tcPr>
            <w:tcW w:w="0" w:type="dxa"/>
            <w:vAlign w:val="bottom"/>
          </w:tcPr>
          <w:p>
            <w:pPr>
              <w:spacing w:after="0"/>
              <w:rPr>
                <w:sz w:val="1"/>
                <w:szCs w:val="1"/>
                <w:color w:val="auto"/>
              </w:rPr>
            </w:pPr>
          </w:p>
        </w:tc>
      </w:tr>
      <w:tr>
        <w:trPr>
          <w:trHeight w:val="192"/>
        </w:trPr>
        <w:tc>
          <w:tcPr>
            <w:tcW w:w="1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 units</w:t>
            </w:r>
          </w:p>
        </w:tc>
        <w:tc>
          <w:tcPr>
            <w:tcW w:w="9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Exercise of options to</w:t>
            </w:r>
          </w:p>
        </w:tc>
        <w:tc>
          <w:tcPr>
            <w:tcW w:w="9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19,804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274</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196"/>
        </w:trPr>
        <w:tc>
          <w:tcPr>
            <w:tcW w:w="1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common stock</w:t>
            </w: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1820" w:type="dxa"/>
            <w:vAlign w:val="bottom"/>
            <w:tcBorders>
              <w:top w:val="single" w:sz="8" w:color="CCEEFF"/>
            </w:tcBorders>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Balance at November 27,</w:t>
            </w:r>
          </w:p>
        </w:tc>
        <w:tc>
          <w:tcPr>
            <w:tcW w:w="92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96,130,441</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961</w:t>
            </w:r>
          </w:p>
        </w:tc>
        <w:tc>
          <w:tcPr>
            <w:tcW w:w="14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98,234</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1,084,690</w:t>
            </w:r>
          </w:p>
        </w:tc>
        <w:tc>
          <w:tcPr>
            <w:tcW w:w="14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126,959</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1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1,209,607</w:t>
            </w:r>
          </w:p>
        </w:tc>
        <w:tc>
          <w:tcPr>
            <w:tcW w:w="0" w:type="dxa"/>
            <w:vAlign w:val="bottom"/>
          </w:tcPr>
          <w:p>
            <w:pPr>
              <w:spacing w:after="0"/>
              <w:rPr>
                <w:sz w:val="1"/>
                <w:szCs w:val="1"/>
                <w:color w:val="auto"/>
              </w:rPr>
            </w:pPr>
          </w:p>
        </w:tc>
      </w:tr>
      <w:tr>
        <w:trPr>
          <w:trHeight w:val="196"/>
        </w:trPr>
        <w:tc>
          <w:tcPr>
            <w:tcW w:w="1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18,461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18,461</w:t>
            </w:r>
          </w:p>
        </w:tc>
        <w:tc>
          <w:tcPr>
            <w:tcW w:w="0" w:type="dxa"/>
            <w:vAlign w:val="bottom"/>
          </w:tcPr>
          <w:p>
            <w:pPr>
              <w:spacing w:after="0"/>
              <w:rPr>
                <w:sz w:val="1"/>
                <w:szCs w:val="1"/>
                <w:color w:val="auto"/>
              </w:rPr>
            </w:pPr>
          </w:p>
        </w:tc>
      </w:tr>
      <w:tr>
        <w:trPr>
          <w:trHeight w:val="23"/>
        </w:trPr>
        <w:tc>
          <w:tcPr>
            <w:tcW w:w="1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82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Stock-based</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3,092</w:t>
            </w: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13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3,092</w:t>
            </w:r>
          </w:p>
        </w:tc>
        <w:tc>
          <w:tcPr>
            <w:tcW w:w="0" w:type="dxa"/>
            <w:vAlign w:val="bottom"/>
          </w:tcPr>
          <w:p>
            <w:pPr>
              <w:spacing w:after="0"/>
              <w:rPr>
                <w:sz w:val="1"/>
                <w:szCs w:val="1"/>
                <w:color w:val="auto"/>
              </w:rPr>
            </w:pPr>
          </w:p>
        </w:tc>
      </w:tr>
      <w:tr>
        <w:trPr>
          <w:trHeight w:val="203"/>
        </w:trPr>
        <w:tc>
          <w:tcPr>
            <w:tcW w:w="1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compensation</w:t>
            </w:r>
          </w:p>
        </w:tc>
        <w:tc>
          <w:tcPr>
            <w:tcW w:w="10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currency</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439</w:t>
            </w:r>
          </w:p>
        </w:tc>
        <w:tc>
          <w:tcPr>
            <w:tcW w:w="0" w:type="dxa"/>
            <w:vAlign w:val="bottom"/>
          </w:tcPr>
          <w:p>
            <w:pPr>
              <w:spacing w:after="0"/>
              <w:rPr>
                <w:sz w:val="1"/>
                <w:szCs w:val="1"/>
                <w:color w:val="auto"/>
              </w:rPr>
            </w:pPr>
          </w:p>
        </w:tc>
      </w:tr>
      <w:tr>
        <w:trPr>
          <w:trHeight w:val="195"/>
        </w:trPr>
        <w:tc>
          <w:tcPr>
            <w:tcW w:w="1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translation adjustments</w:t>
            </w: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82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Reclassification</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820" w:type="dxa"/>
            <w:vAlign w:val="bottom"/>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adjustment for currency</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translation gains related to</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2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the liquidation of foreign</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0" w:type="dxa"/>
            <w:vAlign w:val="bottom"/>
          </w:tcPr>
          <w:p>
            <w:pPr>
              <w:spacing w:after="0"/>
              <w:rPr>
                <w:sz w:val="1"/>
                <w:szCs w:val="1"/>
                <w:color w:val="auto"/>
              </w:rPr>
            </w:pPr>
          </w:p>
        </w:tc>
      </w:tr>
      <w:tr>
        <w:trPr>
          <w:trHeight w:val="203"/>
        </w:trPr>
        <w:tc>
          <w:tcPr>
            <w:tcW w:w="1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entities</w:t>
            </w:r>
          </w:p>
        </w:tc>
        <w:tc>
          <w:tcPr>
            <w:tcW w:w="10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82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Repurchase of common</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571,521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(20,394)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1"/>
                <w:szCs w:val="11"/>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3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(20,394)</w:t>
            </w:r>
          </w:p>
        </w:tc>
        <w:tc>
          <w:tcPr>
            <w:tcW w:w="0" w:type="dxa"/>
            <w:vAlign w:val="bottom"/>
          </w:tcPr>
          <w:p>
            <w:pPr>
              <w:spacing w:after="0"/>
              <w:rPr>
                <w:sz w:val="1"/>
                <w:szCs w:val="1"/>
                <w:color w:val="auto"/>
              </w:rPr>
            </w:pPr>
          </w:p>
        </w:tc>
      </w:tr>
      <w:tr>
        <w:trPr>
          <w:trHeight w:val="195"/>
        </w:trPr>
        <w:tc>
          <w:tcPr>
            <w:tcW w:w="1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w:t>
            </w: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Warrant conversion</w:t>
            </w: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4,830,761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189,849</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189,897</w:t>
            </w:r>
          </w:p>
        </w:tc>
        <w:tc>
          <w:tcPr>
            <w:tcW w:w="0" w:type="dxa"/>
            <w:vAlign w:val="bottom"/>
          </w:tcPr>
          <w:p>
            <w:pPr>
              <w:spacing w:after="0"/>
              <w:rPr>
                <w:sz w:val="1"/>
                <w:szCs w:val="1"/>
                <w:color w:val="auto"/>
              </w:rPr>
            </w:pPr>
          </w:p>
        </w:tc>
      </w:tr>
      <w:tr>
        <w:trPr>
          <w:trHeight w:val="135"/>
        </w:trPr>
        <w:tc>
          <w:tcPr>
            <w:tcW w:w="182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Shares issued upon</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82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vesting of restricted stock</w:t>
            </w:r>
          </w:p>
        </w:tc>
        <w:tc>
          <w:tcPr>
            <w:tcW w:w="9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9,679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88"/>
        </w:trPr>
        <w:tc>
          <w:tcPr>
            <w:tcW w:w="1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units</w:t>
            </w: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Exercise of options to</w:t>
            </w:r>
          </w:p>
        </w:tc>
        <w:tc>
          <w:tcPr>
            <w:tcW w:w="9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1,199</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1,200</w:t>
            </w:r>
          </w:p>
        </w:tc>
        <w:tc>
          <w:tcPr>
            <w:tcW w:w="0" w:type="dxa"/>
            <w:vAlign w:val="bottom"/>
          </w:tcPr>
          <w:p>
            <w:pPr>
              <w:spacing w:after="0"/>
              <w:rPr>
                <w:sz w:val="1"/>
                <w:szCs w:val="1"/>
                <w:color w:val="auto"/>
              </w:rPr>
            </w:pPr>
          </w:p>
        </w:tc>
      </w:tr>
      <w:tr>
        <w:trPr>
          <w:trHeight w:val="203"/>
        </w:trPr>
        <w:tc>
          <w:tcPr>
            <w:tcW w:w="1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common stock</w:t>
            </w:r>
          </w:p>
        </w:tc>
        <w:tc>
          <w:tcPr>
            <w:tcW w:w="9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182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Balance at February 26,</w:t>
            </w:r>
          </w:p>
        </w:tc>
        <w:tc>
          <w:tcPr>
            <w:tcW w:w="92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101,070,881</w:t>
            </w:r>
          </w:p>
        </w:tc>
        <w:tc>
          <w:tcPr>
            <w:tcW w:w="12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1,011</w:t>
            </w:r>
          </w:p>
        </w:tc>
        <w:tc>
          <w:tcPr>
            <w:tcW w:w="140" w:type="dxa"/>
            <w:vAlign w:val="bottom"/>
          </w:tcPr>
          <w:p>
            <w:pPr>
              <w:spacing w:after="0"/>
              <w:rPr>
                <w:sz w:val="10"/>
                <w:szCs w:val="10"/>
                <w:color w:val="auto"/>
              </w:rPr>
            </w:pPr>
          </w:p>
        </w:tc>
        <w:tc>
          <w:tcPr>
            <w:tcW w:w="72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669,755</w:t>
            </w:r>
          </w:p>
        </w:tc>
        <w:tc>
          <w:tcPr>
            <w:tcW w:w="12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(22,539)</w:t>
            </w:r>
          </w:p>
        </w:tc>
        <w:tc>
          <w:tcPr>
            <w:tcW w:w="140" w:type="dxa"/>
            <w:vAlign w:val="bottom"/>
          </w:tcPr>
          <w:p>
            <w:pPr>
              <w:spacing w:after="0"/>
              <w:rPr>
                <w:sz w:val="10"/>
                <w:szCs w:val="10"/>
                <w:color w:val="auto"/>
              </w:rPr>
            </w:pPr>
          </w:p>
        </w:tc>
        <w:tc>
          <w:tcPr>
            <w:tcW w:w="1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1,278,728</w:t>
            </w:r>
          </w:p>
        </w:tc>
        <w:tc>
          <w:tcPr>
            <w:tcW w:w="140" w:type="dxa"/>
            <w:vAlign w:val="bottom"/>
          </w:tcPr>
          <w:p>
            <w:pPr>
              <w:spacing w:after="0"/>
              <w:rPr>
                <w:sz w:val="10"/>
                <w:szCs w:val="10"/>
                <w:color w:val="auto"/>
              </w:rPr>
            </w:pPr>
          </w:p>
        </w:tc>
        <w:tc>
          <w:tcPr>
            <w:tcW w:w="360" w:type="dxa"/>
            <w:vAlign w:val="bottom"/>
            <w:tcBorders>
              <w:top w:val="single" w:sz="8" w:color="auto"/>
            </w:tcBorders>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145,420</w:t>
            </w:r>
          </w:p>
        </w:tc>
        <w:tc>
          <w:tcPr>
            <w:tcW w:w="14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(1,566)</w:t>
            </w:r>
          </w:p>
        </w:tc>
        <w:tc>
          <w:tcPr>
            <w:tcW w:w="140" w:type="dxa"/>
            <w:vAlign w:val="bottom"/>
          </w:tcPr>
          <w:p>
            <w:pPr>
              <w:spacing w:after="0"/>
              <w:rPr>
                <w:sz w:val="10"/>
                <w:szCs w:val="10"/>
                <w:color w:val="auto"/>
              </w:rPr>
            </w:pPr>
          </w:p>
        </w:tc>
        <w:tc>
          <w:tcPr>
            <w:tcW w:w="20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1,401,054</w:t>
            </w:r>
          </w:p>
        </w:tc>
        <w:tc>
          <w:tcPr>
            <w:tcW w:w="0" w:type="dxa"/>
            <w:vAlign w:val="bottom"/>
          </w:tcPr>
          <w:p>
            <w:pPr>
              <w:spacing w:after="0"/>
              <w:rPr>
                <w:sz w:val="1"/>
                <w:szCs w:val="1"/>
                <w:color w:val="auto"/>
              </w:rPr>
            </w:pPr>
          </w:p>
        </w:tc>
      </w:tr>
      <w:tr>
        <w:trPr>
          <w:trHeight w:val="180"/>
        </w:trPr>
        <w:tc>
          <w:tcPr>
            <w:tcW w:w="1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9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38,834</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38,834</w:t>
            </w:r>
          </w:p>
        </w:tc>
        <w:tc>
          <w:tcPr>
            <w:tcW w:w="0" w:type="dxa"/>
            <w:vAlign w:val="bottom"/>
          </w:tcPr>
          <w:p>
            <w:pPr>
              <w:spacing w:after="0"/>
              <w:rPr>
                <w:sz w:val="1"/>
                <w:szCs w:val="1"/>
                <w:color w:val="auto"/>
              </w:rPr>
            </w:pPr>
          </w:p>
        </w:tc>
      </w:tr>
      <w:tr>
        <w:trPr>
          <w:trHeight w:val="135"/>
        </w:trPr>
        <w:tc>
          <w:tcPr>
            <w:tcW w:w="182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Stock-based</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2,994</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3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2,994</w:t>
            </w:r>
          </w:p>
        </w:tc>
        <w:tc>
          <w:tcPr>
            <w:tcW w:w="0" w:type="dxa"/>
            <w:vAlign w:val="bottom"/>
          </w:tcPr>
          <w:p>
            <w:pPr>
              <w:spacing w:after="0"/>
              <w:rPr>
                <w:sz w:val="1"/>
                <w:szCs w:val="1"/>
                <w:color w:val="auto"/>
              </w:rPr>
            </w:pPr>
          </w:p>
        </w:tc>
      </w:tr>
      <w:tr>
        <w:trPr>
          <w:trHeight w:val="195"/>
        </w:trPr>
        <w:tc>
          <w:tcPr>
            <w:tcW w:w="1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compensation</w:t>
            </w: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03"/>
        </w:trPr>
        <w:tc>
          <w:tcPr>
            <w:tcW w:w="1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translation adjustments</w:t>
            </w:r>
          </w:p>
        </w:tc>
        <w:tc>
          <w:tcPr>
            <w:tcW w:w="10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82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Repurchase of common</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218,221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(8,110)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1"/>
                <w:szCs w:val="11"/>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3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(8,110)</w:t>
            </w:r>
          </w:p>
        </w:tc>
        <w:tc>
          <w:tcPr>
            <w:tcW w:w="0" w:type="dxa"/>
            <w:vAlign w:val="bottom"/>
          </w:tcPr>
          <w:p>
            <w:pPr>
              <w:spacing w:after="0"/>
              <w:rPr>
                <w:sz w:val="1"/>
                <w:szCs w:val="1"/>
                <w:color w:val="auto"/>
              </w:rPr>
            </w:pPr>
          </w:p>
        </w:tc>
      </w:tr>
      <w:tr>
        <w:trPr>
          <w:trHeight w:val="195"/>
        </w:trPr>
        <w:tc>
          <w:tcPr>
            <w:tcW w:w="1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w:t>
            </w: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82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Shares issued upon</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820" w:type="dxa"/>
            <w:vAlign w:val="bottom"/>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vesting of restricted stock</w:t>
            </w:r>
          </w:p>
        </w:tc>
        <w:tc>
          <w:tcPr>
            <w:tcW w:w="9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11,358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192"/>
        </w:trPr>
        <w:tc>
          <w:tcPr>
            <w:tcW w:w="1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units</w:t>
            </w:r>
          </w:p>
        </w:tc>
        <w:tc>
          <w:tcPr>
            <w:tcW w:w="9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Exercise of options to</w:t>
            </w:r>
          </w:p>
        </w:tc>
        <w:tc>
          <w:tcPr>
            <w:tcW w:w="9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232,987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5"/>
                <w:szCs w:val="15"/>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2,867</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2,869</w:t>
            </w:r>
          </w:p>
        </w:tc>
        <w:tc>
          <w:tcPr>
            <w:tcW w:w="0" w:type="dxa"/>
            <w:vAlign w:val="bottom"/>
          </w:tcPr>
          <w:p>
            <w:pPr>
              <w:spacing w:after="0"/>
              <w:rPr>
                <w:sz w:val="1"/>
                <w:szCs w:val="1"/>
                <w:color w:val="auto"/>
              </w:rPr>
            </w:pPr>
          </w:p>
        </w:tc>
      </w:tr>
      <w:tr>
        <w:trPr>
          <w:trHeight w:val="196"/>
        </w:trPr>
        <w:tc>
          <w:tcPr>
            <w:tcW w:w="1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common stock</w:t>
            </w: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May 28, 2022</w:t>
            </w:r>
          </w:p>
        </w:tc>
        <w:tc>
          <w:tcPr>
            <w:tcW w:w="9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101,315,226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1,013</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887,976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(30,649)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1,284,342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184,254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1,437,322</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21" w:right="7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96" w:lineRule="exact"/>
        <w:rPr>
          <w:sz w:val="20"/>
          <w:szCs w:val="20"/>
          <w:color w:val="auto"/>
        </w:rPr>
      </w:pPr>
    </w:p>
    <w:tbl>
      <w:tblPr>
        <w:tblLayout w:type="fixed"/>
        <w:tblInd w:w="460" w:type="dxa"/>
        <w:tblCellMar>
          <w:top w:w="0" w:type="dxa"/>
          <w:left w:w="0" w:type="dxa"/>
          <w:bottom w:w="0" w:type="dxa"/>
          <w:right w:w="0" w:type="dxa"/>
        </w:tblCellMar>
      </w:tblPr>
      <w:tr>
        <w:trPr>
          <w:trHeight w:val="189"/>
        </w:trPr>
        <w:tc>
          <w:tcPr>
            <w:tcW w:w="1840" w:type="dxa"/>
            <w:vAlign w:val="bottom"/>
          </w:tcPr>
          <w:p>
            <w:pPr>
              <w:spacing w:after="0"/>
              <w:rPr>
                <w:sz w:val="16"/>
                <w:szCs w:val="16"/>
                <w:color w:val="auto"/>
              </w:rPr>
            </w:pPr>
          </w:p>
        </w:tc>
        <w:tc>
          <w:tcPr>
            <w:tcW w:w="1880" w:type="dxa"/>
            <w:vAlign w:val="bottom"/>
            <w:gridSpan w:val="5"/>
          </w:tcPr>
          <w:p>
            <w:pPr>
              <w:ind w:left="420"/>
              <w:spacing w:after="0"/>
              <w:rPr>
                <w:sz w:val="20"/>
                <w:szCs w:val="20"/>
                <w:color w:val="auto"/>
              </w:rPr>
            </w:pPr>
            <w:r>
              <w:rPr>
                <w:rFonts w:ascii="Times New Roman" w:cs="Times New Roman" w:eastAsia="Times New Roman" w:hAnsi="Times New Roman"/>
                <w:sz w:val="14"/>
                <w:szCs w:val="14"/>
                <w:color w:val="auto"/>
              </w:rPr>
              <w:t>Common Stock</w:t>
            </w:r>
          </w:p>
        </w:tc>
        <w:tc>
          <w:tcPr>
            <w:tcW w:w="1720" w:type="dxa"/>
            <w:vAlign w:val="bottom"/>
            <w:gridSpan w:val="5"/>
          </w:tcPr>
          <w:p>
            <w:pPr>
              <w:ind w:left="360"/>
              <w:spacing w:after="0"/>
              <w:rPr>
                <w:sz w:val="20"/>
                <w:szCs w:val="20"/>
                <w:color w:val="auto"/>
              </w:rPr>
            </w:pPr>
            <w:r>
              <w:rPr>
                <w:rFonts w:ascii="Times New Roman" w:cs="Times New Roman" w:eastAsia="Times New Roman" w:hAnsi="Times New Roman"/>
                <w:sz w:val="14"/>
                <w:szCs w:val="14"/>
                <w:color w:val="auto"/>
              </w:rPr>
              <w:t>Treasury Stock</w:t>
            </w:r>
          </w:p>
        </w:tc>
        <w:tc>
          <w:tcPr>
            <w:tcW w:w="12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Additional</w:t>
            </w:r>
          </w:p>
        </w:tc>
        <w:tc>
          <w:tcPr>
            <w:tcW w:w="13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Retained Earnings</w:t>
            </w:r>
          </w:p>
        </w:tc>
        <w:tc>
          <w:tcPr>
            <w:tcW w:w="10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Accumulated Other</w:t>
            </w:r>
          </w:p>
        </w:tc>
        <w:tc>
          <w:tcPr>
            <w:tcW w:w="200" w:type="dxa"/>
            <w:vAlign w:val="bottom"/>
          </w:tcPr>
          <w:p>
            <w:pPr>
              <w:spacing w:after="0"/>
              <w:rPr>
                <w:sz w:val="16"/>
                <w:szCs w:val="16"/>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36"/>
        </w:trPr>
        <w:tc>
          <w:tcPr>
            <w:tcW w:w="18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Paid-In Capital</w:t>
            </w:r>
          </w:p>
        </w:tc>
        <w:tc>
          <w:tcPr>
            <w:tcW w:w="1340" w:type="dxa"/>
            <w:vAlign w:val="bottom"/>
            <w:gridSpan w:val="3"/>
            <w:vMerge w:val="continue"/>
          </w:tcPr>
          <w:p>
            <w:pPr>
              <w:spacing w:after="0"/>
              <w:rPr>
                <w:sz w:val="3"/>
                <w:szCs w:val="3"/>
                <w:color w:val="auto"/>
              </w:rPr>
            </w:pPr>
          </w:p>
        </w:tc>
        <w:tc>
          <w:tcPr>
            <w:tcW w:w="15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Comprehensive Loss</w:t>
            </w:r>
          </w:p>
        </w:tc>
        <w:tc>
          <w:tcPr>
            <w:tcW w:w="2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1840" w:type="dxa"/>
            <w:vAlign w:val="bottom"/>
          </w:tcPr>
          <w:p>
            <w:pPr>
              <w:spacing w:after="0"/>
              <w:rPr>
                <w:sz w:val="4"/>
                <w:szCs w:val="4"/>
                <w:color w:val="auto"/>
              </w:rPr>
            </w:pPr>
          </w:p>
        </w:tc>
        <w:tc>
          <w:tcPr>
            <w:tcW w:w="10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4"/>
                <w:szCs w:val="4"/>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1080" w:type="dxa"/>
            <w:vAlign w:val="bottom"/>
            <w:gridSpan w:val="3"/>
            <w:vMerge w:val="continue"/>
          </w:tcPr>
          <w:p>
            <w:pPr>
              <w:spacing w:after="0"/>
              <w:rPr>
                <w:sz w:val="4"/>
                <w:szCs w:val="4"/>
                <w:color w:val="auto"/>
              </w:rPr>
            </w:pPr>
          </w:p>
        </w:tc>
        <w:tc>
          <w:tcPr>
            <w:tcW w:w="1340" w:type="dxa"/>
            <w:vAlign w:val="bottom"/>
            <w:gridSpan w:val="3"/>
            <w:vMerge w:val="continue"/>
          </w:tcPr>
          <w:p>
            <w:pPr>
              <w:spacing w:after="0"/>
              <w:rPr>
                <w:sz w:val="4"/>
                <w:szCs w:val="4"/>
                <w:color w:val="auto"/>
              </w:rPr>
            </w:pPr>
          </w:p>
        </w:tc>
        <w:tc>
          <w:tcPr>
            <w:tcW w:w="150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18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1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August 29, 2020</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95,751,845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98,234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(2,145)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1,076,472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64,927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1,139,333</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42,953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42,953</w:t>
            </w:r>
          </w:p>
        </w:tc>
        <w:tc>
          <w:tcPr>
            <w:tcW w:w="0" w:type="dxa"/>
            <w:vAlign w:val="bottom"/>
          </w:tcPr>
          <w:p>
            <w:pPr>
              <w:spacing w:after="0"/>
              <w:rPr>
                <w:sz w:val="1"/>
                <w:szCs w:val="1"/>
                <w:color w:val="auto"/>
              </w:rPr>
            </w:pPr>
          </w:p>
        </w:tc>
      </w:tr>
      <w:tr>
        <w:trPr>
          <w:trHeight w:val="23"/>
        </w:trPr>
        <w:tc>
          <w:tcPr>
            <w:tcW w:w="1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1,110</w:t>
            </w:r>
          </w:p>
        </w:tc>
        <w:tc>
          <w:tcPr>
            <w:tcW w:w="0" w:type="dxa"/>
            <w:vAlign w:val="bottom"/>
          </w:tcPr>
          <w:p>
            <w:pPr>
              <w:spacing w:after="0"/>
              <w:rPr>
                <w:sz w:val="1"/>
                <w:szCs w:val="1"/>
                <w:color w:val="auto"/>
              </w:rPr>
            </w:pPr>
          </w:p>
        </w:tc>
      </w:tr>
      <w:tr>
        <w:trPr>
          <w:trHeight w:val="166"/>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currency</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93"/>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translation adjustments</w:t>
            </w: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4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Shares issued upon</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4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vesting of restricted stock</w:t>
            </w:r>
          </w:p>
        </w:tc>
        <w:tc>
          <w:tcPr>
            <w:tcW w:w="8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53,908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units</w:t>
            </w:r>
          </w:p>
        </w:tc>
        <w:tc>
          <w:tcPr>
            <w:tcW w:w="8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Exercise of options to</w:t>
            </w: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13,118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93"/>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common stock</w:t>
            </w: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1840" w:type="dxa"/>
            <w:vAlign w:val="bottom"/>
            <w:tcBorders>
              <w:top w:val="single" w:sz="8" w:color="CCEEFF"/>
            </w:tcBorders>
            <w:shd w:val="clear" w:color="auto" w:fill="CCEEFF"/>
          </w:tcPr>
          <w:p>
            <w:pPr>
              <w:ind w:left="20"/>
              <w:spacing w:after="0" w:line="125" w:lineRule="exact"/>
              <w:rPr>
                <w:sz w:val="20"/>
                <w:szCs w:val="20"/>
                <w:color w:val="auto"/>
              </w:rPr>
            </w:pPr>
            <w:r>
              <w:rPr>
                <w:rFonts w:ascii="Times New Roman" w:cs="Times New Roman" w:eastAsia="Times New Roman" w:hAnsi="Times New Roman"/>
                <w:sz w:val="14"/>
                <w:szCs w:val="14"/>
                <w:color w:val="auto"/>
              </w:rPr>
              <w:t>Balance at November 28,</w:t>
            </w:r>
          </w:p>
        </w:tc>
        <w:tc>
          <w:tcPr>
            <w:tcW w:w="88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95,818,871</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958</w:t>
            </w:r>
          </w:p>
        </w:tc>
        <w:tc>
          <w:tcPr>
            <w:tcW w:w="1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98,234</w:t>
            </w:r>
          </w:p>
        </w:tc>
        <w:tc>
          <w:tcPr>
            <w:tcW w:w="1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(2,145)</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1,077,538</w:t>
            </w:r>
          </w:p>
        </w:tc>
        <w:tc>
          <w:tcPr>
            <w:tcW w:w="12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107,880</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1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1,183,307</w:t>
            </w:r>
          </w:p>
        </w:tc>
        <w:tc>
          <w:tcPr>
            <w:tcW w:w="0" w:type="dxa"/>
            <w:vAlign w:val="bottom"/>
          </w:tcPr>
          <w:p>
            <w:pPr>
              <w:spacing w:after="0"/>
              <w:rPr>
                <w:sz w:val="1"/>
                <w:szCs w:val="1"/>
                <w:color w:val="auto"/>
              </w:rPr>
            </w:pPr>
          </w:p>
        </w:tc>
      </w:tr>
      <w:tr>
        <w:trPr>
          <w:trHeight w:val="191"/>
        </w:trPr>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2020</w:t>
            </w: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126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(26,214)</w:t>
            </w:r>
          </w:p>
        </w:tc>
        <w:tc>
          <w:tcPr>
            <w:tcW w:w="0" w:type="dxa"/>
            <w:vAlign w:val="bottom"/>
          </w:tcPr>
          <w:p>
            <w:pPr>
              <w:spacing w:after="0"/>
              <w:rPr>
                <w:sz w:val="1"/>
                <w:szCs w:val="1"/>
                <w:color w:val="auto"/>
              </w:rPr>
            </w:pPr>
          </w:p>
        </w:tc>
      </w:tr>
      <w:tr>
        <w:trPr>
          <w:trHeight w:val="23"/>
        </w:trPr>
        <w:tc>
          <w:tcPr>
            <w:tcW w:w="1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2,484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2,484</w:t>
            </w:r>
          </w:p>
        </w:tc>
        <w:tc>
          <w:tcPr>
            <w:tcW w:w="0" w:type="dxa"/>
            <w:vAlign w:val="bottom"/>
          </w:tcPr>
          <w:p>
            <w:pPr>
              <w:spacing w:after="0"/>
              <w:rPr>
                <w:sz w:val="1"/>
                <w:szCs w:val="1"/>
                <w:color w:val="auto"/>
              </w:rPr>
            </w:pPr>
          </w:p>
        </w:tc>
      </w:tr>
      <w:tr>
        <w:trPr>
          <w:trHeight w:val="180"/>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currency</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193"/>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translation adjustments</w:t>
            </w: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4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Shares issued upon</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4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vesting of restricted stock</w:t>
            </w:r>
          </w:p>
        </w:tc>
        <w:tc>
          <w:tcPr>
            <w:tcW w:w="8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7,034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units</w:t>
            </w:r>
          </w:p>
        </w:tc>
        <w:tc>
          <w:tcPr>
            <w:tcW w:w="8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Exercise of options to</w:t>
            </w: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30,810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5"/>
                <w:szCs w:val="15"/>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369</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370</w:t>
            </w:r>
          </w:p>
        </w:tc>
        <w:tc>
          <w:tcPr>
            <w:tcW w:w="0" w:type="dxa"/>
            <w:vAlign w:val="bottom"/>
          </w:tcPr>
          <w:p>
            <w:pPr>
              <w:spacing w:after="0"/>
              <w:rPr>
                <w:sz w:val="1"/>
                <w:szCs w:val="1"/>
                <w:color w:val="auto"/>
              </w:rPr>
            </w:pPr>
          </w:p>
        </w:tc>
      </w:tr>
      <w:tr>
        <w:trPr>
          <w:trHeight w:val="193"/>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common stock</w:t>
            </w: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1840" w:type="dxa"/>
            <w:vAlign w:val="bottom"/>
            <w:tcBorders>
              <w:top w:val="single" w:sz="8" w:color="CCEEFF"/>
            </w:tcBorders>
            <w:shd w:val="clear" w:color="auto" w:fill="CCEEFF"/>
          </w:tcPr>
          <w:p>
            <w:pPr>
              <w:ind w:left="20"/>
              <w:spacing w:after="0" w:line="125" w:lineRule="exact"/>
              <w:rPr>
                <w:sz w:val="20"/>
                <w:szCs w:val="20"/>
                <w:color w:val="auto"/>
              </w:rPr>
            </w:pPr>
            <w:r>
              <w:rPr>
                <w:rFonts w:ascii="Times New Roman" w:cs="Times New Roman" w:eastAsia="Times New Roman" w:hAnsi="Times New Roman"/>
                <w:sz w:val="14"/>
                <w:szCs w:val="14"/>
                <w:color w:val="auto"/>
              </w:rPr>
              <w:t>Balance at February 27,</w:t>
            </w:r>
          </w:p>
        </w:tc>
        <w:tc>
          <w:tcPr>
            <w:tcW w:w="88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95,856,715</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959</w:t>
            </w:r>
          </w:p>
        </w:tc>
        <w:tc>
          <w:tcPr>
            <w:tcW w:w="1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98,234</w:t>
            </w:r>
          </w:p>
        </w:tc>
        <w:tc>
          <w:tcPr>
            <w:tcW w:w="1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(2,145)</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1,080,340</w:t>
            </w:r>
          </w:p>
        </w:tc>
        <w:tc>
          <w:tcPr>
            <w:tcW w:w="12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81,666</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1,160,139</w:t>
            </w:r>
          </w:p>
        </w:tc>
        <w:tc>
          <w:tcPr>
            <w:tcW w:w="0" w:type="dxa"/>
            <w:vAlign w:val="bottom"/>
          </w:tcPr>
          <w:p>
            <w:pPr>
              <w:spacing w:after="0"/>
              <w:rPr>
                <w:sz w:val="1"/>
                <w:szCs w:val="1"/>
                <w:color w:val="auto"/>
              </w:rPr>
            </w:pPr>
          </w:p>
        </w:tc>
      </w:tr>
      <w:tr>
        <w:trPr>
          <w:trHeight w:val="191"/>
        </w:trPr>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126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5,895</w:t>
            </w:r>
          </w:p>
        </w:tc>
        <w:tc>
          <w:tcPr>
            <w:tcW w:w="0" w:type="dxa"/>
            <w:vAlign w:val="bottom"/>
          </w:tcPr>
          <w:p>
            <w:pPr>
              <w:spacing w:after="0"/>
              <w:rPr>
                <w:sz w:val="1"/>
                <w:szCs w:val="1"/>
                <w:color w:val="auto"/>
              </w:rPr>
            </w:pPr>
          </w:p>
        </w:tc>
      </w:tr>
      <w:tr>
        <w:trPr>
          <w:trHeight w:val="23"/>
        </w:trPr>
        <w:tc>
          <w:tcPr>
            <w:tcW w:w="1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2,172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2,172</w:t>
            </w:r>
          </w:p>
        </w:tc>
        <w:tc>
          <w:tcPr>
            <w:tcW w:w="0" w:type="dxa"/>
            <w:vAlign w:val="bottom"/>
          </w:tcPr>
          <w:p>
            <w:pPr>
              <w:spacing w:after="0"/>
              <w:rPr>
                <w:sz w:val="1"/>
                <w:szCs w:val="1"/>
                <w:color w:val="auto"/>
              </w:rPr>
            </w:pPr>
          </w:p>
        </w:tc>
      </w:tr>
      <w:tr>
        <w:trPr>
          <w:trHeight w:val="180"/>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currency</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93"/>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translation adjustments</w:t>
            </w: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4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Shares issued upon</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4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vesting of restricted stock</w:t>
            </w:r>
          </w:p>
        </w:tc>
        <w:tc>
          <w:tcPr>
            <w:tcW w:w="8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4,683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units</w:t>
            </w:r>
          </w:p>
        </w:tc>
        <w:tc>
          <w:tcPr>
            <w:tcW w:w="8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Exercise of options to</w:t>
            </w: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14,380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173</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193"/>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common stock</w:t>
            </w: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May 29, 2021</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95,875,778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98,234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(2,145)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1,082,617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87,561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1,168,406</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condensed consolidated financial statements.</w:t>
      </w:r>
    </w:p>
    <w:p>
      <w:pPr>
        <w:spacing w:after="0" w:line="200" w:lineRule="exact"/>
        <w:rPr>
          <w:sz w:val="20"/>
          <w:szCs w:val="20"/>
          <w:color w:val="auto"/>
        </w:rPr>
      </w:pPr>
    </w:p>
    <w:p>
      <w:pPr>
        <w:spacing w:after="0" w:line="39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21" w:right="7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for share and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Principles of Consolidation</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56" w:lineRule="exact"/>
        <w:rPr>
          <w:sz w:val="20"/>
          <w:szCs w:val="20"/>
          <w:color w:val="auto"/>
        </w:rPr>
      </w:pPr>
    </w:p>
    <w:p>
      <w:pPr>
        <w:jc w:val="both"/>
        <w:ind w:firstLine="185"/>
        <w:spacing w:after="0" w:line="258" w:lineRule="auto"/>
        <w:rPr>
          <w:sz w:val="20"/>
          <w:szCs w:val="20"/>
          <w:color w:val="auto"/>
        </w:rPr>
      </w:pPr>
      <w:r>
        <w:rPr>
          <w:rFonts w:ascii="Times New Roman" w:cs="Times New Roman" w:eastAsia="Times New Roman" w:hAnsi="Times New Roman"/>
          <w:sz w:val="18"/>
          <w:szCs w:val="18"/>
          <w:color w:val="auto"/>
        </w:rPr>
        <w:t>The Simply Good Foods Company (“Simply Good Foods” or the “Company”) is a consumer packaged food and beverage company that aims to lead the nutritious snacking movement with trusted brands that offer a variety of convenient, innovative, great-tasting, better-for-you snacks and meal replacements. The product portfolio the Company develops, markets and sells consists primarily of protein bars, ready-to-drink (“RTD”) shakes, sweet and salty snacks and confectionery products marketed under the Atkins®, Atkins Endulge®, and Quest® brand names. Simply Good Foods is poised to expand its wellness platform through innovation and organic growth along with acquisition opportunities in the nutritional snacking space.</w:t>
      </w:r>
    </w:p>
    <w:p>
      <w:pPr>
        <w:spacing w:after="0" w:line="210" w:lineRule="exact"/>
        <w:rPr>
          <w:sz w:val="20"/>
          <w:szCs w:val="20"/>
          <w:color w:val="auto"/>
        </w:rPr>
      </w:pPr>
    </w:p>
    <w:p>
      <w:pPr>
        <w:jc w:val="both"/>
        <w:ind w:firstLine="285"/>
        <w:spacing w:after="0" w:line="258" w:lineRule="auto"/>
        <w:rPr>
          <w:sz w:val="20"/>
          <w:szCs w:val="20"/>
          <w:color w:val="auto"/>
        </w:rPr>
      </w:pPr>
      <w:r>
        <w:rPr>
          <w:rFonts w:ascii="Times New Roman" w:cs="Times New Roman" w:eastAsia="Times New Roman" w:hAnsi="Times New Roman"/>
          <w:sz w:val="18"/>
          <w:szCs w:val="18"/>
          <w:color w:val="auto"/>
        </w:rPr>
        <w:t>The Company’s nutritious snacking platform consists of brands that specialize in providing products for consumers that follow certain nutritional philosophies and health-and-wellness trends: Atkins® for those following a low-carb lifestyle and Quest® for consumers seeking a variety of protein-rich foods and beverages that also limit sugars and simple carbs. The Company distributes its products in major retail channels, primarily in North America, including grocery, club, and mass merchandise, as well as through e-commerce, convenience, specialty, and other channels. The Company’s portfolio of nutritious snacking brands gives it a strong platform with which to introduce new products, expand distribution, and attract new consumers to its products.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common stock of Simply Good Foods is listed on the Nasdaq Capital Market under the symbol “SMPL.”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Condensed Consolidated Financial Statements</w:t>
      </w:r>
    </w:p>
    <w:p>
      <w:pPr>
        <w:spacing w:after="0" w:line="256" w:lineRule="exact"/>
        <w:rPr>
          <w:sz w:val="20"/>
          <w:szCs w:val="20"/>
          <w:color w:val="auto"/>
        </w:rPr>
      </w:pPr>
    </w:p>
    <w:p>
      <w:pPr>
        <w:jc w:val="both"/>
        <w:ind w:firstLine="211"/>
        <w:spacing w:after="0" w:line="266"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include the accounts of Simply Good Foods and its wholly-owned subsidiaries. All intercompany accounts and transactions have been eliminated. Unless the context otherwise requires, “we,” “us,” “our” and the “Company” refer to Simply Good Foods and its subsidiaries.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Company maintains its accounting records on a 52/53-week fiscal year, ending on the last Saturday in August of each year.</w:t>
      </w:r>
    </w:p>
    <w:p>
      <w:pPr>
        <w:spacing w:after="0" w:line="252" w:lineRule="exact"/>
        <w:rPr>
          <w:sz w:val="20"/>
          <w:szCs w:val="20"/>
          <w:color w:val="auto"/>
        </w:rPr>
      </w:pPr>
    </w:p>
    <w:p>
      <w:pPr>
        <w:jc w:val="both"/>
        <w:ind w:firstLine="242"/>
        <w:spacing w:after="0" w:line="253" w:lineRule="auto"/>
        <w:rPr>
          <w:sz w:val="20"/>
          <w:szCs w:val="20"/>
          <w:color w:val="auto"/>
        </w:rPr>
      </w:pPr>
      <w:r>
        <w:rPr>
          <w:rFonts w:ascii="Times New Roman" w:cs="Times New Roman" w:eastAsia="Times New Roman" w:hAnsi="Times New Roman"/>
          <w:sz w:val="18"/>
          <w:szCs w:val="18"/>
          <w:color w:val="auto"/>
        </w:rPr>
        <w:t>The interim condensed consolidated financial statements and related notes of the Company and its subsidiaries are unaudited. The unaudited interim condensed consolidated financial statements have been prepared in accordance with U.S. Generally Accepted Accounting Principles (“GAAP”) and the rules and regulations of the Securities and Exchange Commission (the “SEC”). The unaudited interim condensed consolidated financial statements reflect all adjustments and disclosures which are, in the Company’s opinion, necessary for a fair presentation of the results of operations, financial position and cash flows for the indicated periods. All such adjustments were of a normal and recurring nature unless otherwise disclosed. The year-end balance sheet data was derived from the audited financial statements and, in accordance with the instructions to Form 10-Q, certain information and footnote disclosures required by GAAP have been condensed or omitted. The results reported in these unaudited interim condensed consolidated financial statements are not necessarily indicative of the results that may be reported for the entire fiscal year and should be read in conjunction with the Company’s consolidated financial statements for the fiscal year ended August 28, 2021, included in the Company’s Annual Report on Form 10-K (“Annual Report”) filed with the SEC on October 26, 2021.</w:t>
      </w:r>
    </w:p>
    <w:p>
      <w:pPr>
        <w:spacing w:after="0" w:line="221" w:lineRule="exact"/>
        <w:rPr>
          <w:sz w:val="20"/>
          <w:szCs w:val="20"/>
          <w:color w:val="auto"/>
        </w:rPr>
      </w:pPr>
    </w:p>
    <w:p>
      <w:pPr>
        <w:jc w:val="both"/>
        <w:ind w:firstLine="219"/>
        <w:spacing w:after="0" w:line="254" w:lineRule="auto"/>
        <w:rPr>
          <w:sz w:val="20"/>
          <w:szCs w:val="20"/>
          <w:color w:val="auto"/>
        </w:rPr>
      </w:pPr>
      <w:r>
        <w:rPr>
          <w:rFonts w:ascii="Times New Roman" w:cs="Times New Roman" w:eastAsia="Times New Roman" w:hAnsi="Times New Roman"/>
          <w:sz w:val="18"/>
          <w:szCs w:val="18"/>
          <w:color w:val="auto"/>
        </w:rPr>
        <w:t>While the Company’s business has continued to improve from the end of fiscal year 2021, driven in part by the increasing normalization of consumer mobility and shopper traffic patterns in brick-and-mortar retailers versus prior periods that were pressured by COVID-19 movement restrictions, the ultimate effect COVID-19, supply chain challenges, cost pressures, and the overall effects of the current high inflation environment on consumer purchasing patterns could have on our business continues to be not fully known. Additionally, management is continuing to monitor the conflict in Ukraine, especially regarding the availability and cost of raw materials that are produced in this region. Management is also monitoring for signs of any expansion of economic or supply chain disruptions or broader supply chain inflationary costs resulting either directly or indirectly from the crisis. Factors contributing to the uncertainty described above, among other things, include (i) continued supply chain disruptions, including disruptions resulting from labor shortages and other cost pressures, (ii) changes to customer operations, (iii) a reversal in improving consumer purchasing and consumption behavior, and (iv) unforeseen business disruptions or other effects due to current global geopolitical tensions, including relating directly or indirectly to the Ukraine crisis.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68" w:lineRule="exact"/>
        <w:rPr>
          <w:sz w:val="20"/>
          <w:szCs w:val="20"/>
          <w:color w:val="auto"/>
        </w:rPr>
      </w:pPr>
    </w:p>
    <w:p>
      <w:pPr>
        <w:jc w:val="both"/>
        <w:ind w:firstLine="188"/>
        <w:spacing w:after="0" w:line="284"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consolidated financial statements included in the Annual Report for a description of significant accounting policies.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54" w:lineRule="exact"/>
        <w:rPr>
          <w:sz w:val="20"/>
          <w:szCs w:val="20"/>
          <w:color w:val="auto"/>
        </w:rPr>
      </w:pPr>
    </w:p>
    <w:p>
      <w:pPr>
        <w:jc w:val="both"/>
        <w:ind w:firstLine="291"/>
        <w:spacing w:after="0" w:line="258" w:lineRule="auto"/>
        <w:rPr>
          <w:sz w:val="20"/>
          <w:szCs w:val="20"/>
          <w:color w:val="auto"/>
        </w:rPr>
      </w:pPr>
      <w:r>
        <w:rPr>
          <w:rFonts w:ascii="Times New Roman" w:cs="Times New Roman" w:eastAsia="Times New Roman" w:hAnsi="Times New Roman"/>
          <w:sz w:val="18"/>
          <w:szCs w:val="18"/>
          <w:color w:val="auto"/>
        </w:rPr>
        <w:t>In March 2020, the Financial Accounting Standards Board (the “FASB”) issued Accounting Standards Update (“ASU”) 2020-04, Reference Rate Reform (Topic 848), Facilitation of the Effects of Reference Rate Reform on Financial Reporting, which provides optional guidance for a limited period of time to ease the potential burden in accounting for reference rate reform on financial reporting. The amendments in this ASU are effective for all entities and can be applied to contract modifications due to rate reform and eligible existing and new hedging relationships entered into between March 12, 2020 and December 31, 2022. The amendments of this ASU should be applied on a prospective basis.</w:t>
      </w:r>
    </w:p>
    <w:p>
      <w:pPr>
        <w:spacing w:after="0" w:line="210" w:lineRule="exact"/>
        <w:rPr>
          <w:sz w:val="20"/>
          <w:szCs w:val="20"/>
          <w:color w:val="auto"/>
        </w:rPr>
      </w:pPr>
    </w:p>
    <w:p>
      <w:pPr>
        <w:jc w:val="both"/>
        <w:ind w:firstLine="202"/>
        <w:spacing w:after="0" w:line="255" w:lineRule="auto"/>
        <w:rPr>
          <w:sz w:val="20"/>
          <w:szCs w:val="20"/>
          <w:color w:val="auto"/>
        </w:rPr>
      </w:pPr>
      <w:r>
        <w:rPr>
          <w:rFonts w:ascii="Times New Roman" w:cs="Times New Roman" w:eastAsia="Times New Roman" w:hAnsi="Times New Roman"/>
          <w:sz w:val="18"/>
          <w:szCs w:val="18"/>
          <w:color w:val="auto"/>
        </w:rPr>
        <w:t>On January 21, 2022, the Company entered into a repricing amendment (the “2022 Repricing Amendment”) to its credit agreement with Barclays Bank PLC and other parties (as amended to date, the “Credit Agreement”), as described in Note 5, Long-Term Debt and Line of Credit. In addition to replacing the London Interbank Offered Rate (“LIBOR”) as the Credit Agreement’s reference rate with the Secured Overnight Financing Rate (“SOFR”), the 2022 Repricing Amendment contemporaneously modified other terms that changed, or had the potential to change, the amount or timing of contractual cash flows as contemplated by the guidance in ASU 2020-04. As such, the contract modifications related to the 2022 Repricing Amendment were outside of the scope of the optional guidance in ASU 2020-04. The Company will continue to monitor the effects of rate reform, if any, on any new or amended contracts through December 31, 2022. The Company does not anticipate the amendments in this ASU will be material to its consolidated financial statements.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54" w:lineRule="exact"/>
        <w:rPr>
          <w:sz w:val="20"/>
          <w:szCs w:val="20"/>
          <w:color w:val="auto"/>
        </w:rPr>
      </w:pPr>
    </w:p>
    <w:p>
      <w:pPr>
        <w:jc w:val="both"/>
        <w:ind w:firstLine="220"/>
        <w:spacing w:after="0" w:line="258" w:lineRule="auto"/>
        <w:rPr>
          <w:sz w:val="20"/>
          <w:szCs w:val="20"/>
          <w:color w:val="auto"/>
        </w:rPr>
      </w:pPr>
      <w:r>
        <w:rPr>
          <w:rFonts w:ascii="Times New Roman" w:cs="Times New Roman" w:eastAsia="Times New Roman" w:hAnsi="Times New Roman"/>
          <w:sz w:val="18"/>
          <w:szCs w:val="18"/>
          <w:color w:val="auto"/>
        </w:rPr>
        <w:t>In December 2019, the FASB issued ASU 2019-12, Income Taxes (Topic 740): Simplifying the Accounting for Income Taxes, which amends existing guidance related to the accounting for income taxes. This ASU was intended to simplify the accounting for income taxes by removing certain exceptions to the general principles of accounting for income taxes and to improve the consistent application of GAAP for other areas of accounting for income taxes by clarifying and amending existing guidance. The Company adopted this ASU as of the first day of fiscal year 2022. The adoption of this ASU did not have a material effect on the consolidated financial statements.</w:t>
      </w:r>
    </w:p>
    <w:p>
      <w:pPr>
        <w:spacing w:after="0" w:line="210"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8"/>
          <w:szCs w:val="18"/>
          <w:color w:val="auto"/>
        </w:rPr>
        <w:t>In October 2020, the FASB issued ASU 2020-10, Codification Improvements, which provided updates for technical corrections, clarifications to guidance, simplifications to wording or structure of guidance, and other minor improvements across various areas of accounting within GAAP. The Company adopted this ASU as of the first day of fiscal year 2022 on a prospective basis. The adoption of this ASU did not have a material effect on the consolidated financial statements.</w:t>
      </w:r>
    </w:p>
    <w:p>
      <w:pPr>
        <w:spacing w:after="0" w:line="193" w:lineRule="exact"/>
        <w:rPr>
          <w:sz w:val="20"/>
          <w:szCs w:val="20"/>
          <w:color w:val="auto"/>
        </w:rPr>
      </w:pPr>
    </w:p>
    <w:p>
      <w:pPr>
        <w:ind w:right="660" w:firstLine="180"/>
        <w:spacing w:after="0" w:line="266" w:lineRule="auto"/>
        <w:rPr>
          <w:sz w:val="20"/>
          <w:szCs w:val="20"/>
          <w:color w:val="auto"/>
        </w:rPr>
      </w:pPr>
      <w:r>
        <w:rPr>
          <w:rFonts w:ascii="Times New Roman" w:cs="Times New Roman" w:eastAsia="Times New Roman" w:hAnsi="Times New Roman"/>
          <w:sz w:val="18"/>
          <w:szCs w:val="18"/>
          <w:color w:val="auto"/>
        </w:rPr>
        <w:t>No other new accounting pronouncement issued or effective during the fiscal year had or is expected to have a material effect on the Company’s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256"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Revenue from transactions with external customers for each of the Company’s products would be impracticable to disclose and management does not view its business by product line. The following is a summary of revenue disaggregated by geographic area and core brands:</w:t>
      </w:r>
    </w:p>
    <w:p>
      <w:pPr>
        <w:spacing w:after="0" w:line="288"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6"/>
                <w:szCs w:val="16"/>
                <w:color w:val="auto"/>
              </w:rPr>
              <w:t>Thirteen Weeks Ended</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color w:val="auto"/>
              </w:rPr>
              <w:t>Thirty-Nine Weeks Ended</w:t>
            </w:r>
          </w:p>
        </w:tc>
      </w:tr>
      <w:tr>
        <w:trPr>
          <w:trHeight w:val="253"/>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May 28, 2022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May 29, 2021</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May 28, 2022</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May 29, 2021</w:t>
            </w:r>
          </w:p>
        </w:tc>
      </w:tr>
      <w:tr>
        <w:trPr>
          <w:trHeight w:val="253"/>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North America </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67"/>
        </w:trPr>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Atkins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148,163</w:t>
            </w:r>
          </w:p>
        </w:tc>
        <w:tc>
          <w:tcPr>
            <w:tcW w:w="12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146,082</w:t>
            </w:r>
          </w:p>
        </w:tc>
        <w:tc>
          <w:tcPr>
            <w:tcW w:w="140" w:type="dxa"/>
            <w:vAlign w:val="bottom"/>
          </w:tcPr>
          <w:p>
            <w:pPr>
              <w:spacing w:after="0"/>
              <w:rPr>
                <w:sz w:val="23"/>
                <w:szCs w:val="23"/>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417,539</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382,998</w:t>
            </w:r>
          </w:p>
        </w:tc>
      </w:tr>
      <w:tr>
        <w:trPr>
          <w:trHeight w:val="270"/>
        </w:trPr>
        <w:tc>
          <w:tcPr>
            <w:tcW w:w="3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Quest</w:t>
            </w: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160,261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127,097</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451,128</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327,891</w:t>
            </w:r>
          </w:p>
        </w:tc>
      </w:tr>
      <w:tr>
        <w:trPr>
          <w:trHeight w:val="250"/>
        </w:trPr>
        <w:tc>
          <w:tcPr>
            <w:tcW w:w="36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 North America</w:t>
            </w: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308,424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273,179</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868,667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710,889</w:t>
            </w:r>
          </w:p>
        </w:tc>
      </w:tr>
      <w:tr>
        <w:trPr>
          <w:trHeight w:val="270"/>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8,107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10,822</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25,847</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34,871</w:t>
            </w:r>
          </w:p>
        </w:tc>
      </w:tr>
      <w:tr>
        <w:trPr>
          <w:trHeight w:val="226"/>
        </w:trPr>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Total net sales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316,531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284,001</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894,514</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745,760</w:t>
            </w:r>
          </w:p>
        </w:tc>
      </w:tr>
      <w:tr>
        <w:trPr>
          <w:trHeight w:val="20"/>
        </w:trPr>
        <w:tc>
          <w:tcPr>
            <w:tcW w:w="3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7" w:lineRule="exact"/>
        <w:rPr>
          <w:sz w:val="20"/>
          <w:szCs w:val="20"/>
          <w:color w:val="auto"/>
        </w:rPr>
      </w:pPr>
    </w:p>
    <w:p>
      <w:pPr>
        <w:ind w:left="760" w:right="680" w:hanging="79"/>
        <w:spacing w:after="0" w:line="246" w:lineRule="auto"/>
        <w:tabs>
          <w:tab w:leader="none" w:pos="828" w:val="left"/>
        </w:tabs>
        <w:numPr>
          <w:ilvl w:val="0"/>
          <w:numId w:val="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North America geographic area consists of net sales substantially related to the United States and there is no individual foreign country to which more than 10% of the Company’s net sales are attributed or that is otherwise deemed individually material.</w:t>
      </w:r>
    </w:p>
    <w:p>
      <w:pPr>
        <w:spacing w:after="0" w:line="200" w:lineRule="exact"/>
        <w:rPr>
          <w:sz w:val="20"/>
          <w:szCs w:val="20"/>
          <w:color w:val="auto"/>
        </w:rPr>
      </w:pPr>
    </w:p>
    <w:p>
      <w:pPr>
        <w:spacing w:after="0" w:line="201" w:lineRule="exact"/>
        <w:rPr>
          <w:sz w:val="20"/>
          <w:szCs w:val="20"/>
          <w:color w:val="auto"/>
        </w:rPr>
      </w:pPr>
    </w:p>
    <w:p>
      <w:pPr>
        <w:jc w:val="both"/>
        <w:ind w:firstLine="207"/>
        <w:spacing w:after="0" w:line="261" w:lineRule="auto"/>
        <w:rPr>
          <w:sz w:val="20"/>
          <w:szCs w:val="20"/>
          <w:color w:val="auto"/>
        </w:rPr>
      </w:pPr>
      <w:r>
        <w:rPr>
          <w:rFonts w:ascii="Times New Roman" w:cs="Times New Roman" w:eastAsia="Times New Roman" w:hAnsi="Times New Roman"/>
          <w:sz w:val="18"/>
          <w:szCs w:val="18"/>
          <w:color w:val="auto"/>
        </w:rPr>
        <w:t>Charges related to credit loss on accounts receivables from transactions with external customers were $0.2 million and $0.1 million for the thirteen and thirty-nine weeks ended May 28, 2022, respectively, and were $0.6 million and $0.7 million for the thirteen and thirty-nine weeks ended May 29, 2021, respectively. As of May 28, 2022 and August 28, 2021, the allowances for doubtful accounts related to these accounts receivable were $1.3 million and $1.1 million, respectively.</w:t>
      </w:r>
    </w:p>
    <w:p>
      <w:pPr>
        <w:sectPr>
          <w:pgSz w:w="11900" w:h="16838" w:orient="portrait"/>
          <w:cols w:equalWidth="0" w:num="1">
            <w:col w:w="11240"/>
          </w:cols>
          <w:pgMar w:left="320" w:top="121" w:right="339" w:bottom="1440" w:gutter="0" w:footer="0" w:header="0"/>
        </w:sect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Intangibles</w:t>
      </w:r>
    </w:p>
    <w:p>
      <w:pPr>
        <w:spacing w:after="0" w:line="254" w:lineRule="exact"/>
        <w:rPr>
          <w:sz w:val="20"/>
          <w:szCs w:val="20"/>
          <w:color w:val="auto"/>
        </w:rPr>
      </w:pPr>
    </w:p>
    <w:p>
      <w:pPr>
        <w:jc w:val="both"/>
        <w:ind w:firstLine="236"/>
        <w:spacing w:after="0" w:line="284" w:lineRule="auto"/>
        <w:rPr>
          <w:sz w:val="20"/>
          <w:szCs w:val="20"/>
          <w:color w:val="auto"/>
        </w:rPr>
      </w:pPr>
      <w:r>
        <w:rPr>
          <w:rFonts w:ascii="Times New Roman" w:cs="Times New Roman" w:eastAsia="Times New Roman" w:hAnsi="Times New Roman"/>
          <w:sz w:val="18"/>
          <w:szCs w:val="18"/>
          <w:color w:val="auto"/>
        </w:rPr>
        <w:t xml:space="preserve">As of May 28, 2022 and August 28, 2021,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in the Condensed Consolidated Balance Sheets was $543.1 million. There were no impairment charges related to goodwill during the thirteen and thirty-nine weeks ended May 28, 2022 or since the inception of the Company.</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Intangible assets, net </w:t>
      </w:r>
      <w:r>
        <w:rPr>
          <w:rFonts w:ascii="Times New Roman" w:cs="Times New Roman" w:eastAsia="Times New Roman" w:hAnsi="Times New Roman"/>
          <w:sz w:val="18"/>
          <w:szCs w:val="18"/>
          <w:color w:val="auto"/>
        </w:rPr>
        <w:t>in the Condensed Consolidated Balance Sheets consists of the following:</w:t>
      </w:r>
    </w:p>
    <w:p>
      <w:pPr>
        <w:spacing w:after="0" w:line="191" w:lineRule="exact"/>
        <w:rPr>
          <w:sz w:val="20"/>
          <w:szCs w:val="20"/>
          <w:color w:val="auto"/>
        </w:rPr>
      </w:pPr>
    </w:p>
    <w:tbl>
      <w:tblPr>
        <w:tblLayout w:type="fixed"/>
        <w:tblInd w:w="90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May 28, 2022</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vMerge w:val="restart"/>
          </w:tcPr>
          <w:p>
            <w:pPr>
              <w:jc w:val="center"/>
              <w:ind w:right="139"/>
              <w:spacing w:after="0"/>
              <w:rPr>
                <w:sz w:val="20"/>
                <w:szCs w:val="20"/>
                <w:color w:val="auto"/>
              </w:rPr>
            </w:pPr>
            <w:r>
              <w:rPr>
                <w:rFonts w:ascii="Times New Roman" w:cs="Times New Roman" w:eastAsia="Times New Roman" w:hAnsi="Times New Roman"/>
                <w:sz w:val="16"/>
                <w:szCs w:val="16"/>
                <w:color w:val="auto"/>
              </w:rPr>
              <w:t>Useful life</w:t>
            </w:r>
          </w:p>
        </w:tc>
        <w:tc>
          <w:tcPr>
            <w:tcW w:w="14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Gross carrying</w:t>
            </w:r>
          </w:p>
        </w:tc>
        <w:tc>
          <w:tcPr>
            <w:tcW w:w="140" w:type="dxa"/>
            <w:vAlign w:val="bottom"/>
          </w:tcPr>
          <w:p>
            <w:pPr>
              <w:spacing w:after="0"/>
              <w:rPr>
                <w:sz w:val="17"/>
                <w:szCs w:val="17"/>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Accumulated</w:t>
            </w:r>
          </w:p>
        </w:tc>
        <w:tc>
          <w:tcPr>
            <w:tcW w:w="200" w:type="dxa"/>
            <w:vAlign w:val="bottom"/>
          </w:tcPr>
          <w:p>
            <w:pPr>
              <w:spacing w:after="0"/>
              <w:rPr>
                <w:sz w:val="17"/>
                <w:szCs w:val="17"/>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Net carrying</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amount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amortization</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w w:val="99"/>
              </w:rPr>
              <w:t>amount</w:t>
            </w:r>
          </w:p>
        </w:tc>
        <w:tc>
          <w:tcPr>
            <w:tcW w:w="0" w:type="dxa"/>
            <w:vAlign w:val="bottom"/>
          </w:tcPr>
          <w:p>
            <w:pPr>
              <w:spacing w:after="0"/>
              <w:rPr>
                <w:sz w:val="1"/>
                <w:szCs w:val="1"/>
                <w:color w:val="auto"/>
              </w:rPr>
            </w:pPr>
          </w:p>
        </w:tc>
      </w:tr>
      <w:tr>
        <w:trPr>
          <w:trHeight w:val="25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indefinite life:</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Brands and trademarks</w:t>
            </w:r>
          </w:p>
        </w:tc>
        <w:tc>
          <w:tcPr>
            <w:tcW w:w="126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Indefinite life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974,000</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974,000</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finite lives:</w:t>
            </w: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15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174,000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38,803</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135,197</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Licensing agreements</w:t>
            </w:r>
          </w:p>
        </w:tc>
        <w:tc>
          <w:tcPr>
            <w:tcW w:w="20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color w:val="auto"/>
              </w:rPr>
              <w:t>13 years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22,000</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8,102</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13,898</w:t>
            </w:r>
          </w:p>
        </w:tc>
        <w:tc>
          <w:tcPr>
            <w:tcW w:w="0" w:type="dxa"/>
            <w:vAlign w:val="bottom"/>
          </w:tcPr>
          <w:p>
            <w:pPr>
              <w:spacing w:after="0"/>
              <w:rPr>
                <w:sz w:val="1"/>
                <w:szCs w:val="1"/>
                <w:color w:val="auto"/>
              </w:rPr>
            </w:pPr>
          </w:p>
        </w:tc>
      </w:tr>
      <w:tr>
        <w:trPr>
          <w:trHeight w:val="267"/>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Proprietary recipes and formulas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7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4,881</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0" w:type="dxa"/>
            <w:vAlign w:val="bottom"/>
          </w:tcPr>
          <w:p>
            <w:pPr>
              <w:spacing w:after="0"/>
              <w:rPr>
                <w:sz w:val="1"/>
                <w:szCs w:val="1"/>
                <w:color w:val="auto"/>
              </w:rPr>
            </w:pPr>
          </w:p>
        </w:tc>
      </w:tr>
      <w:tr>
        <w:trPr>
          <w:trHeight w:val="27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Software and website development costs</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5 years</w:t>
            </w: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5,863</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3,941</w:t>
            </w:r>
          </w:p>
        </w:tc>
        <w:tc>
          <w:tcPr>
            <w:tcW w:w="1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w:t>
            </w:r>
          </w:p>
        </w:tc>
        <w:tc>
          <w:tcPr>
            <w:tcW w:w="0" w:type="dxa"/>
            <w:vAlign w:val="bottom"/>
          </w:tcPr>
          <w:p>
            <w:pPr>
              <w:spacing w:after="0"/>
              <w:rPr>
                <w:sz w:val="1"/>
                <w:szCs w:val="1"/>
                <w:color w:val="auto"/>
              </w:rPr>
            </w:pPr>
          </w:p>
        </w:tc>
      </w:tr>
      <w:tr>
        <w:trPr>
          <w:trHeight w:val="223"/>
        </w:trPr>
        <w:tc>
          <w:tcPr>
            <w:tcW w:w="3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1,182,863</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55,727</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1,127,136</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3"/>
        </w:trPr>
        <w:tc>
          <w:tcPr>
            <w:tcW w:w="3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August 28, 2021</w:t>
            </w: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restart"/>
          </w:tcPr>
          <w:p>
            <w:pPr>
              <w:jc w:val="center"/>
              <w:ind w:right="139"/>
              <w:spacing w:after="0"/>
              <w:rPr>
                <w:sz w:val="20"/>
                <w:szCs w:val="20"/>
                <w:color w:val="auto"/>
              </w:rPr>
            </w:pPr>
            <w:r>
              <w:rPr>
                <w:rFonts w:ascii="Times New Roman" w:cs="Times New Roman" w:eastAsia="Times New Roman" w:hAnsi="Times New Roman"/>
                <w:sz w:val="16"/>
                <w:szCs w:val="16"/>
                <w:color w:val="auto"/>
              </w:rPr>
              <w:t>Useful life</w:t>
            </w:r>
          </w:p>
        </w:tc>
        <w:tc>
          <w:tcPr>
            <w:tcW w:w="14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Gross carrying</w:t>
            </w:r>
          </w:p>
        </w:tc>
        <w:tc>
          <w:tcPr>
            <w:tcW w:w="140" w:type="dxa"/>
            <w:vAlign w:val="bottom"/>
          </w:tcPr>
          <w:p>
            <w:pPr>
              <w:spacing w:after="0"/>
              <w:rPr>
                <w:sz w:val="16"/>
                <w:szCs w:val="16"/>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Accumulated</w:t>
            </w:r>
          </w:p>
        </w:tc>
        <w:tc>
          <w:tcPr>
            <w:tcW w:w="200" w:type="dxa"/>
            <w:vAlign w:val="bottom"/>
          </w:tcPr>
          <w:p>
            <w:pPr>
              <w:spacing w:after="0"/>
              <w:rPr>
                <w:sz w:val="16"/>
                <w:szCs w:val="16"/>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Net carrying</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amount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amortization</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w w:val="99"/>
              </w:rPr>
              <w:t>amount</w:t>
            </w:r>
          </w:p>
        </w:tc>
        <w:tc>
          <w:tcPr>
            <w:tcW w:w="0" w:type="dxa"/>
            <w:vAlign w:val="bottom"/>
          </w:tcPr>
          <w:p>
            <w:pPr>
              <w:spacing w:after="0"/>
              <w:rPr>
                <w:sz w:val="1"/>
                <w:szCs w:val="1"/>
                <w:color w:val="auto"/>
              </w:rPr>
            </w:pPr>
          </w:p>
        </w:tc>
      </w:tr>
      <w:tr>
        <w:trPr>
          <w:trHeight w:val="25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indefinite life:</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Brands and trademarks</w:t>
            </w:r>
          </w:p>
        </w:tc>
        <w:tc>
          <w:tcPr>
            <w:tcW w:w="126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Indefinite life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974,000</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974,000</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finite lives:</w:t>
            </w: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Customer relationships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15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174,000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30,103</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143,897</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Licensing agreements</w:t>
            </w:r>
          </w:p>
        </w:tc>
        <w:tc>
          <w:tcPr>
            <w:tcW w:w="20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color w:val="auto"/>
              </w:rPr>
              <w:t>13 years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22,000</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6,664</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15,336</w:t>
            </w: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Proprietary recipes and formulas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7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4,131</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2,869</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Software and website development costs</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5 years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5,560</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2,924</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2,636</w:t>
            </w: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Intangible assets in progress</w:t>
            </w:r>
          </w:p>
        </w:tc>
        <w:tc>
          <w:tcPr>
            <w:tcW w:w="20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74"/>
              </w:rPr>
              <w:t>3</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0" w:type="dxa"/>
            <w:vAlign w:val="bottom"/>
          </w:tcPr>
          <w:p>
            <w:pPr>
              <w:spacing w:after="0"/>
              <w:rPr>
                <w:sz w:val="1"/>
                <w:szCs w:val="1"/>
                <w:color w:val="auto"/>
              </w:rPr>
            </w:pPr>
          </w:p>
        </w:tc>
      </w:tr>
      <w:tr>
        <w:trPr>
          <w:trHeight w:val="248"/>
        </w:trPr>
        <w:tc>
          <w:tcPr>
            <w:tcW w:w="34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1,182,863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43,822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1,139,041</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ind w:firstLine="333"/>
        <w:spacing w:after="0" w:line="261" w:lineRule="auto"/>
        <w:rPr>
          <w:sz w:val="20"/>
          <w:szCs w:val="20"/>
          <w:color w:val="auto"/>
        </w:rPr>
      </w:pPr>
      <w:r>
        <w:rPr>
          <w:rFonts w:ascii="Times New Roman" w:cs="Times New Roman" w:eastAsia="Times New Roman" w:hAnsi="Times New Roman"/>
          <w:sz w:val="18"/>
          <w:szCs w:val="18"/>
          <w:color w:val="auto"/>
        </w:rPr>
        <w:t xml:space="preserve">Changes in </w:t>
      </w:r>
      <w:r>
        <w:rPr>
          <w:rFonts w:ascii="Times New Roman" w:cs="Times New Roman" w:eastAsia="Times New Roman" w:hAnsi="Times New Roman"/>
          <w:sz w:val="18"/>
          <w:szCs w:val="18"/>
          <w:i w:val="1"/>
          <w:iCs w:val="1"/>
          <w:color w:val="auto"/>
        </w:rPr>
        <w:t>Intangible assets, net</w:t>
      </w:r>
      <w:r>
        <w:rPr>
          <w:rFonts w:ascii="Times New Roman" w:cs="Times New Roman" w:eastAsia="Times New Roman" w:hAnsi="Times New Roman"/>
          <w:sz w:val="18"/>
          <w:szCs w:val="18"/>
          <w:color w:val="auto"/>
        </w:rPr>
        <w:t xml:space="preserve"> during the thirty-nine weeks ended May 28, 2022 were primarily related to recurring amortization expense. Amortization expense related to intangible assets was $4.0 million and $3.8 million for the thirteen weeks ended May 28, 2022 and May 29, 2021, respectively, and $11.9 million and $11.6 million for the thirty-nine weeks ended May 28, 2022 and May 29, 2021, respectively. There were no impairment charges related to intangible assets during the thirteen and thirty-nine weeks ended May 28, 2022 and May 29, 2021.</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Estimated future amortization for each of the next five fiscal years and thereafter is as follows:</w:t>
      </w:r>
    </w:p>
    <w:p>
      <w:pPr>
        <w:spacing w:after="0" w:line="336" w:lineRule="exact"/>
        <w:rPr>
          <w:sz w:val="20"/>
          <w:szCs w:val="20"/>
          <w:color w:val="auto"/>
        </w:rPr>
      </w:pPr>
    </w:p>
    <w:tbl>
      <w:tblPr>
        <w:tblLayout w:type="fixed"/>
        <w:tblInd w:w="2940" w:type="dxa"/>
        <w:tblCellMar>
          <w:top w:w="0" w:type="dxa"/>
          <w:left w:w="0" w:type="dxa"/>
          <w:bottom w:w="0" w:type="dxa"/>
          <w:right w:w="0" w:type="dxa"/>
        </w:tblCellMar>
      </w:tblPr>
      <w:tr>
        <w:trPr>
          <w:trHeight w:val="215"/>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Amortization</w:t>
            </w:r>
          </w:p>
        </w:tc>
      </w:tr>
      <w:tr>
        <w:trPr>
          <w:trHeight w:val="253"/>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Remainder of 2022</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3,935</w:t>
            </w:r>
          </w:p>
        </w:tc>
      </w:tr>
      <w:tr>
        <w:trPr>
          <w:trHeight w:val="267"/>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2023</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15,602</w:t>
            </w:r>
          </w:p>
        </w:tc>
      </w:tr>
      <w:tr>
        <w:trPr>
          <w:trHeight w:val="27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14,917</w:t>
            </w:r>
          </w:p>
        </w:tc>
      </w:tr>
      <w:tr>
        <w:trPr>
          <w:trHeight w:val="267"/>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13,517</w:t>
            </w:r>
          </w:p>
        </w:tc>
      </w:tr>
      <w:tr>
        <w:trPr>
          <w:trHeight w:val="27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13,517</w:t>
            </w:r>
          </w:p>
        </w:tc>
      </w:tr>
      <w:tr>
        <w:trPr>
          <w:trHeight w:val="267"/>
        </w:trPr>
        <w:tc>
          <w:tcPr>
            <w:tcW w:w="3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2027 and thereafter</w:t>
            </w: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91,648</w:t>
            </w:r>
          </w:p>
        </w:tc>
      </w:tr>
      <w:tr>
        <w:trPr>
          <w:trHeight w:val="251"/>
        </w:trPr>
        <w:tc>
          <w:tcPr>
            <w:tcW w:w="3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153,136</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5. Long-Term Debt and Line of Credit</w:t>
      </w:r>
    </w:p>
    <w:p>
      <w:pPr>
        <w:spacing w:after="0" w:line="256"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On July 7, 2017, the Company entered into a credit agreement with Barclays Bank PLC and other parties (as amended to date, the “Credit Agreement”). The Credit Agreement at that time provided for (i) a term facility of $200.0 million (“Term Facility”) with a seven-year maturity and (ii) a revolving credit facility of up to $75.0 million (the “Revolving Credit Facility”) with a five-year maturity. Substantially concurrent with the consummation of the business combination between Conyers Park Acquisition Corp. and NCP-ATK Holdings, Inc. on July 7, 2017, the full $200.0 million of the Term Facility (the “Term Loan”) was drawn.</w:t>
      </w:r>
    </w:p>
    <w:p>
      <w:pPr>
        <w:spacing w:after="0" w:line="210" w:lineRule="exact"/>
        <w:rPr>
          <w:sz w:val="20"/>
          <w:szCs w:val="20"/>
          <w:color w:val="auto"/>
        </w:rPr>
      </w:pPr>
    </w:p>
    <w:p>
      <w:pPr>
        <w:jc w:val="both"/>
        <w:ind w:firstLine="193"/>
        <w:spacing w:after="0" w:line="261" w:lineRule="auto"/>
        <w:rPr>
          <w:sz w:val="20"/>
          <w:szCs w:val="20"/>
          <w:color w:val="auto"/>
        </w:rPr>
      </w:pPr>
      <w:r>
        <w:rPr>
          <w:rFonts w:ascii="Times New Roman" w:cs="Times New Roman" w:eastAsia="Times New Roman" w:hAnsi="Times New Roman"/>
          <w:sz w:val="18"/>
          <w:szCs w:val="18"/>
          <w:color w:val="auto"/>
        </w:rPr>
        <w:t>On November 7, 2019, the Company entered into a second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The Incremental Facility Amendment was executed to partially finance the acquisition of Quest Nutrition, LLC on November 7, 2019. No amounts under the Term Facility were repaid as a result of the execution of the Incremental Facility Amendment.</w:t>
      </w:r>
    </w:p>
    <w:p>
      <w:pPr>
        <w:spacing w:after="0" w:line="207" w:lineRule="exact"/>
        <w:rPr>
          <w:sz w:val="20"/>
          <w:szCs w:val="20"/>
          <w:color w:val="auto"/>
        </w:rPr>
      </w:pPr>
    </w:p>
    <w:p>
      <w:pPr>
        <w:jc w:val="both"/>
        <w:ind w:firstLine="184"/>
        <w:spacing w:after="0" w:line="266" w:lineRule="auto"/>
        <w:rPr>
          <w:sz w:val="20"/>
          <w:szCs w:val="20"/>
          <w:color w:val="auto"/>
        </w:rPr>
      </w:pPr>
      <w:r>
        <w:rPr>
          <w:rFonts w:ascii="Times New Roman" w:cs="Times New Roman" w:eastAsia="Times New Roman" w:hAnsi="Times New Roman"/>
          <w:sz w:val="18"/>
          <w:szCs w:val="18"/>
          <w:color w:val="auto"/>
        </w:rPr>
        <w:t>Effective as of December 16, 2021, the Company entered into a third amendment (the “Extension Amendment”) to the Credit Agreement. The Extension Amendment provided for an extension of the stated maturity date of the Revolving Commitments and Revolving Loans (each as defined in the Credit Agreement) from July 7, 2022 to the earlier of (i) 91 days prior to the maturity date of the Initial Term Loans on July 7, 2024 and (ii) December 16, 2026.</w:t>
      </w:r>
    </w:p>
    <w:p>
      <w:pPr>
        <w:spacing w:after="0" w:line="203" w:lineRule="exact"/>
        <w:rPr>
          <w:sz w:val="20"/>
          <w:szCs w:val="20"/>
          <w:color w:val="auto"/>
        </w:rPr>
      </w:pPr>
    </w:p>
    <w:p>
      <w:pPr>
        <w:jc w:val="both"/>
        <w:ind w:firstLine="295"/>
        <w:spacing w:after="0" w:line="256" w:lineRule="auto"/>
        <w:rPr>
          <w:sz w:val="20"/>
          <w:szCs w:val="20"/>
          <w:color w:val="auto"/>
        </w:rPr>
      </w:pPr>
      <w:r>
        <w:rPr>
          <w:rFonts w:ascii="Times New Roman" w:cs="Times New Roman" w:eastAsia="Times New Roman" w:hAnsi="Times New Roman"/>
          <w:sz w:val="18"/>
          <w:szCs w:val="18"/>
          <w:color w:val="auto"/>
        </w:rPr>
        <w:t>On January 21, 2022, the Company entered into a repricing amendment (the “2022 Repricing Amendment”) to the Credit Agreement. The 2022 Repricing Amendment, among other things, (i) reduced the interest rate per annum applicable to the Initial Term Loans outstanding under the Credit Agreement immediately prior to the effective date of the 2022 Repricing Amendment, (ii) reset the prepayment premium for the existing Initial Term Loans to apply to Repricing Transactions (as defined in the Credit Agreement) that occur within six months after the effective date of the 2022 Repricing Amendment, and (iii) implemented the Secured Overnight Financing Rate (“SOFR”) and related replacement provisions for the London Interbank Offered Rate (“LIBOR”).</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Effective as of the 2022 Repricing Amendment dated January 21, 2022, the interest rate per annum is based on either:</w:t>
      </w:r>
    </w:p>
    <w:p>
      <w:pPr>
        <w:spacing w:after="0" w:line="104" w:lineRule="exact"/>
        <w:rPr>
          <w:sz w:val="20"/>
          <w:szCs w:val="20"/>
          <w:color w:val="auto"/>
        </w:rPr>
      </w:pPr>
    </w:p>
    <w:p>
      <w:pPr>
        <w:jc w:val="both"/>
        <w:ind w:left="660" w:hanging="328"/>
        <w:spacing w:after="0" w:line="266" w:lineRule="auto"/>
        <w:tabs>
          <w:tab w:leader="none" w:pos="64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equaling the higher of (a) the “prime rate,” (b) the federal funds effective rate plus 0.50%, or (c) the Adjusted Term SOFR Rate (as defined in the Credit Agreement) applicable for an interest period of one month plus 1.00% plus (x) 2.25% margin for the Term Loan or (y) 2.00% margin for the Revolving Credit Facility; or</w:t>
      </w:r>
    </w:p>
    <w:p>
      <w:pPr>
        <w:spacing w:after="0" w:line="4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plus a credit spread adjustment equal to 0.10% for one-month SOFR, 0.15% for up to three-month SOFR and 0.25% for up to six-month SOFR, subject to a floor of 0.50%, plus (x) 3.25% margin for the Term Loan or (y) 3.00% margin for the Revolving Credit Facility.</w:t>
      </w:r>
    </w:p>
    <w:p>
      <w:pPr>
        <w:spacing w:after="0" w:line="189" w:lineRule="exact"/>
        <w:rPr>
          <w:sz w:val="20"/>
          <w:szCs w:val="20"/>
          <w:color w:val="auto"/>
        </w:rPr>
      </w:pPr>
    </w:p>
    <w:p>
      <w:pPr>
        <w:jc w:val="both"/>
        <w:ind w:firstLine="233"/>
        <w:spacing w:after="0" w:line="256" w:lineRule="auto"/>
        <w:rPr>
          <w:sz w:val="20"/>
          <w:szCs w:val="20"/>
          <w:color w:val="auto"/>
        </w:rPr>
      </w:pPr>
      <w:r>
        <w:rPr>
          <w:rFonts w:ascii="Times New Roman" w:cs="Times New Roman" w:eastAsia="Times New Roman" w:hAnsi="Times New Roman"/>
          <w:sz w:val="18"/>
          <w:szCs w:val="18"/>
          <w:color w:val="auto"/>
        </w:rPr>
        <w:t>The Simply Good Foods Company is not a borrower under the Credit Agreement and has not provided a guarantee of the Credit Agreement. Simply Good Foods USA, Inc., is the administrative borrower and certain other subsidiary holding companies are co-borrowers under the Credit Agreement. Each of the Company’s domestic subsidiaries that is not a named borrower under the Credit Agreement has provided a guarantee on a secured basis. As security for the payment or performance of the debt under the Credit Agreement, the borrowers and the guarantors have pledged certain equity interests in their respective subsidiaries and granted the lenders a security interest in substantially all of their domestic assets. All guarantors other than Quest Nutrition, LLC are holding companies with no assets other than their investments in their respective subsidiaries.</w:t>
      </w:r>
    </w:p>
    <w:p>
      <w:pPr>
        <w:spacing w:after="0" w:line="214"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8"/>
          <w:szCs w:val="18"/>
          <w:color w:val="auto"/>
        </w:rPr>
        <w:t>The Credit Agreement contains certain financial and other covenants that limit the Company’s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6.00:1.00 contingent on credit extensions in excess of 30% of the total amount of commitments available under the Revolving Credit Facility. Any failure to comply with the restrictions of the credit facilities may result in an event of default. The Company was in compliance with all financial covenants as of May 28, 2022 and August 28, 2021, respectively.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147" w:lineRule="exact"/>
        <w:rPr>
          <w:sz w:val="20"/>
          <w:szCs w:val="20"/>
          <w:color w:val="auto"/>
        </w:rPr>
      </w:pPr>
    </w:p>
    <w:tbl>
      <w:tblPr>
        <w:tblLayout w:type="fixed"/>
        <w:tblInd w:w="2180" w:type="dxa"/>
        <w:tblCellMar>
          <w:top w:w="0" w:type="dxa"/>
          <w:left w:w="0" w:type="dxa"/>
          <w:bottom w:w="0" w:type="dxa"/>
          <w:right w:w="0" w:type="dxa"/>
        </w:tblCellMar>
      </w:tblPr>
      <w:tr>
        <w:trPr>
          <w:trHeight w:val="215"/>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May 28, 2022</w:t>
            </w:r>
          </w:p>
        </w:tc>
        <w:tc>
          <w:tcPr>
            <w:tcW w:w="16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August 28, 2021</w:t>
            </w:r>
          </w:p>
        </w:tc>
        <w:tc>
          <w:tcPr>
            <w:tcW w:w="0" w:type="dxa"/>
            <w:vAlign w:val="bottom"/>
          </w:tcPr>
          <w:p>
            <w:pPr>
              <w:spacing w:after="0"/>
              <w:rPr>
                <w:sz w:val="1"/>
                <w:szCs w:val="1"/>
                <w:color w:val="auto"/>
              </w:rPr>
            </w:pPr>
          </w:p>
        </w:tc>
      </w:tr>
      <w:tr>
        <w:trPr>
          <w:trHeight w:val="158"/>
        </w:trPr>
        <w:tc>
          <w:tcPr>
            <w:tcW w:w="3640" w:type="dxa"/>
            <w:vAlign w:val="bottom"/>
            <w:tcBorders>
              <w:top w:val="single" w:sz="8" w:color="auto"/>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Term Facility (effective rate of 4.7% at May 28,</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406,500</w:t>
            </w: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456,500</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7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Finance lease liabilities (effective rate of 5.6% at</w:t>
            </w:r>
          </w:p>
        </w:tc>
        <w:tc>
          <w:tcPr>
            <w:tcW w:w="2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0" w:type="dxa"/>
            <w:vAlign w:val="bottom"/>
          </w:tcPr>
          <w:p>
            <w:pPr>
              <w:spacing w:after="0"/>
              <w:rPr>
                <w:sz w:val="1"/>
                <w:szCs w:val="1"/>
                <w:color w:val="auto"/>
              </w:rPr>
            </w:pPr>
          </w:p>
        </w:tc>
      </w:tr>
      <w:tr>
        <w:trPr>
          <w:trHeight w:val="213"/>
        </w:trPr>
        <w:tc>
          <w:tcPr>
            <w:tcW w:w="37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May 28, 2022)</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Deferred financing fees</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4,107</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5,636</w:t>
            </w:r>
          </w:p>
        </w:tc>
        <w:tc>
          <w:tcPr>
            <w:tcW w:w="0" w:type="dxa"/>
            <w:vAlign w:val="bottom"/>
          </w:tcPr>
          <w:p>
            <w:pPr>
              <w:spacing w:after="0"/>
              <w:rPr>
                <w:sz w:val="1"/>
                <w:szCs w:val="1"/>
                <w:color w:val="auto"/>
              </w:rPr>
            </w:pPr>
          </w:p>
        </w:tc>
      </w:tr>
      <w:tr>
        <w:trPr>
          <w:trHeight w:val="207"/>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debt</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402,872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451,554</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finance lease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12"/>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 net of deferred financing fees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402,594</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451,269</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213"/>
        <w:spacing w:after="0" w:line="282" w:lineRule="auto"/>
        <w:rPr>
          <w:sz w:val="20"/>
          <w:szCs w:val="20"/>
          <w:color w:val="auto"/>
        </w:rPr>
      </w:pPr>
      <w:r>
        <w:rPr>
          <w:rFonts w:ascii="Times New Roman" w:cs="Times New Roman" w:eastAsia="Times New Roman" w:hAnsi="Times New Roman"/>
          <w:sz w:val="18"/>
          <w:szCs w:val="18"/>
          <w:color w:val="auto"/>
        </w:rPr>
        <w:t>The Company is not required to make principal payments on the Term Facility over the twelve months following the period ended May 28, 2022. The outstanding balance of the Term Facility is due upon its maturity in July 2024.</w:t>
      </w:r>
    </w:p>
    <w:p>
      <w:pPr>
        <w:spacing w:after="0" w:line="175" w:lineRule="exact"/>
        <w:rPr>
          <w:sz w:val="20"/>
          <w:szCs w:val="20"/>
          <w:color w:val="auto"/>
        </w:rPr>
      </w:pPr>
    </w:p>
    <w:p>
      <w:pPr>
        <w:jc w:val="both"/>
        <w:ind w:firstLine="188"/>
        <w:spacing w:after="0" w:line="250" w:lineRule="auto"/>
        <w:rPr>
          <w:sz w:val="20"/>
          <w:szCs w:val="20"/>
          <w:color w:val="auto"/>
        </w:rPr>
      </w:pPr>
      <w:r>
        <w:rPr>
          <w:rFonts w:ascii="Times New Roman" w:cs="Times New Roman" w:eastAsia="Times New Roman" w:hAnsi="Times New Roman"/>
          <w:sz w:val="18"/>
          <w:szCs w:val="18"/>
          <w:color w:val="auto"/>
        </w:rPr>
        <w:t>As of May 28, 2022, the Company had letters of credit in the amount of $3.5 million outstanding. These letters of credit offset against the $75.0 million availability of the Revolving Credit Facility and exist to support three of the Company’s leased buildings and insurance programs relating to workers’ compensation. No amounts were drawn against these letters of credit at May 28, 2022.</w:t>
      </w:r>
    </w:p>
    <w:p>
      <w:pPr>
        <w:spacing w:after="0" w:line="217" w:lineRule="exact"/>
        <w:rPr>
          <w:sz w:val="20"/>
          <w:szCs w:val="20"/>
          <w:color w:val="auto"/>
        </w:rPr>
      </w:pPr>
    </w:p>
    <w:p>
      <w:pPr>
        <w:jc w:val="both"/>
        <w:ind w:firstLine="268"/>
        <w:spacing w:after="0" w:line="261" w:lineRule="auto"/>
        <w:rPr>
          <w:sz w:val="20"/>
          <w:szCs w:val="20"/>
          <w:color w:val="auto"/>
        </w:rPr>
      </w:pPr>
      <w:r>
        <w:rPr>
          <w:rFonts w:ascii="Times New Roman" w:cs="Times New Roman" w:eastAsia="Times New Roman" w:hAnsi="Times New Roman"/>
          <w:sz w:val="18"/>
          <w:szCs w:val="18"/>
          <w:color w:val="auto"/>
        </w:rPr>
        <w:t>The Company utilizes market approaches to estimate the fair value of certain outstanding borrowings by discounting anticipated future cash flows derived from the contractual terms of the obligations and observable market interest and foreign exchange rates. The Company carries debt at historical cost and discloses fair value. As of May 28, 2022 and August 28, 2021, the book value of the Company’s debt approximated fair value. The estimated fair value of the Term Loan is valued based on observable inputs and classified as Level 2 in the fair value hierarchy.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of Financial Instruments</w:t>
      </w:r>
    </w:p>
    <w:p>
      <w:pPr>
        <w:spacing w:after="0" w:line="256" w:lineRule="exact"/>
        <w:rPr>
          <w:sz w:val="20"/>
          <w:szCs w:val="20"/>
          <w:color w:val="auto"/>
        </w:rPr>
      </w:pPr>
    </w:p>
    <w:p>
      <w:pPr>
        <w:jc w:val="both"/>
        <w:ind w:firstLine="182"/>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measurements, a three-tier fair value hierarchy, which prioritizes the inputs used in the valuation methodologies, is used: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Valuations based on quoted prices for identical assets and liabilities in active markets.</w:t>
      </w:r>
    </w:p>
    <w:p>
      <w:pPr>
        <w:spacing w:after="0" w:line="25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2 – Valuations based on observable inputs other than quoted prices included in Level 1, such as quoted prices for similar assets or liabilities in active markets, quoted prices for identical or similar assets and liabilities in markets that are not active, or other inputs that are observable or can be corroborated by observable market data.</w:t>
      </w:r>
    </w:p>
    <w:p>
      <w:pPr>
        <w:spacing w:after="0" w:line="20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Level 3 – Valuations based on unobservable inputs reflecting the Company’s own assumptions, consistent with reasonably available assumptions made by other market participants. These valuations require significant judgment.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Level 3 Measurements</w:t>
      </w:r>
    </w:p>
    <w:p>
      <w:pPr>
        <w:spacing w:after="0" w:line="243" w:lineRule="exact"/>
        <w:rPr>
          <w:sz w:val="20"/>
          <w:szCs w:val="20"/>
          <w:color w:val="auto"/>
        </w:rPr>
      </w:pPr>
    </w:p>
    <w:p>
      <w:pPr>
        <w:jc w:val="both"/>
        <w:ind w:firstLine="253"/>
        <w:spacing w:after="0" w:line="258" w:lineRule="auto"/>
        <w:rPr>
          <w:sz w:val="20"/>
          <w:szCs w:val="20"/>
          <w:color w:val="auto"/>
        </w:rPr>
      </w:pPr>
      <w:r>
        <w:rPr>
          <w:rFonts w:ascii="Times New Roman" w:cs="Times New Roman" w:eastAsia="Times New Roman" w:hAnsi="Times New Roman"/>
          <w:sz w:val="18"/>
          <w:szCs w:val="18"/>
          <w:color w:val="auto"/>
        </w:rPr>
        <w:t>As of August 28, 2021, the Company had outstanding liability-classified Private Warrants that allowed holders to purchase 6,700,000 shares of the Company’s common stock. Such Private Warrants were held by Conyers Park Sponsor, LLC (“Conyers Park”), a related party. On January 7, 2022, Conyers Park elected to exercise the Private Warrants on a cashless basis, resulting in a net issuance of 4,830,761 shares of the Company’s common stock. As a result of Conyers Park’s election to exercise the Private Warrants, there were no outstanding liability-classified Private Warrants as of May 28, 2022. Refer to Note 10, Stockholders’ Equity, for additional details regarding the cashless exercise of the Private Warrants.</w:t>
      </w:r>
    </w:p>
    <w:p>
      <w:pPr>
        <w:spacing w:after="0" w:line="210" w:lineRule="exact"/>
        <w:rPr>
          <w:sz w:val="20"/>
          <w:szCs w:val="20"/>
          <w:color w:val="auto"/>
        </w:rPr>
      </w:pPr>
    </w:p>
    <w:p>
      <w:pPr>
        <w:jc w:val="both"/>
        <w:ind w:firstLine="217"/>
        <w:spacing w:after="0" w:line="255" w:lineRule="auto"/>
        <w:rPr>
          <w:sz w:val="20"/>
          <w:szCs w:val="20"/>
          <w:color w:val="auto"/>
        </w:rPr>
      </w:pPr>
      <w:r>
        <w:rPr>
          <w:rFonts w:ascii="Times New Roman" w:cs="Times New Roman" w:eastAsia="Times New Roman" w:hAnsi="Times New Roman"/>
          <w:sz w:val="18"/>
          <w:szCs w:val="18"/>
          <w:color w:val="auto"/>
        </w:rPr>
        <w:t>The Company utilized the Black-Scholes model to estimate the fair value of the Private Warrants at each reporting date. The application of the Black-Scholes model utilizes significant assumptions, including volatility. Significant judgment is required in determining the expected volatility, historically the key assumption, of the Private Warrants. In order to determine the most accurate measure of this volatility, the Company measured expected volatility based on several inputs, including considering a peer group of publicly traded companies, the Company’s implied volatility based on traded options, the implied volatility of comparable warrants, and the implied volatility of any outstanding public warrants during the periods they were outstanding. As a result of the unobservable inputs that were used to determine the expected volatility of the Private Warrants, the fair value measurement of these warrants reflects a Level 3 measurement within the fair value measurement hierarchy.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ind w:firstLine="191"/>
        <w:spacing w:after="0" w:line="266" w:lineRule="auto"/>
        <w:rPr>
          <w:sz w:val="20"/>
          <w:szCs w:val="20"/>
          <w:color w:val="auto"/>
        </w:rPr>
      </w:pPr>
      <w:r>
        <w:rPr>
          <w:rFonts w:ascii="Times New Roman" w:cs="Times New Roman" w:eastAsia="Times New Roman" w:hAnsi="Times New Roman"/>
          <w:sz w:val="18"/>
          <w:szCs w:val="18"/>
          <w:color w:val="auto"/>
        </w:rPr>
        <w:t>There were no Private Warrants outstanding as of May 28, 2022. As of August 28, 2021, the Company had 6,700,000 Private Warrants outstanding with a fair value price per Private Warrant of $23.86, resulting in a $159.8 million total warrant liability. The table below summarizes the inputs used to calculate the fair value of the warrant liability at August 28,2021:</w:t>
      </w:r>
    </w:p>
    <w:p>
      <w:pPr>
        <w:spacing w:after="0" w:line="288" w:lineRule="exact"/>
        <w:rPr>
          <w:sz w:val="20"/>
          <w:szCs w:val="20"/>
          <w:color w:val="auto"/>
        </w:rPr>
      </w:pPr>
    </w:p>
    <w:tbl>
      <w:tblPr>
        <w:tblLayout w:type="fixed"/>
        <w:tblInd w:w="2900" w:type="dxa"/>
        <w:tblCellMar>
          <w:top w:w="0" w:type="dxa"/>
          <w:left w:w="0" w:type="dxa"/>
          <w:bottom w:w="0" w:type="dxa"/>
          <w:right w:w="0" w:type="dxa"/>
        </w:tblCellMar>
      </w:tblPr>
      <w:tr>
        <w:trPr>
          <w:trHeight w:val="213"/>
        </w:trPr>
        <w:tc>
          <w:tcPr>
            <w:tcW w:w="37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August 28, 2021</w:t>
            </w:r>
          </w:p>
        </w:tc>
      </w:tr>
      <w:tr>
        <w:trPr>
          <w:trHeight w:val="25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price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11.50</w:t>
            </w:r>
          </w:p>
        </w:tc>
      </w:tr>
      <w:tr>
        <w:trPr>
          <w:trHeight w:val="267"/>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price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35.35</w:t>
            </w:r>
          </w:p>
        </w:tc>
      </w:tr>
      <w:tr>
        <w:trPr>
          <w:trHeight w:val="27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yield</w:t>
            </w: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67"/>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term (in years)</w:t>
            </w:r>
          </w:p>
        </w:tc>
        <w:tc>
          <w:tcPr>
            <w:tcW w:w="200" w:type="dxa"/>
            <w:vAlign w:val="bottom"/>
          </w:tcPr>
          <w:p>
            <w:pPr>
              <w:spacing w:after="0"/>
              <w:rPr>
                <w:sz w:val="23"/>
                <w:szCs w:val="23"/>
                <w:color w:val="auto"/>
              </w:rPr>
            </w:pP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0.86</w:t>
            </w:r>
          </w:p>
        </w:tc>
      </w:tr>
      <w:tr>
        <w:trPr>
          <w:trHeight w:val="27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0.06 %</w:t>
            </w:r>
          </w:p>
        </w:tc>
      </w:tr>
      <w:tr>
        <w:trPr>
          <w:trHeight w:val="267"/>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21.70 %</w:t>
            </w:r>
          </w:p>
        </w:tc>
      </w:tr>
      <w:tr>
        <w:trPr>
          <w:trHeight w:val="27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 share value of warrants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23.86</w:t>
            </w:r>
          </w:p>
        </w:tc>
      </w:tr>
    </w:tbl>
    <w:p>
      <w:pPr>
        <w:spacing w:after="0" w:line="317" w:lineRule="exact"/>
        <w:rPr>
          <w:sz w:val="20"/>
          <w:szCs w:val="20"/>
          <w:color w:val="auto"/>
        </w:rPr>
      </w:pPr>
    </w:p>
    <w:p>
      <w:pPr>
        <w:jc w:val="both"/>
        <w:ind w:right="20" w:firstLine="321"/>
        <w:spacing w:after="0" w:line="267" w:lineRule="auto"/>
        <w:rPr>
          <w:sz w:val="20"/>
          <w:szCs w:val="20"/>
          <w:color w:val="auto"/>
        </w:rPr>
      </w:pPr>
      <w:r>
        <w:rPr>
          <w:rFonts w:ascii="Times New Roman" w:cs="Times New Roman" w:eastAsia="Times New Roman" w:hAnsi="Times New Roman"/>
          <w:sz w:val="18"/>
          <w:szCs w:val="18"/>
          <w:color w:val="auto"/>
        </w:rPr>
        <w:t xml:space="preserve">The periodic remeasurement of the warrant liability has been reflected in </w:t>
      </w:r>
      <w:r>
        <w:rPr>
          <w:rFonts w:ascii="Times New Roman" w:cs="Times New Roman" w:eastAsia="Times New Roman" w:hAnsi="Times New Roman"/>
          <w:sz w:val="18"/>
          <w:szCs w:val="18"/>
          <w:i w:val="1"/>
          <w:iCs w:val="1"/>
          <w:color w:val="auto"/>
        </w:rPr>
        <w:t>Loss in fair value change of warrant liability</w:t>
      </w:r>
      <w:r>
        <w:rPr>
          <w:rFonts w:ascii="Times New Roman" w:cs="Times New Roman" w:eastAsia="Times New Roman" w:hAnsi="Times New Roman"/>
          <w:sz w:val="18"/>
          <w:szCs w:val="18"/>
          <w:color w:val="auto"/>
        </w:rPr>
        <w:t xml:space="preserve"> within the Condensed Consolidated Statements of Operations and Comprehensive Income. The adjustments for the thirty-nine weeks ended May 28, 2022 resulted in a loss of $30.1 million, and the adjustments for the thirteen and thirty-nine weeks ended May 29, 2021 were losses of $35.8 million and $60.7 million, respectively.</w:t>
      </w:r>
    </w:p>
    <w:p>
      <w:pPr>
        <w:spacing w:after="0" w:line="198"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56" w:lineRule="exact"/>
        <w:rPr>
          <w:rFonts w:ascii="Times New Roman" w:cs="Times New Roman" w:eastAsia="Times New Roman" w:hAnsi="Times New Roman"/>
          <w:sz w:val="18"/>
          <w:szCs w:val="18"/>
          <w:b w:val="1"/>
          <w:bCs w:val="1"/>
          <w:color w:val="auto"/>
        </w:rPr>
      </w:pPr>
    </w:p>
    <w:p>
      <w:pPr>
        <w:ind w:left="1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tax expense and the effective tax rate resulting from operations were as follows:</w:t>
      </w:r>
    </w:p>
    <w:p>
      <w:pPr>
        <w:spacing w:after="0" w:line="338" w:lineRule="exact"/>
        <w:rPr>
          <w:sz w:val="20"/>
          <w:szCs w:val="20"/>
          <w:color w:val="auto"/>
        </w:rPr>
      </w:pPr>
    </w:p>
    <w:tbl>
      <w:tblPr>
        <w:tblLayout w:type="fixed"/>
        <w:tblInd w:w="2180" w:type="dxa"/>
        <w:tblCellMar>
          <w:top w:w="0" w:type="dxa"/>
          <w:left w:w="0" w:type="dxa"/>
          <w:bottom w:w="0" w:type="dxa"/>
          <w:right w:w="0" w:type="dxa"/>
        </w:tblCellMar>
      </w:tblPr>
      <w:tr>
        <w:trPr>
          <w:trHeight w:val="210"/>
        </w:trPr>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color w:val="auto"/>
              </w:rPr>
              <w:t>Thirty-Nine Weeks Ended</w:t>
            </w:r>
          </w:p>
        </w:tc>
      </w:tr>
      <w:tr>
        <w:trPr>
          <w:trHeight w:val="239"/>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May 28, 2022</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May 29, 2021</w:t>
            </w:r>
          </w:p>
        </w:tc>
      </w:tr>
      <w:tr>
        <w:trPr>
          <w:trHeight w:val="253"/>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113,173</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53,729</w:t>
            </w:r>
          </w:p>
        </w:tc>
      </w:tr>
      <w:tr>
        <w:trPr>
          <w:trHeight w:val="267"/>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34,726</w:t>
            </w:r>
          </w:p>
        </w:tc>
        <w:tc>
          <w:tcPr>
            <w:tcW w:w="14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31,095</w:t>
            </w:r>
          </w:p>
        </w:tc>
      </w:tr>
      <w:tr>
        <w:trPr>
          <w:trHeight w:val="273"/>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30.7 %</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57.9 %</w:t>
            </w:r>
          </w:p>
        </w:tc>
      </w:tr>
    </w:tbl>
    <w:p>
      <w:pPr>
        <w:spacing w:after="0" w:line="306" w:lineRule="exact"/>
        <w:rPr>
          <w:sz w:val="20"/>
          <w:szCs w:val="20"/>
          <w:color w:val="auto"/>
        </w:rPr>
      </w:pPr>
    </w:p>
    <w:p>
      <w:pPr>
        <w:ind w:firstLine="205"/>
        <w:spacing w:after="0" w:line="282" w:lineRule="auto"/>
        <w:rPr>
          <w:sz w:val="20"/>
          <w:szCs w:val="20"/>
          <w:color w:val="auto"/>
        </w:rPr>
      </w:pPr>
      <w:r>
        <w:rPr>
          <w:rFonts w:ascii="Times New Roman" w:cs="Times New Roman" w:eastAsia="Times New Roman" w:hAnsi="Times New Roman"/>
          <w:sz w:val="18"/>
          <w:szCs w:val="18"/>
          <w:color w:val="auto"/>
        </w:rPr>
        <w:t>The effective tax rate for the thirty-nine weeks ended May 28, 2022 was 27.2% less than the effective tax rate for the thirty-nine weeks ended May 29, 2021, which was primarily driven by the non-cash change in the fair value of the warrant liability and other permanent differences.</w:t>
      </w:r>
    </w:p>
    <w:p>
      <w:pPr>
        <w:spacing w:after="0" w:line="185"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56" w:lineRule="exact"/>
        <w:rPr>
          <w:rFonts w:ascii="Times New Roman" w:cs="Times New Roman" w:eastAsia="Times New Roman" w:hAnsi="Times New Roman"/>
          <w:sz w:val="18"/>
          <w:szCs w:val="18"/>
          <w:b w:val="1"/>
          <w:bCs w:val="1"/>
          <w:color w:val="auto"/>
        </w:rPr>
      </w:pPr>
    </w:p>
    <w:p>
      <w:pPr>
        <w:ind w:left="1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lease expense were as follows:</w:t>
      </w:r>
    </w:p>
    <w:p>
      <w:pPr>
        <w:spacing w:after="0" w:line="297" w:lineRule="exact"/>
        <w:rPr>
          <w:sz w:val="20"/>
          <w:szCs w:val="20"/>
          <w:color w:val="auto"/>
        </w:rPr>
      </w:pPr>
    </w:p>
    <w:tbl>
      <w:tblPr>
        <w:tblLayout w:type="fixed"/>
        <w:tblInd w:w="600" w:type="dxa"/>
        <w:tblCellMar>
          <w:top w:w="0" w:type="dxa"/>
          <w:left w:w="0" w:type="dxa"/>
          <w:bottom w:w="0" w:type="dxa"/>
          <w:right w:w="0" w:type="dxa"/>
        </w:tblCellMar>
      </w:tblPr>
      <w:tr>
        <w:trPr>
          <w:trHeight w:val="210"/>
        </w:trPr>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color w:val="auto"/>
              </w:rPr>
              <w:t>Thirteen Weeks Ended</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6"/>
                <w:szCs w:val="16"/>
                <w:color w:val="auto"/>
              </w:rPr>
              <w:t>Thirty-Nine Weeks Ended</w:t>
            </w:r>
          </w:p>
        </w:tc>
        <w:tc>
          <w:tcPr>
            <w:tcW w:w="0" w:type="dxa"/>
            <w:vAlign w:val="bottom"/>
          </w:tcPr>
          <w:p>
            <w:pPr>
              <w:spacing w:after="0"/>
              <w:rPr>
                <w:sz w:val="1"/>
                <w:szCs w:val="1"/>
                <w:color w:val="auto"/>
              </w:rPr>
            </w:pPr>
          </w:p>
        </w:tc>
      </w:tr>
      <w:tr>
        <w:trPr>
          <w:trHeight w:val="148"/>
        </w:trPr>
        <w:tc>
          <w:tcPr>
            <w:tcW w:w="1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vMerge w:val="restart"/>
          </w:tcPr>
          <w:p>
            <w:pPr>
              <w:spacing w:after="0"/>
              <w:rPr>
                <w:sz w:val="12"/>
                <w:szCs w:val="12"/>
                <w:color w:val="auto"/>
              </w:rPr>
            </w:pPr>
          </w:p>
        </w:tc>
        <w:tc>
          <w:tcPr>
            <w:tcW w:w="2000" w:type="dxa"/>
            <w:vAlign w:val="bottom"/>
            <w:gridSpan w:val="2"/>
          </w:tcPr>
          <w:p>
            <w:pPr>
              <w:ind w:left="20"/>
              <w:spacing w:after="0" w:line="148" w:lineRule="exact"/>
              <w:rPr>
                <w:sz w:val="20"/>
                <w:szCs w:val="20"/>
                <w:color w:val="auto"/>
              </w:rPr>
            </w:pPr>
            <w:r>
              <w:rPr>
                <w:rFonts w:ascii="Times New Roman" w:cs="Times New Roman" w:eastAsia="Times New Roman" w:hAnsi="Times New Roman"/>
                <w:sz w:val="16"/>
                <w:szCs w:val="16"/>
                <w:color w:val="auto"/>
              </w:rPr>
              <w:t>Statements of Operations</w:t>
            </w:r>
          </w:p>
        </w:tc>
        <w:tc>
          <w:tcPr>
            <w:tcW w:w="180" w:type="dxa"/>
            <w:vAlign w:val="bottom"/>
          </w:tcPr>
          <w:p>
            <w:pPr>
              <w:spacing w:after="0"/>
              <w:rPr>
                <w:sz w:val="12"/>
                <w:szCs w:val="12"/>
                <w:color w:val="auto"/>
              </w:rPr>
            </w:pPr>
          </w:p>
        </w:tc>
        <w:tc>
          <w:tcPr>
            <w:tcW w:w="124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May 28, 2022</w:t>
            </w:r>
          </w:p>
        </w:tc>
        <w:tc>
          <w:tcPr>
            <w:tcW w:w="1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May 29, 2021</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May 28, 2022</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May 29, 2021</w:t>
            </w:r>
          </w:p>
        </w:tc>
        <w:tc>
          <w:tcPr>
            <w:tcW w:w="0" w:type="dxa"/>
            <w:vAlign w:val="bottom"/>
          </w:tcPr>
          <w:p>
            <w:pPr>
              <w:spacing w:after="0"/>
              <w:rPr>
                <w:sz w:val="1"/>
                <w:szCs w:val="1"/>
                <w:color w:val="auto"/>
              </w:rPr>
            </w:pPr>
          </w:p>
        </w:tc>
      </w:tr>
      <w:tr>
        <w:trPr>
          <w:trHeight w:val="213"/>
        </w:trPr>
        <w:tc>
          <w:tcPr>
            <w:tcW w:w="1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Caption</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1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9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Lease cost</w:t>
            </w:r>
          </w:p>
        </w:tc>
        <w:tc>
          <w:tcPr>
            <w:tcW w:w="20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i w:val="1"/>
                <w:iCs w:val="1"/>
                <w:color w:val="auto"/>
              </w:rPr>
              <w:t>Cost of goods sold and</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2,278</w:t>
            </w:r>
          </w:p>
        </w:tc>
        <w:tc>
          <w:tcPr>
            <w:tcW w:w="14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12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6,806</w:t>
            </w:r>
          </w:p>
        </w:tc>
        <w:tc>
          <w:tcPr>
            <w:tcW w:w="12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4,480</w:t>
            </w:r>
          </w:p>
        </w:tc>
        <w:tc>
          <w:tcPr>
            <w:tcW w:w="0" w:type="dxa"/>
            <w:vAlign w:val="bottom"/>
          </w:tcPr>
          <w:p>
            <w:pPr>
              <w:spacing w:after="0"/>
              <w:rPr>
                <w:sz w:val="1"/>
                <w:szCs w:val="1"/>
                <w:color w:val="auto"/>
              </w:rPr>
            </w:pPr>
          </w:p>
        </w:tc>
      </w:tr>
      <w:tr>
        <w:trPr>
          <w:trHeight w:val="214"/>
        </w:trPr>
        <w:tc>
          <w:tcPr>
            <w:tcW w:w="1980" w:type="dxa"/>
            <w:vAlign w:val="bottom"/>
            <w:gridSpan w:val="2"/>
            <w:vMerge w:val="continue"/>
          </w:tcPr>
          <w:p>
            <w:pPr>
              <w:spacing w:after="0"/>
              <w:rPr>
                <w:sz w:val="18"/>
                <w:szCs w:val="18"/>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General and administrative</w:t>
            </w:r>
          </w:p>
        </w:tc>
        <w:tc>
          <w:tcPr>
            <w:tcW w:w="1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9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Variable lease cost </w:t>
            </w:r>
            <w:r>
              <w:rPr>
                <w:rFonts w:ascii="Times New Roman" w:cs="Times New Roman" w:eastAsia="Times New Roman" w:hAnsi="Times New Roman"/>
                <w:sz w:val="21"/>
                <w:szCs w:val="21"/>
                <w:color w:val="auto"/>
                <w:vertAlign w:val="superscript"/>
              </w:rPr>
              <w:t>(1)</w:t>
            </w:r>
          </w:p>
        </w:tc>
        <w:tc>
          <w:tcPr>
            <w:tcW w:w="200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i w:val="1"/>
                <w:iCs w:val="1"/>
                <w:color w:val="auto"/>
              </w:rPr>
              <w:t>Cost of goods sold and</w:t>
            </w: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0" w:type="dxa"/>
            <w:vAlign w:val="bottom"/>
          </w:tcPr>
          <w:p>
            <w:pPr>
              <w:spacing w:after="0"/>
              <w:rPr>
                <w:sz w:val="1"/>
                <w:szCs w:val="1"/>
                <w:color w:val="auto"/>
              </w:rPr>
            </w:pPr>
          </w:p>
        </w:tc>
      </w:tr>
      <w:tr>
        <w:trPr>
          <w:trHeight w:val="216"/>
        </w:trPr>
        <w:tc>
          <w:tcPr>
            <w:tcW w:w="1980" w:type="dxa"/>
            <w:vAlign w:val="bottom"/>
            <w:gridSpan w:val="2"/>
            <w:vMerge w:val="continue"/>
            <w:shd w:val="clear" w:color="auto" w:fill="CCEEFF"/>
          </w:tcPr>
          <w:p>
            <w:pPr>
              <w:spacing w:after="0"/>
              <w:rPr>
                <w:sz w:val="18"/>
                <w:szCs w:val="18"/>
                <w:color w:val="auto"/>
              </w:rPr>
            </w:pP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General and administrative</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98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6"/>
                <w:szCs w:val="16"/>
                <w:color w:val="auto"/>
              </w:rPr>
              <w:t>Total operating lease</w:t>
            </w:r>
          </w:p>
        </w:tc>
        <w:tc>
          <w:tcPr>
            <w:tcW w:w="1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3,065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1,956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9,106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5,726</w:t>
            </w:r>
          </w:p>
        </w:tc>
        <w:tc>
          <w:tcPr>
            <w:tcW w:w="0" w:type="dxa"/>
            <w:vAlign w:val="bottom"/>
          </w:tcPr>
          <w:p>
            <w:pPr>
              <w:spacing w:after="0"/>
              <w:rPr>
                <w:sz w:val="1"/>
                <w:szCs w:val="1"/>
                <w:color w:val="auto"/>
              </w:rPr>
            </w:pPr>
          </w:p>
        </w:tc>
      </w:tr>
      <w:tr>
        <w:trPr>
          <w:trHeight w:val="213"/>
        </w:trPr>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cost</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1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Finance lease cost:</w:t>
            </w:r>
          </w:p>
        </w:tc>
        <w:tc>
          <w:tcPr>
            <w:tcW w:w="1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1980" w:type="dxa"/>
            <w:vAlign w:val="bottom"/>
            <w:gridSpan w:val="2"/>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Amortization of right-of-</w:t>
            </w:r>
          </w:p>
        </w:tc>
        <w:tc>
          <w:tcPr>
            <w:tcW w:w="2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Cost of goods sold</w:t>
            </w: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16"/>
        </w:trPr>
        <w:tc>
          <w:tcPr>
            <w:tcW w:w="1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use assets</w:t>
            </w:r>
          </w:p>
        </w:tc>
        <w:tc>
          <w:tcPr>
            <w:tcW w:w="2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8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6"/>
                <w:szCs w:val="16"/>
                <w:color w:val="auto"/>
              </w:rPr>
              <w:t>Interest on lease</w:t>
            </w:r>
          </w:p>
        </w:tc>
        <w:tc>
          <w:tcPr>
            <w:tcW w:w="2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Interest expense</w:t>
            </w:r>
          </w:p>
        </w:tc>
        <w:tc>
          <w:tcPr>
            <w:tcW w:w="1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3"/>
        </w:trPr>
        <w:tc>
          <w:tcPr>
            <w:tcW w:w="19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liabilities</w:t>
            </w:r>
          </w:p>
        </w:tc>
        <w:tc>
          <w:tcPr>
            <w:tcW w:w="2000" w:type="dxa"/>
            <w:vAlign w:val="bottom"/>
            <w:tcBorders>
              <w:bottom w:val="single" w:sz="8" w:color="CCEEFF"/>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finance lease cost</w:t>
            </w:r>
          </w:p>
        </w:tc>
        <w:tc>
          <w:tcPr>
            <w:tcW w:w="1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0" w:type="dxa"/>
            <w:vAlign w:val="bottom"/>
          </w:tcPr>
          <w:p>
            <w:pPr>
              <w:spacing w:after="0"/>
              <w:rPr>
                <w:sz w:val="1"/>
                <w:szCs w:val="1"/>
                <w:color w:val="auto"/>
              </w:rPr>
            </w:pPr>
          </w:p>
        </w:tc>
      </w:tr>
      <w:tr>
        <w:trPr>
          <w:trHeight w:val="270"/>
        </w:trPr>
        <w:tc>
          <w:tcPr>
            <w:tcW w:w="18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6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1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cost</w:t>
            </w:r>
          </w:p>
        </w:tc>
        <w:tc>
          <w:tcPr>
            <w:tcW w:w="1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5,966</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400" w:hanging="230"/>
        <w:spacing w:after="0"/>
        <w:tabs>
          <w:tab w:leader="none" w:pos="40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Variable lease cost primarily consists of common area maintenance, such as cleaning and repairs.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ind w:firstLine="279"/>
        <w:spacing w:after="0" w:line="258" w:lineRule="auto"/>
        <w:rPr>
          <w:sz w:val="20"/>
          <w:szCs w:val="20"/>
          <w:color w:val="auto"/>
        </w:rPr>
      </w:pPr>
      <w:r>
        <w:rPr>
          <w:rFonts w:ascii="Times New Roman" w:cs="Times New Roman" w:eastAsia="Times New Roman" w:hAnsi="Times New Roman"/>
          <w:sz w:val="18"/>
          <w:szCs w:val="18"/>
          <w:color w:val="auto"/>
        </w:rPr>
        <w:t xml:space="preserve">In conjunction with the Company’s restructuring activities as discussed in Note 13, Restructuring and Related Charges, the Company recorded an immaterial gain on lease termination related to its lease in the Netherlands in the thirty-nine weeks ended May 28, 2022 and a $0.5 million impairment charge, net of a gain on lease termination, related to its leases in Toronto, Ontario and the Netherlands in the thirty-nine weeks ended May 29, 2021. The effect of these restructuring activities has been included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on the Condensed Consolidated Statements of Operations and Comprehensive Income. Refer to Note 13, Restructuring and Related Charges, for additional information regarding restructuring activities.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right-of-use assets and corresponding liabilities related to both operating and finance leases are as follows:</w:t>
      </w:r>
    </w:p>
    <w:p>
      <w:pPr>
        <w:spacing w:after="0" w:line="336" w:lineRule="exact"/>
        <w:rPr>
          <w:sz w:val="20"/>
          <w:szCs w:val="20"/>
          <w:color w:val="auto"/>
        </w:rPr>
      </w:pPr>
    </w:p>
    <w:tbl>
      <w:tblPr>
        <w:tblLayout w:type="fixed"/>
        <w:tblInd w:w="1020" w:type="dxa"/>
        <w:tblCellMar>
          <w:top w:w="0" w:type="dxa"/>
          <w:left w:w="0" w:type="dxa"/>
          <w:bottom w:w="0" w:type="dxa"/>
          <w:right w:w="0" w:type="dxa"/>
        </w:tblCellMar>
      </w:tblPr>
      <w:tr>
        <w:trPr>
          <w:trHeight w:val="215"/>
        </w:trPr>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Sheets Caption</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May 28, 2022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August 28, 2021</w:t>
            </w:r>
          </w:p>
        </w:tc>
      </w:tr>
      <w:tr>
        <w:trPr>
          <w:trHeight w:val="253"/>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3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7"/>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Other long-term assets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48,134</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46,197</w:t>
            </w:r>
          </w:p>
        </w:tc>
      </w:tr>
      <w:tr>
        <w:trPr>
          <w:trHeight w:val="270"/>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right-of-use assets</w:t>
            </w:r>
          </w:p>
        </w:tc>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Property and equipment, net</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r>
      <w:tr>
        <w:trPr>
          <w:trHeight w:val="226"/>
        </w:trPr>
        <w:tc>
          <w:tcPr>
            <w:tcW w:w="2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lease assets</w:t>
            </w:r>
          </w:p>
        </w:tc>
        <w:tc>
          <w:tcPr>
            <w:tcW w:w="3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48,569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46,837</w:t>
            </w: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2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67"/>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3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3"/>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3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7"/>
        </w:trPr>
        <w:tc>
          <w:tcPr>
            <w:tcW w:w="2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Accrued expenses and other current liabilities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5,721</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3,788</w:t>
            </w:r>
          </w:p>
        </w:tc>
      </w:tr>
      <w:tr>
        <w:trPr>
          <w:trHeight w:val="273"/>
        </w:trPr>
        <w:tc>
          <w:tcPr>
            <w:tcW w:w="2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Current maturities of long-term debt</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r>
      <w:tr>
        <w:trPr>
          <w:trHeight w:val="267"/>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w:t>
            </w:r>
          </w:p>
        </w:tc>
        <w:tc>
          <w:tcPr>
            <w:tcW w:w="3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3"/>
        </w:trPr>
        <w:tc>
          <w:tcPr>
            <w:tcW w:w="2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Other long-term liabilities</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46,219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44,892</w:t>
            </w:r>
          </w:p>
        </w:tc>
      </w:tr>
      <w:tr>
        <w:trPr>
          <w:trHeight w:val="267"/>
        </w:trPr>
        <w:tc>
          <w:tcPr>
            <w:tcW w:w="27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3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Long-term debt, less current maturities</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w:t>
            </w:r>
          </w:p>
        </w:tc>
      </w:tr>
      <w:tr>
        <w:trPr>
          <w:trHeight w:val="251"/>
        </w:trPr>
        <w:tc>
          <w:tcPr>
            <w:tcW w:w="27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lease liabilities</w:t>
            </w:r>
          </w:p>
        </w:tc>
        <w:tc>
          <w:tcPr>
            <w:tcW w:w="3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49,370</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Future maturities of lease liabilities as of May 28, 2022 were as follows:</w:t>
      </w:r>
    </w:p>
    <w:p>
      <w:pPr>
        <w:spacing w:after="0" w:line="336" w:lineRule="exact"/>
        <w:rPr>
          <w:sz w:val="20"/>
          <w:szCs w:val="20"/>
          <w:color w:val="auto"/>
        </w:rPr>
      </w:pPr>
    </w:p>
    <w:tbl>
      <w:tblPr>
        <w:tblLayout w:type="fixed"/>
        <w:tblInd w:w="2180" w:type="dxa"/>
        <w:tblCellMar>
          <w:top w:w="0" w:type="dxa"/>
          <w:left w:w="0" w:type="dxa"/>
          <w:bottom w:w="0" w:type="dxa"/>
          <w:right w:w="0" w:type="dxa"/>
        </w:tblCellMar>
      </w:tblPr>
      <w:tr>
        <w:trPr>
          <w:trHeight w:val="215"/>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Operating Leases</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Finance Leases</w:t>
            </w:r>
          </w:p>
        </w:tc>
      </w:tr>
      <w:tr>
        <w:trPr>
          <w:trHeight w:val="253"/>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year ending:</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67"/>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Remainder of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7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8,487</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r>
      <w:tr>
        <w:trPr>
          <w:trHeight w:val="267"/>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9,425</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7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8,681</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7"/>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6,881</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26,845</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62,126</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r>
      <w:tr>
        <w:trPr>
          <w:trHeight w:val="270"/>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Interest</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(10,186)</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26"/>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51,940</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w:t>
            </w:r>
          </w:p>
        </w:tc>
      </w:tr>
      <w:tr>
        <w:trPr>
          <w:trHeight w:val="20"/>
        </w:trPr>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weighted-average remaining lease terms and weighted-average discount rates for operating and finance leases were as follows:</w:t>
      </w:r>
    </w:p>
    <w:p>
      <w:pPr>
        <w:spacing w:after="0" w:line="338" w:lineRule="exact"/>
        <w:rPr>
          <w:sz w:val="20"/>
          <w:szCs w:val="20"/>
          <w:color w:val="auto"/>
        </w:rPr>
      </w:pPr>
    </w:p>
    <w:tbl>
      <w:tblPr>
        <w:tblLayout w:type="fixed"/>
        <w:tblInd w:w="2180" w:type="dxa"/>
        <w:tblCellMar>
          <w:top w:w="0" w:type="dxa"/>
          <w:left w:w="0" w:type="dxa"/>
          <w:bottom w:w="0" w:type="dxa"/>
          <w:right w:w="0" w:type="dxa"/>
        </w:tblCellMar>
      </w:tblPr>
      <w:tr>
        <w:trPr>
          <w:trHeight w:val="213"/>
        </w:trPr>
        <w:tc>
          <w:tcPr>
            <w:tcW w:w="3720" w:type="dxa"/>
            <w:vAlign w:val="bottom"/>
          </w:tcPr>
          <w:p>
            <w:pPr>
              <w:spacing w:after="0"/>
              <w:rPr>
                <w:sz w:val="18"/>
                <w:szCs w:val="18"/>
                <w:color w:val="auto"/>
              </w:rPr>
            </w:pPr>
          </w:p>
        </w:tc>
        <w:tc>
          <w:tcPr>
            <w:tcW w:w="16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May 28, 2022</w:t>
            </w:r>
          </w:p>
        </w:tc>
        <w:tc>
          <w:tcPr>
            <w:tcW w:w="15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August 28, 2021</w:t>
            </w:r>
          </w:p>
        </w:tc>
      </w:tr>
      <w:tr>
        <w:trPr>
          <w:trHeight w:val="253"/>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152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spacing w:after="0"/>
              <w:rPr>
                <w:sz w:val="22"/>
                <w:szCs w:val="22"/>
                <w:color w:val="auto"/>
              </w:rPr>
            </w:pPr>
          </w:p>
        </w:tc>
      </w:tr>
      <w:tr>
        <w:trPr>
          <w:trHeight w:val="267"/>
        </w:trPr>
        <w:tc>
          <w:tcPr>
            <w:tcW w:w="3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w:t>
            </w:r>
          </w:p>
        </w:tc>
      </w:tr>
      <w:tr>
        <w:trPr>
          <w:trHeight w:val="273"/>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Finance leases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4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r>
      <w:tr>
        <w:trPr>
          <w:trHeight w:val="26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73"/>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4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4.9 %</w:t>
            </w:r>
          </w:p>
        </w:tc>
      </w:tr>
      <w:tr>
        <w:trPr>
          <w:trHeight w:val="264"/>
        </w:trPr>
        <w:tc>
          <w:tcPr>
            <w:tcW w:w="3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Finance leases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4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Supplemental and other information related to leases was as follows:</w:t>
      </w:r>
    </w:p>
    <w:p>
      <w:pPr>
        <w:spacing w:after="0" w:line="297" w:lineRule="exact"/>
        <w:rPr>
          <w:sz w:val="20"/>
          <w:szCs w:val="20"/>
          <w:color w:val="auto"/>
        </w:rPr>
      </w:pPr>
    </w:p>
    <w:tbl>
      <w:tblPr>
        <w:tblLayout w:type="fixed"/>
        <w:tblInd w:w="2180" w:type="dxa"/>
        <w:tblCellMar>
          <w:top w:w="0" w:type="dxa"/>
          <w:left w:w="0" w:type="dxa"/>
          <w:bottom w:w="0" w:type="dxa"/>
          <w:right w:w="0" w:type="dxa"/>
        </w:tblCellMar>
      </w:tblPr>
      <w:tr>
        <w:trPr>
          <w:trHeight w:val="210"/>
        </w:trPr>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6"/>
                <w:szCs w:val="16"/>
                <w:color w:val="auto"/>
              </w:rPr>
              <w:t>Thirty-Nine Weeks Ended</w:t>
            </w:r>
          </w:p>
        </w:tc>
      </w:tr>
      <w:tr>
        <w:trPr>
          <w:trHeight w:val="21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May 28, 2022</w:t>
            </w:r>
          </w:p>
        </w:tc>
        <w:tc>
          <w:tcPr>
            <w:tcW w:w="200" w:type="dxa"/>
            <w:vAlign w:val="bottom"/>
          </w:tcPr>
          <w:p>
            <w:pPr>
              <w:spacing w:after="0"/>
              <w:rPr>
                <w:sz w:val="18"/>
                <w:szCs w:val="18"/>
                <w:color w:val="auto"/>
              </w:rPr>
            </w:pPr>
          </w:p>
        </w:tc>
        <w:tc>
          <w:tcPr>
            <w:tcW w:w="13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May 29, 2021</w:t>
            </w:r>
          </w:p>
        </w:tc>
      </w:tr>
      <w:tr>
        <w:trPr>
          <w:trHeight w:val="158"/>
        </w:trPr>
        <w:tc>
          <w:tcPr>
            <w:tcW w:w="3640" w:type="dxa"/>
            <w:vAlign w:val="bottom"/>
            <w:tcBorders>
              <w:top w:val="single" w:sz="8" w:color="auto"/>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Cash paid for amounts included in the measurement of</w:t>
            </w: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r>
      <w:tr>
        <w:trPr>
          <w:trHeight w:val="216"/>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37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7,155</w:t>
            </w:r>
          </w:p>
        </w:tc>
        <w:tc>
          <w:tcPr>
            <w:tcW w:w="1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5,619</w:t>
            </w:r>
          </w:p>
        </w:tc>
      </w:tr>
      <w:tr>
        <w:trPr>
          <w:trHeight w:val="219"/>
        </w:trPr>
        <w:tc>
          <w:tcPr>
            <w:tcW w:w="3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cash flows from finance leases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0"/>
        </w:trPr>
        <w:tc>
          <w:tcPr>
            <w:tcW w:w="37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Financing cash flows from finance leases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56" w:lineRule="exact"/>
        <w:rPr>
          <w:sz w:val="20"/>
          <w:szCs w:val="20"/>
          <w:color w:val="auto"/>
        </w:rPr>
      </w:pPr>
    </w:p>
    <w:p>
      <w:pPr>
        <w:jc w:val="both"/>
        <w:ind w:firstLine="182"/>
        <w:spacing w:after="0" w:line="261" w:lineRule="auto"/>
        <w:rPr>
          <w:sz w:val="20"/>
          <w:szCs w:val="20"/>
          <w:color w:val="auto"/>
        </w:rPr>
      </w:pPr>
      <w:r>
        <w:rPr>
          <w:rFonts w:ascii="Times New Roman" w:cs="Times New Roman" w:eastAsia="Times New Roman" w:hAnsi="Times New Roman"/>
          <w:sz w:val="18"/>
          <w:szCs w:val="18"/>
          <w:color w:val="auto"/>
        </w:rPr>
        <w:t>The Company is a party to certain litigation and claims that are considered normal to the operations of the business. From time to time, the Company has been and may again become involved in legal proceedings arising in the ordinary course of business. The Company is not presently a party to any litigation that it believes to be material, and the Company is not aware of any pending or threatened litigation against it that its management believes could have a material adverse effect on its business, operating results, financial condition or cash flows.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56" w:lineRule="exact"/>
        <w:rPr>
          <w:sz w:val="20"/>
          <w:szCs w:val="20"/>
          <w:color w:val="auto"/>
        </w:rPr>
      </w:pPr>
    </w:p>
    <w:p>
      <w:pPr>
        <w:jc w:val="both"/>
        <w:ind w:firstLine="198"/>
        <w:spacing w:after="0" w:line="261" w:lineRule="auto"/>
        <w:rPr>
          <w:sz w:val="20"/>
          <w:szCs w:val="20"/>
          <w:color w:val="auto"/>
        </w:rPr>
      </w:pPr>
      <w:r>
        <w:rPr>
          <w:rFonts w:ascii="Times New Roman" w:cs="Times New Roman" w:eastAsia="Times New Roman" w:hAnsi="Times New Roman"/>
          <w:sz w:val="18"/>
          <w:szCs w:val="18"/>
          <w:color w:val="auto"/>
        </w:rPr>
        <w:t>The Company has entered into endorsement contracts with certain celebrity figures and social media influencers to promote and endorse the Atkins and Quest brands and product lines. These contracts contain endorsement fees, which are expensed ratably over the life of the contract, and performance fees, that are recognized at the time of achievement. Based on the terms of the contracts in place and achievement of performance conditions as of May 28, 2022, the Company will be required to make payments of $0.7 million over the next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to Purchase Common Stock</w:t>
      </w:r>
    </w:p>
    <w:p>
      <w:pPr>
        <w:spacing w:after="0" w:line="256" w:lineRule="exact"/>
        <w:rPr>
          <w:sz w:val="20"/>
          <w:szCs w:val="20"/>
          <w:color w:val="auto"/>
        </w:rPr>
      </w:pPr>
    </w:p>
    <w:p>
      <w:pPr>
        <w:jc w:val="both"/>
        <w:ind w:firstLine="253"/>
        <w:spacing w:after="0" w:line="258" w:lineRule="auto"/>
        <w:rPr>
          <w:sz w:val="20"/>
          <w:szCs w:val="20"/>
          <w:color w:val="auto"/>
        </w:rPr>
      </w:pPr>
      <w:r>
        <w:rPr>
          <w:rFonts w:ascii="Times New Roman" w:cs="Times New Roman" w:eastAsia="Times New Roman" w:hAnsi="Times New Roman"/>
          <w:sz w:val="18"/>
          <w:szCs w:val="18"/>
          <w:color w:val="auto"/>
        </w:rPr>
        <w:t>As of August 28, 2021, the Company had outstanding liability-classified Private Warrants that allowed holders to purchase 6,700,000 shares of the Company’s common stock. Such Private Warrants were held by Conyers Park, a related party. Each whole warrant entitled the holder to purchase one share of the Company’s common stock at a price of $11.50 per share. On January 7, 2022, Conyers Park elected to exercise the Private Warrants on a cashless basis, resulting in a net issuance of 4,830,761 shares of the Company’s common stock. As a result of the cashless exercise on January 7, 2022, there were no outstanding liability-classified Private Warrants as of May 28, 2022.</w:t>
      </w:r>
    </w:p>
    <w:p>
      <w:pPr>
        <w:spacing w:after="0" w:line="210" w:lineRule="exact"/>
        <w:rPr>
          <w:sz w:val="20"/>
          <w:szCs w:val="20"/>
          <w:color w:val="auto"/>
        </w:rPr>
      </w:pPr>
    </w:p>
    <w:p>
      <w:pPr>
        <w:jc w:val="both"/>
        <w:ind w:firstLine="215"/>
        <w:spacing w:after="0" w:line="258" w:lineRule="auto"/>
        <w:rPr>
          <w:sz w:val="20"/>
          <w:szCs w:val="20"/>
          <w:color w:val="auto"/>
        </w:rPr>
      </w:pPr>
      <w:r>
        <w:rPr>
          <w:rFonts w:ascii="Times New Roman" w:cs="Times New Roman" w:eastAsia="Times New Roman" w:hAnsi="Times New Roman"/>
          <w:sz w:val="18"/>
          <w:szCs w:val="18"/>
          <w:color w:val="auto"/>
        </w:rPr>
        <w:t xml:space="preserve">As discussed in Note 6, Fair Value of Financial Instruments, the liability-classified warrants were remeasured on a recurring basis, primarily based on observable market data while the related theoretical private warrant volatility assumption within the Black-Scholes model represents a Level 3 measurement within the fair value measurement hierarchy. The periodic fair value remeasurements of the warrant liability, including the cashless exercise and the settlement of the warrant liability, have been reflected in </w:t>
      </w:r>
      <w:r>
        <w:rPr>
          <w:rFonts w:ascii="Times New Roman" w:cs="Times New Roman" w:eastAsia="Times New Roman" w:hAnsi="Times New Roman"/>
          <w:sz w:val="18"/>
          <w:szCs w:val="18"/>
          <w:i w:val="1"/>
          <w:iCs w:val="1"/>
          <w:color w:val="auto"/>
        </w:rPr>
        <w:t>Loss in fair value change of warrant liability</w:t>
      </w:r>
      <w:r>
        <w:rPr>
          <w:rFonts w:ascii="Times New Roman" w:cs="Times New Roman" w:eastAsia="Times New Roman" w:hAnsi="Times New Roman"/>
          <w:sz w:val="18"/>
          <w:szCs w:val="18"/>
          <w:color w:val="auto"/>
        </w:rPr>
        <w:t xml:space="preserve"> within the Condensed Consolidated Statements of Operations and Comprehensive Income.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56" w:lineRule="exact"/>
        <w:rPr>
          <w:sz w:val="20"/>
          <w:szCs w:val="20"/>
          <w:color w:val="auto"/>
        </w:rPr>
      </w:pPr>
    </w:p>
    <w:p>
      <w:pPr>
        <w:jc w:val="both"/>
        <w:ind w:firstLine="201"/>
        <w:spacing w:after="0" w:line="258" w:lineRule="auto"/>
        <w:rPr>
          <w:sz w:val="20"/>
          <w:szCs w:val="20"/>
          <w:color w:val="auto"/>
        </w:rPr>
      </w:pPr>
      <w:r>
        <w:rPr>
          <w:rFonts w:ascii="Times New Roman" w:cs="Times New Roman" w:eastAsia="Times New Roman" w:hAnsi="Times New Roman"/>
          <w:sz w:val="18"/>
          <w:szCs w:val="18"/>
          <w:color w:val="auto"/>
        </w:rPr>
        <w:t>The Company adopted a $50.0 million stock repurchase program on November 13, 2018. On April 13, 2022, the Company announced that its Board of Directors had approved the addition of $50.0 million to its stock repurchase program, resulting in authorized stock repurchases of up to an aggregate of $100.0 million. Under the stock repurchase program, the Company may repurchase shares from time to time in the open market or in privately negotiated transactions. The stock repurchase program does not obligate the Company to acquire any specific number of shares or acquire shares over any specific period of time. The stock repurchase program may be suspended or discontinued at any time by the Company and does not have an expiration date.</w:t>
      </w:r>
    </w:p>
    <w:p>
      <w:pPr>
        <w:spacing w:after="0" w:line="210" w:lineRule="exact"/>
        <w:rPr>
          <w:sz w:val="20"/>
          <w:szCs w:val="20"/>
          <w:color w:val="auto"/>
        </w:rPr>
      </w:pPr>
    </w:p>
    <w:p>
      <w:pPr>
        <w:jc w:val="both"/>
        <w:ind w:firstLine="244"/>
        <w:spacing w:after="0" w:line="261" w:lineRule="auto"/>
        <w:rPr>
          <w:sz w:val="20"/>
          <w:szCs w:val="20"/>
          <w:color w:val="auto"/>
        </w:rPr>
      </w:pPr>
      <w:r>
        <w:rPr>
          <w:rFonts w:ascii="Times New Roman" w:cs="Times New Roman" w:eastAsia="Times New Roman" w:hAnsi="Times New Roman"/>
          <w:sz w:val="18"/>
          <w:szCs w:val="18"/>
          <w:color w:val="auto"/>
        </w:rPr>
        <w:t>During the thirteen weeks ended May 28, 2022, the Company repurchased 218,221 shares of common stock at an average share price of $37.16 per share. During the thirty-nine weeks ended May 28, 2022, the Company repurchased 789,742 shares of common stock at an average share price of $36.09 per share. The Company did not repurchase any shares of common stock during the thirty-nine weeks ended May 29, 2021. As of May 28, 2022, approximately $69.3 million remained available under the stock repurchase program.</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Loss</w:t>
      </w:r>
    </w:p>
    <w:p>
      <w:pPr>
        <w:spacing w:after="0" w:line="256" w:lineRule="exact"/>
        <w:rPr>
          <w:sz w:val="20"/>
          <w:szCs w:val="20"/>
          <w:color w:val="auto"/>
        </w:rPr>
      </w:pPr>
    </w:p>
    <w:p>
      <w:pPr>
        <w:jc w:val="both"/>
        <w:ind w:firstLine="197"/>
        <w:spacing w:after="0" w:line="266" w:lineRule="auto"/>
        <w:rPr>
          <w:sz w:val="20"/>
          <w:szCs w:val="20"/>
          <w:color w:val="auto"/>
        </w:rPr>
      </w:pPr>
      <w:r>
        <w:rPr>
          <w:rFonts w:ascii="Times New Roman" w:cs="Times New Roman" w:eastAsia="Times New Roman" w:hAnsi="Times New Roman"/>
          <w:sz w:val="18"/>
          <w:szCs w:val="18"/>
          <w:color w:val="auto"/>
        </w:rPr>
        <w:t xml:space="preserve">During the thirty-nine weeks ended May 28, 2022, the Company recognized a foreign currency translation gain of $1.1 million related to the liquidation of a foreign subsidiary. The gain is reflected as a component of </w:t>
      </w:r>
      <w:r>
        <w:rPr>
          <w:rFonts w:ascii="Times New Roman" w:cs="Times New Roman" w:eastAsia="Times New Roman" w:hAnsi="Times New Roman"/>
          <w:sz w:val="18"/>
          <w:szCs w:val="18"/>
          <w:i w:val="1"/>
          <w:iCs w:val="1"/>
          <w:color w:val="auto"/>
        </w:rPr>
        <w:t>Other income (expense)</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Gain (loss) on foreign currency transactions</w:t>
      </w:r>
      <w:r>
        <w:rPr>
          <w:rFonts w:ascii="Times New Roman" w:cs="Times New Roman" w:eastAsia="Times New Roman" w:hAnsi="Times New Roman"/>
          <w:sz w:val="18"/>
          <w:szCs w:val="18"/>
          <w:color w:val="auto"/>
        </w:rPr>
        <w:t xml:space="preserve"> within the Condensed Consolidated Statements of Operations and Comprehensive Income.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256" w:lineRule="exact"/>
        <w:rPr>
          <w:sz w:val="20"/>
          <w:szCs w:val="20"/>
          <w:color w:val="auto"/>
        </w:rPr>
      </w:pPr>
    </w:p>
    <w:p>
      <w:pPr>
        <w:jc w:val="both"/>
        <w:ind w:firstLine="208"/>
        <w:spacing w:after="0" w:line="256" w:lineRule="auto"/>
        <w:rPr>
          <w:sz w:val="20"/>
          <w:szCs w:val="20"/>
          <w:color w:val="auto"/>
        </w:rPr>
      </w:pPr>
      <w:r>
        <w:rPr>
          <w:rFonts w:ascii="Times New Roman" w:cs="Times New Roman" w:eastAsia="Times New Roman" w:hAnsi="Times New Roman"/>
          <w:sz w:val="18"/>
          <w:szCs w:val="18"/>
          <w:color w:val="auto"/>
        </w:rPr>
        <w:t>Basic earnings or loss per share is based on the weighted average number of common shares issued and outstanding. In computing diluted earnings per share, basic earnings per share is adjusted for the assumed issuance of all potentially dilutive securities, including the Company’s employee stock options, non-vested stock units, and Private Warrants for the periods during which they were outstanding. During periods when the effect of the outstanding Private Warrants was dilutive, the Company assumed share settlement of the instruments as of the beginning of the reporting period and adjusted the numerator to remove the change in fair value of the warrant liability and adjusted the denominator to include the dilutive shares, calculated using the treasury stock method. During periods when the effect of the outstanding Private Warrants was anti-dilutive, the share settlement is excluded.</w:t>
      </w:r>
    </w:p>
    <w:p>
      <w:pPr>
        <w:spacing w:after="0" w:line="214" w:lineRule="exact"/>
        <w:rPr>
          <w:sz w:val="20"/>
          <w:szCs w:val="20"/>
          <w:color w:val="auto"/>
        </w:rPr>
      </w:pPr>
    </w:p>
    <w:p>
      <w:pPr>
        <w:jc w:val="both"/>
        <w:ind w:firstLine="297"/>
        <w:spacing w:after="0" w:line="282" w:lineRule="auto"/>
        <w:rPr>
          <w:sz w:val="20"/>
          <w:szCs w:val="20"/>
          <w:color w:val="auto"/>
        </w:rPr>
      </w:pPr>
      <w:r>
        <w:rPr>
          <w:rFonts w:ascii="Times New Roman" w:cs="Times New Roman" w:eastAsia="Times New Roman" w:hAnsi="Times New Roman"/>
          <w:sz w:val="18"/>
          <w:szCs w:val="18"/>
          <w:color w:val="auto"/>
        </w:rPr>
        <w:t>In periods in which the Company has a net loss, diluted loss per share is based on the weighted average number of common shares issued and outstanding as the effect of including common stock equivalents outstanding would be anti-dilutive.</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tables reconcile the numerators and denominators used in the computations of both basic and diluted earnings per share:</w:t>
      </w:r>
    </w:p>
    <w:p>
      <w:pPr>
        <w:spacing w:after="0" w:line="297"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gridSpan w:val="5"/>
          </w:tcPr>
          <w:p>
            <w:pPr>
              <w:ind w:left="620"/>
              <w:spacing w:after="0"/>
              <w:rPr>
                <w:sz w:val="20"/>
                <w:szCs w:val="20"/>
                <w:color w:val="auto"/>
              </w:rPr>
            </w:pPr>
            <w:r>
              <w:rPr>
                <w:rFonts w:ascii="Times New Roman" w:cs="Times New Roman" w:eastAsia="Times New Roman" w:hAnsi="Times New Roman"/>
                <w:sz w:val="16"/>
                <w:szCs w:val="16"/>
                <w:color w:val="auto"/>
              </w:rPr>
              <w:t>Thirteen Weeks Ended</w:t>
            </w:r>
          </w:p>
        </w:tc>
        <w:tc>
          <w:tcPr>
            <w:tcW w:w="180" w:type="dxa"/>
            <w:vAlign w:val="bottom"/>
          </w:tcPr>
          <w:p>
            <w:pPr>
              <w:spacing w:after="0"/>
              <w:rPr>
                <w:sz w:val="18"/>
                <w:szCs w:val="18"/>
                <w:color w:val="auto"/>
              </w:rPr>
            </w:pPr>
          </w:p>
        </w:tc>
        <w:tc>
          <w:tcPr>
            <w:tcW w:w="2920" w:type="dxa"/>
            <w:vAlign w:val="bottom"/>
            <w:gridSpan w:val="4"/>
          </w:tcPr>
          <w:p>
            <w:pPr>
              <w:jc w:val="right"/>
              <w:ind w:right="639"/>
              <w:spacing w:after="0"/>
              <w:rPr>
                <w:sz w:val="20"/>
                <w:szCs w:val="20"/>
                <w:color w:val="auto"/>
              </w:rPr>
            </w:pPr>
            <w:r>
              <w:rPr>
                <w:rFonts w:ascii="Times New Roman" w:cs="Times New Roman" w:eastAsia="Times New Roman" w:hAnsi="Times New Roman"/>
                <w:sz w:val="16"/>
                <w:szCs w:val="16"/>
                <w:color w:val="auto"/>
              </w:rPr>
              <w:t>Thirty-Nine Weeks Ended</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May 28, 2022</w:t>
            </w:r>
          </w:p>
        </w:tc>
        <w:tc>
          <w:tcPr>
            <w:tcW w:w="14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May 29, 2021</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May 28, 2022</w:t>
            </w:r>
          </w:p>
        </w:tc>
        <w:tc>
          <w:tcPr>
            <w:tcW w:w="14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May 29, 2021</w:t>
            </w:r>
          </w:p>
        </w:tc>
        <w:tc>
          <w:tcPr>
            <w:tcW w:w="0" w:type="dxa"/>
            <w:vAlign w:val="bottom"/>
          </w:tcPr>
          <w:p>
            <w:pPr>
              <w:spacing w:after="0"/>
              <w:rPr>
                <w:sz w:val="1"/>
                <w:szCs w:val="1"/>
                <w:color w:val="auto"/>
              </w:rPr>
            </w:pPr>
          </w:p>
        </w:tc>
      </w:tr>
      <w:tr>
        <w:trPr>
          <w:trHeight w:val="253"/>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share computation:</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Numerator:</w:t>
            </w: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3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38,834</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5,895</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78,447</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22,634</w:t>
            </w:r>
          </w:p>
        </w:tc>
        <w:tc>
          <w:tcPr>
            <w:tcW w:w="0" w:type="dxa"/>
            <w:vAlign w:val="bottom"/>
          </w:tcPr>
          <w:p>
            <w:pPr>
              <w:spacing w:after="0"/>
              <w:rPr>
                <w:sz w:val="1"/>
                <w:szCs w:val="1"/>
                <w:color w:val="auto"/>
              </w:rPr>
            </w:pPr>
          </w:p>
        </w:tc>
      </w:tr>
      <w:tr>
        <w:trPr>
          <w:trHeight w:val="267"/>
        </w:trPr>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Denominator:</w:t>
            </w: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3620" w:type="dxa"/>
            <w:vAlign w:val="bottom"/>
            <w:gridSpan w:val="2"/>
            <w:shd w:val="clear" w:color="auto" w:fill="CCEEFF"/>
          </w:tcPr>
          <w:p>
            <w:pPr>
              <w:ind w:left="260"/>
              <w:spacing w:after="0" w:line="165" w:lineRule="exact"/>
              <w:rPr>
                <w:sz w:val="20"/>
                <w:szCs w:val="20"/>
                <w:color w:val="auto"/>
              </w:rPr>
            </w:pPr>
            <w:r>
              <w:rPr>
                <w:rFonts w:ascii="Times New Roman" w:cs="Times New Roman" w:eastAsia="Times New Roman" w:hAnsi="Times New Roman"/>
                <w:sz w:val="16"/>
                <w:szCs w:val="16"/>
                <w:color w:val="auto"/>
              </w:rPr>
              <w:t>Weighted average common shares outstanding -</w:t>
            </w: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100,426,227</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95,767,629</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98,294,114</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95,730,581</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 earnings per share from net income</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140" w:type="dxa"/>
            <w:vAlign w:val="bottom"/>
          </w:tcPr>
          <w:p>
            <w:pPr>
              <w:spacing w:after="0"/>
              <w:rPr>
                <w:sz w:val="21"/>
                <w:szCs w:val="21"/>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0.80</w:t>
            </w:r>
          </w:p>
        </w:tc>
        <w:tc>
          <w:tcPr>
            <w:tcW w:w="1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0.24</w:t>
            </w:r>
          </w:p>
        </w:tc>
        <w:tc>
          <w:tcPr>
            <w:tcW w:w="0" w:type="dxa"/>
            <w:vAlign w:val="bottom"/>
          </w:tcPr>
          <w:p>
            <w:pPr>
              <w:spacing w:after="0"/>
              <w:rPr>
                <w:sz w:val="1"/>
                <w:szCs w:val="1"/>
                <w:color w:val="auto"/>
              </w:rPr>
            </w:pP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earnings per share computation:</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Numerator:</w:t>
            </w: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income available for common stockholders</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38,834</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5,895</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78,447</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22,634</w:t>
            </w: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Numerator for diluted earnings per share</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38,834</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5,895</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78,447</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22,634</w:t>
            </w:r>
          </w:p>
        </w:tc>
        <w:tc>
          <w:tcPr>
            <w:tcW w:w="0" w:type="dxa"/>
            <w:vAlign w:val="bottom"/>
          </w:tcPr>
          <w:p>
            <w:pPr>
              <w:spacing w:after="0"/>
              <w:rPr>
                <w:sz w:val="1"/>
                <w:szCs w:val="1"/>
                <w:color w:val="auto"/>
              </w:rPr>
            </w:pPr>
          </w:p>
        </w:tc>
      </w:tr>
      <w:tr>
        <w:trPr>
          <w:trHeight w:val="253"/>
        </w:trPr>
        <w:tc>
          <w:tcPr>
            <w:tcW w:w="3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Denominator:</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3620" w:type="dxa"/>
            <w:vAlign w:val="bottom"/>
            <w:gridSpan w:val="2"/>
          </w:tcPr>
          <w:p>
            <w:pPr>
              <w:ind w:left="240"/>
              <w:spacing w:after="0" w:line="162" w:lineRule="exact"/>
              <w:rPr>
                <w:sz w:val="20"/>
                <w:szCs w:val="20"/>
                <w:color w:val="auto"/>
              </w:rPr>
            </w:pPr>
            <w:r>
              <w:rPr>
                <w:rFonts w:ascii="Times New Roman" w:cs="Times New Roman" w:eastAsia="Times New Roman" w:hAnsi="Times New Roman"/>
                <w:sz w:val="16"/>
                <w:szCs w:val="16"/>
                <w:color w:val="auto"/>
              </w:rPr>
              <w:t>Weighted average common shares outstanding -</w:t>
            </w:r>
          </w:p>
        </w:tc>
        <w:tc>
          <w:tcPr>
            <w:tcW w:w="1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100,426,227</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95,767,629</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98,294,114</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95,730,581</w:t>
            </w:r>
          </w:p>
        </w:tc>
        <w:tc>
          <w:tcPr>
            <w:tcW w:w="0" w:type="dxa"/>
            <w:vAlign w:val="bottom"/>
          </w:tcPr>
          <w:p>
            <w:pPr>
              <w:spacing w:after="0"/>
              <w:rPr>
                <w:sz w:val="1"/>
                <w:szCs w:val="1"/>
                <w:color w:val="auto"/>
              </w:rPr>
            </w:pPr>
          </w:p>
        </w:tc>
      </w:tr>
      <w:tr>
        <w:trPr>
          <w:trHeight w:val="213"/>
        </w:trPr>
        <w:tc>
          <w:tcPr>
            <w:tcW w:w="36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3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Employee stock options</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1,604,847</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1,465,477</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1,633,278</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1,191,593</w:t>
            </w:r>
          </w:p>
        </w:tc>
        <w:tc>
          <w:tcPr>
            <w:tcW w:w="0" w:type="dxa"/>
            <w:vAlign w:val="bottom"/>
          </w:tcPr>
          <w:p>
            <w:pPr>
              <w:spacing w:after="0"/>
              <w:rPr>
                <w:sz w:val="1"/>
                <w:szCs w:val="1"/>
                <w:color w:val="auto"/>
              </w:rPr>
            </w:pPr>
          </w:p>
        </w:tc>
      </w:tr>
      <w:tr>
        <w:trPr>
          <w:trHeight w:val="267"/>
        </w:trPr>
        <w:tc>
          <w:tcPr>
            <w:tcW w:w="36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Non-vested stock units</w:t>
            </w: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206,383</w:t>
            </w: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356,550</w:t>
            </w: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262,676</w:t>
            </w: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275,006</w:t>
            </w:r>
          </w:p>
        </w:tc>
        <w:tc>
          <w:tcPr>
            <w:tcW w:w="0" w:type="dxa"/>
            <w:vAlign w:val="bottom"/>
          </w:tcPr>
          <w:p>
            <w:pPr>
              <w:spacing w:after="0"/>
              <w:rPr>
                <w:sz w:val="1"/>
                <w:szCs w:val="1"/>
                <w:color w:val="auto"/>
              </w:rPr>
            </w:pPr>
          </w:p>
        </w:tc>
      </w:tr>
      <w:tr>
        <w:trPr>
          <w:trHeight w:val="250"/>
        </w:trPr>
        <w:tc>
          <w:tcPr>
            <w:tcW w:w="3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Weighted average common shares - diluted</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102,237,457</w:t>
            </w:r>
          </w:p>
        </w:tc>
        <w:tc>
          <w:tcPr>
            <w:tcW w:w="1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97,589,656</w:t>
            </w:r>
          </w:p>
        </w:tc>
        <w:tc>
          <w:tcPr>
            <w:tcW w:w="1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100,190,068</w:t>
            </w:r>
          </w:p>
        </w:tc>
        <w:tc>
          <w:tcPr>
            <w:tcW w:w="1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97,197,180</w:t>
            </w:r>
          </w:p>
        </w:tc>
        <w:tc>
          <w:tcPr>
            <w:tcW w:w="0" w:type="dxa"/>
            <w:vAlign w:val="bottom"/>
          </w:tcPr>
          <w:p>
            <w:pPr>
              <w:spacing w:after="0"/>
              <w:rPr>
                <w:sz w:val="1"/>
                <w:szCs w:val="1"/>
                <w:color w:val="auto"/>
              </w:rPr>
            </w:pPr>
          </w:p>
        </w:tc>
      </w:tr>
      <w:tr>
        <w:trPr>
          <w:trHeight w:val="226"/>
        </w:trPr>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Diluted earnings per share from net income</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247"/>
        <w:spacing w:after="0" w:line="266" w:lineRule="auto"/>
        <w:rPr>
          <w:sz w:val="20"/>
          <w:szCs w:val="20"/>
          <w:color w:val="auto"/>
        </w:rPr>
      </w:pPr>
      <w:r>
        <w:rPr>
          <w:rFonts w:ascii="Times New Roman" w:cs="Times New Roman" w:eastAsia="Times New Roman" w:hAnsi="Times New Roman"/>
          <w:sz w:val="18"/>
          <w:szCs w:val="18"/>
          <w:color w:val="auto"/>
        </w:rPr>
        <w:t>Diluted earnings per share calculations for the thirty-nine weeks ended May 28, 2022 excluded 1.0 million shares, issuable upon exercise of Private Warrants, that would have been anti-dilutive. The diluted earnings per share calculations for the thirteen and thirty-nine weeks ended May 29, 2021 excluded 4.3 million shares and 3.9 million shares, issuable upon exercise of Private Warrants, respectively, that would have been anti-dilutive.</w:t>
      </w:r>
    </w:p>
    <w:p>
      <w:pPr>
        <w:spacing w:after="0" w:line="203" w:lineRule="exact"/>
        <w:rPr>
          <w:sz w:val="20"/>
          <w:szCs w:val="20"/>
          <w:color w:val="auto"/>
        </w:rPr>
      </w:pPr>
    </w:p>
    <w:p>
      <w:pPr>
        <w:jc w:val="both"/>
        <w:ind w:firstLine="190"/>
        <w:spacing w:after="0" w:line="261" w:lineRule="auto"/>
        <w:rPr>
          <w:sz w:val="20"/>
          <w:szCs w:val="20"/>
          <w:color w:val="auto"/>
        </w:rPr>
      </w:pPr>
      <w:r>
        <w:rPr>
          <w:rFonts w:ascii="Times New Roman" w:cs="Times New Roman" w:eastAsia="Times New Roman" w:hAnsi="Times New Roman"/>
          <w:sz w:val="18"/>
          <w:szCs w:val="18"/>
          <w:color w:val="auto"/>
        </w:rPr>
        <w:t>Diluted earnings per share calculations for the thirteen and thirty-nine weeks ended May 28, 2022 excluded 0.3 million shares of common stock issuable upon exercise of stock options, respectively, that would have been anti-dilutive. Diluted earnings per share calculations for the thirteen and thirty-nine weeks ended May 29, 2021 excluded an immaterial number of shares and 0.2 million shares of common stock issuable upon exercise of stock options, respectively, that would have been anti-dilutive.</w:t>
      </w:r>
    </w:p>
    <w:p>
      <w:pPr>
        <w:spacing w:after="0" w:line="207" w:lineRule="exact"/>
        <w:rPr>
          <w:sz w:val="20"/>
          <w:szCs w:val="20"/>
          <w:color w:val="auto"/>
        </w:rPr>
      </w:pPr>
    </w:p>
    <w:p>
      <w:pPr>
        <w:jc w:val="both"/>
        <w:ind w:right="20" w:firstLine="198"/>
        <w:spacing w:after="0" w:line="282" w:lineRule="auto"/>
        <w:rPr>
          <w:sz w:val="20"/>
          <w:szCs w:val="20"/>
          <w:color w:val="auto"/>
        </w:rPr>
      </w:pPr>
      <w:r>
        <w:rPr>
          <w:rFonts w:ascii="Times New Roman" w:cs="Times New Roman" w:eastAsia="Times New Roman" w:hAnsi="Times New Roman"/>
          <w:sz w:val="18"/>
          <w:szCs w:val="18"/>
          <w:color w:val="auto"/>
        </w:rPr>
        <w:t>Diluted earnings per share calculations for the thirteen and thirty-nine weeks ended May 28, 2022 and May 29, 2021 excluded an immaterial number of non-vested stock units that would have been anti-dilutive.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12. Omnibus Incentive Plan</w:t>
      </w:r>
    </w:p>
    <w:p>
      <w:pPr>
        <w:spacing w:after="0" w:line="256" w:lineRule="exact"/>
        <w:rPr>
          <w:sz w:val="20"/>
          <w:szCs w:val="20"/>
          <w:color w:val="auto"/>
        </w:rPr>
      </w:pPr>
    </w:p>
    <w:p>
      <w:pPr>
        <w:jc w:val="both"/>
        <w:ind w:firstLine="185"/>
        <w:spacing w:after="0" w:line="261" w:lineRule="auto"/>
        <w:rPr>
          <w:sz w:val="20"/>
          <w:szCs w:val="20"/>
          <w:color w:val="auto"/>
        </w:rPr>
      </w:pPr>
      <w:r>
        <w:rPr>
          <w:rFonts w:ascii="Times New Roman" w:cs="Times New Roman" w:eastAsia="Times New Roman" w:hAnsi="Times New Roman"/>
          <w:sz w:val="18"/>
          <w:szCs w:val="18"/>
          <w:color w:val="auto"/>
        </w:rPr>
        <w:t xml:space="preserve">Stock-based compensation includes stock options, restricted stock units, performance stock unit awards and stock appreciation rights, which are awarded to employees, directors, and consultants of the Company. Stock-based compensation expense is recognized on a straight-line basis over the requisite service period of the award based on their grant date fair value. Stock-based compensation expense is included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expense, which is the same financial statement caption where the recipient’s other compensation is reported.</w:t>
      </w:r>
    </w:p>
    <w:p>
      <w:pPr>
        <w:spacing w:after="0" w:line="20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of $3.0 million and $2.2 million in the thirteen weeks ended May 28, 2022 and May 29, 2021, respectively, and $8.7 million and $5.8 million in the thirty-nine weeks ended May 28, 2022 and May 29, 2021,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thirty-nine weeks ended May 28, 2022:</w:t>
      </w:r>
    </w:p>
    <w:p>
      <w:pPr>
        <w:spacing w:after="0" w:line="275" w:lineRule="exact"/>
        <w:rPr>
          <w:sz w:val="20"/>
          <w:szCs w:val="20"/>
          <w:color w:val="auto"/>
        </w:rPr>
      </w:pPr>
    </w:p>
    <w:tbl>
      <w:tblPr>
        <w:tblLayout w:type="fixed"/>
        <w:tblInd w:w="142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Weighted average</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4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Shares underlying</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Weighted average</w:t>
            </w: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remaining</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contractual life</w:t>
            </w:r>
          </w:p>
        </w:tc>
        <w:tc>
          <w:tcPr>
            <w:tcW w:w="0" w:type="dxa"/>
            <w:vAlign w:val="bottom"/>
          </w:tcPr>
          <w:p>
            <w:pPr>
              <w:spacing w:after="0"/>
              <w:rPr>
                <w:sz w:val="1"/>
                <w:szCs w:val="1"/>
                <w:color w:val="auto"/>
              </w:rPr>
            </w:pPr>
          </w:p>
        </w:tc>
      </w:tr>
      <w:tr>
        <w:trPr>
          <w:trHeight w:val="213"/>
        </w:trPr>
        <w:tc>
          <w:tcPr>
            <w:tcW w:w="376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options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exercise price</w:t>
            </w:r>
          </w:p>
        </w:tc>
        <w:tc>
          <w:tcPr>
            <w:tcW w:w="1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(years)</w:t>
            </w: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August 28,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2,993,163</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16.31</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138,479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40.88</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(352,791)</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12.31</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38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19.89</w:t>
            </w:r>
          </w:p>
        </w:tc>
        <w:tc>
          <w:tcPr>
            <w:tcW w:w="140" w:type="dxa"/>
            <w:vAlign w:val="bottom"/>
            <w:tcBorders>
              <w:bottom w:val="single" w:sz="8" w:color="CCEEFF"/>
            </w:tcBorders>
          </w:tcPr>
          <w:p>
            <w:pPr>
              <w:spacing w:after="0"/>
              <w:rPr>
                <w:sz w:val="23"/>
                <w:szCs w:val="23"/>
                <w:color w:val="auto"/>
              </w:rPr>
            </w:pPr>
          </w:p>
        </w:tc>
        <w:tc>
          <w:tcPr>
            <w:tcW w:w="14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May 28,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2,776,551</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18.04</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0" w:type="dxa"/>
            <w:vAlign w:val="bottom"/>
          </w:tcPr>
          <w:p>
            <w:pPr>
              <w:spacing w:after="0"/>
              <w:rPr>
                <w:sz w:val="1"/>
                <w:szCs w:val="1"/>
                <w:color w:val="auto"/>
              </w:rPr>
            </w:pPr>
          </w:p>
        </w:tc>
      </w:tr>
      <w:tr>
        <w:trPr>
          <w:trHeight w:val="253"/>
        </w:trPr>
        <w:tc>
          <w:tcPr>
            <w:tcW w:w="3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as of May 28, 2022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2,776,551</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18.04</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0" w:type="dxa"/>
            <w:vAlign w:val="bottom"/>
          </w:tcPr>
          <w:p>
            <w:pPr>
              <w:spacing w:after="0"/>
              <w:rPr>
                <w:sz w:val="1"/>
                <w:szCs w:val="1"/>
                <w:color w:val="auto"/>
              </w:rPr>
            </w:pPr>
          </w:p>
        </w:tc>
      </w:tr>
      <w:tr>
        <w:trPr>
          <w:trHeight w:val="270"/>
        </w:trPr>
        <w:tc>
          <w:tcPr>
            <w:tcW w:w="37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as of May 28, 2022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2,164,158</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14.44</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238"/>
        <w:spacing w:after="0" w:line="266" w:lineRule="auto"/>
        <w:rPr>
          <w:sz w:val="20"/>
          <w:szCs w:val="20"/>
          <w:color w:val="auto"/>
        </w:rPr>
      </w:pPr>
      <w:r>
        <w:rPr>
          <w:rFonts w:ascii="Times New Roman" w:cs="Times New Roman" w:eastAsia="Times New Roman" w:hAnsi="Times New Roman"/>
          <w:sz w:val="18"/>
          <w:szCs w:val="18"/>
          <w:color w:val="auto"/>
        </w:rPr>
        <w:t>As of May 28, 2022, the Company had $5.0 million of total unrecognized compensation cost related to stock options that will be recognized over a weighted average period of 1.8 years. During the thirty-nine weeks ended May 28, 2022 and May 29, 2021, the Company received $4.3 million and $0.7 million in cash from stock option exercises,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 for the thirty-nine weeks ended May 28, 2022:</w:t>
      </w:r>
    </w:p>
    <w:p>
      <w:pPr>
        <w:spacing w:after="0" w:line="316" w:lineRule="exact"/>
        <w:rPr>
          <w:sz w:val="20"/>
          <w:szCs w:val="20"/>
          <w:color w:val="auto"/>
        </w:rPr>
      </w:pPr>
    </w:p>
    <w:tbl>
      <w:tblPr>
        <w:tblLayout w:type="fixed"/>
        <w:tblInd w:w="218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46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color w:val="auto"/>
              </w:rPr>
              <w:t>Units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Weighted average</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grant-date fair value</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August 28, 2021</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496,334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0" w:type="dxa"/>
            <w:vAlign w:val="bottom"/>
          </w:tcPr>
          <w:p>
            <w:pPr>
              <w:spacing w:after="0"/>
              <w:rPr>
                <w:sz w:val="1"/>
                <w:szCs w:val="1"/>
                <w:color w:val="auto"/>
              </w:rPr>
            </w:pPr>
          </w:p>
        </w:tc>
      </w:tr>
      <w:tr>
        <w:trPr>
          <w:trHeight w:val="250"/>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171,795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39.97</w:t>
            </w:r>
          </w:p>
        </w:tc>
        <w:tc>
          <w:tcPr>
            <w:tcW w:w="0" w:type="dxa"/>
            <w:vAlign w:val="bottom"/>
          </w:tcPr>
          <w:p>
            <w:pPr>
              <w:spacing w:after="0"/>
              <w:rPr>
                <w:sz w:val="1"/>
                <w:szCs w:val="1"/>
                <w:color w:val="auto"/>
              </w:rPr>
            </w:pPr>
          </w:p>
        </w:tc>
      </w:tr>
      <w:tr>
        <w:trPr>
          <w:trHeight w:val="273"/>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(169,145)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23.16</w:t>
            </w:r>
          </w:p>
        </w:tc>
        <w:tc>
          <w:tcPr>
            <w:tcW w:w="0" w:type="dxa"/>
            <w:vAlign w:val="bottom"/>
          </w:tcPr>
          <w:p>
            <w:pPr>
              <w:spacing w:after="0"/>
              <w:rPr>
                <w:sz w:val="1"/>
                <w:szCs w:val="1"/>
                <w:color w:val="auto"/>
              </w:rPr>
            </w:pPr>
          </w:p>
        </w:tc>
      </w:tr>
      <w:tr>
        <w:trPr>
          <w:trHeight w:val="267"/>
        </w:trPr>
        <w:tc>
          <w:tcPr>
            <w:tcW w:w="3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(22,818)</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26.51</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May 28, 2022</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476,166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30.55</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20" w:firstLine="220"/>
        <w:spacing w:after="0" w:line="282" w:lineRule="auto"/>
        <w:rPr>
          <w:sz w:val="20"/>
          <w:szCs w:val="20"/>
          <w:color w:val="auto"/>
        </w:rPr>
      </w:pPr>
      <w:r>
        <w:rPr>
          <w:rFonts w:ascii="Times New Roman" w:cs="Times New Roman" w:eastAsia="Times New Roman" w:hAnsi="Times New Roman"/>
          <w:sz w:val="18"/>
          <w:szCs w:val="18"/>
          <w:color w:val="auto"/>
        </w:rPr>
        <w:t>As of May 28, 2022, the Company had $10.3 million of total unrecognized compensation cost related to restricted stock units that will be recognized over a weighted average period of 1.7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256" w:lineRule="exact"/>
        <w:rPr>
          <w:sz w:val="20"/>
          <w:szCs w:val="20"/>
          <w:color w:val="auto"/>
        </w:rPr>
      </w:pPr>
    </w:p>
    <w:p>
      <w:pPr>
        <w:jc w:val="both"/>
        <w:ind w:firstLine="223"/>
        <w:spacing w:after="0" w:line="266" w:lineRule="auto"/>
        <w:rPr>
          <w:sz w:val="20"/>
          <w:szCs w:val="20"/>
          <w:color w:val="auto"/>
        </w:rPr>
      </w:pPr>
      <w:r>
        <w:rPr>
          <w:rFonts w:ascii="Times New Roman" w:cs="Times New Roman" w:eastAsia="Times New Roman" w:hAnsi="Times New Roman"/>
          <w:sz w:val="18"/>
          <w:szCs w:val="18"/>
          <w:color w:val="auto"/>
        </w:rPr>
        <w:t>During the thirty-nine weeks ended May 28, 2022, the Board of Directors granted performance stock units under the Company’s equity compensation plan. Performance stock units vest in a range between 0% and 200% based upon certain performance criteria in a three-year period. Performance stock units were valued using a Monte Carlo simulation.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performance stock unit activity for the thirty-nine weeks ended May 28, 2022:</w:t>
      </w:r>
    </w:p>
    <w:p>
      <w:pPr>
        <w:spacing w:after="0" w:line="316" w:lineRule="exact"/>
        <w:rPr>
          <w:sz w:val="20"/>
          <w:szCs w:val="20"/>
          <w:color w:val="auto"/>
        </w:rPr>
      </w:pPr>
    </w:p>
    <w:tbl>
      <w:tblPr>
        <w:tblLayout w:type="fixed"/>
        <w:tblInd w:w="218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46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color w:val="auto"/>
              </w:rPr>
              <w:t>Units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Weighted average</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grant-date fair value</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August 28, 2021</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380,097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w:t>
            </w:r>
          </w:p>
        </w:tc>
        <w:tc>
          <w:tcPr>
            <w:tcW w:w="0" w:type="dxa"/>
            <w:vAlign w:val="bottom"/>
          </w:tcPr>
          <w:p>
            <w:pPr>
              <w:spacing w:after="0"/>
              <w:rPr>
                <w:sz w:val="1"/>
                <w:szCs w:val="1"/>
                <w:color w:val="auto"/>
              </w:rPr>
            </w:pPr>
          </w:p>
        </w:tc>
      </w:tr>
      <w:tr>
        <w:trPr>
          <w:trHeight w:val="250"/>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50,212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63.42</w:t>
            </w:r>
          </w:p>
        </w:tc>
        <w:tc>
          <w:tcPr>
            <w:tcW w:w="0" w:type="dxa"/>
            <w:vAlign w:val="bottom"/>
          </w:tcPr>
          <w:p>
            <w:pPr>
              <w:spacing w:after="0"/>
              <w:rPr>
                <w:sz w:val="1"/>
                <w:szCs w:val="1"/>
                <w:color w:val="auto"/>
              </w:rPr>
            </w:pPr>
          </w:p>
        </w:tc>
      </w:tr>
      <w:tr>
        <w:trPr>
          <w:trHeight w:val="273"/>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(166,688)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0" w:type="dxa"/>
            <w:vAlign w:val="bottom"/>
          </w:tcPr>
          <w:p>
            <w:pPr>
              <w:spacing w:after="0"/>
              <w:rPr>
                <w:sz w:val="1"/>
                <w:szCs w:val="1"/>
                <w:color w:val="auto"/>
              </w:rPr>
            </w:pPr>
          </w:p>
        </w:tc>
      </w:tr>
      <w:tr>
        <w:trPr>
          <w:trHeight w:val="267"/>
        </w:trPr>
        <w:tc>
          <w:tcPr>
            <w:tcW w:w="3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(8,083)</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18.82</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May 28, 2022</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255,538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32.80</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198"/>
        <w:spacing w:after="0" w:line="282" w:lineRule="auto"/>
        <w:rPr>
          <w:sz w:val="20"/>
          <w:szCs w:val="20"/>
          <w:color w:val="auto"/>
        </w:rPr>
      </w:pPr>
      <w:r>
        <w:rPr>
          <w:rFonts w:ascii="Times New Roman" w:cs="Times New Roman" w:eastAsia="Times New Roman" w:hAnsi="Times New Roman"/>
          <w:sz w:val="18"/>
          <w:szCs w:val="18"/>
          <w:color w:val="auto"/>
        </w:rPr>
        <w:t>As of May 28, 2022, the Company had $4.3 million of total unrecognized compensation cost related to performance stock units that will be recognized over a weighted average period of 1.3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256" w:lineRule="exact"/>
        <w:rPr>
          <w:sz w:val="20"/>
          <w:szCs w:val="20"/>
          <w:color w:val="auto"/>
        </w:rPr>
      </w:pPr>
    </w:p>
    <w:p>
      <w:pPr>
        <w:jc w:val="both"/>
        <w:ind w:firstLine="215"/>
        <w:spacing w:after="0" w:line="266" w:lineRule="auto"/>
        <w:rPr>
          <w:sz w:val="20"/>
          <w:szCs w:val="20"/>
          <w:color w:val="auto"/>
        </w:rPr>
      </w:pPr>
      <w:r>
        <w:rPr>
          <w:rFonts w:ascii="Times New Roman" w:cs="Times New Roman" w:eastAsia="Times New Roman" w:hAnsi="Times New Roman"/>
          <w:sz w:val="18"/>
          <w:szCs w:val="18"/>
          <w:color w:val="auto"/>
        </w:rPr>
        <w:t>Stock appreciation rights (“SARs”) permit the holder to participate in the appreciation of the Company’s common stock price and are awarded to non-employee, consultants of the Company. The Company’s SARs settle in shares of its common stock once the applicable vesting criteria has been met. SARs cliff vest three years from the date of grant and must be exercised within ten years.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SARs activity for the thirty-nine weeks ended May 28, 2022:</w:t>
      </w:r>
    </w:p>
    <w:p>
      <w:pPr>
        <w:spacing w:after="0" w:line="275" w:lineRule="exact"/>
        <w:rPr>
          <w:sz w:val="20"/>
          <w:szCs w:val="20"/>
          <w:color w:val="auto"/>
        </w:rPr>
      </w:pPr>
    </w:p>
    <w:tbl>
      <w:tblPr>
        <w:tblLayout w:type="fixed"/>
        <w:tblInd w:w="142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Weighted average</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4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Shares underlying</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Weighted average</w:t>
            </w: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remaining</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contractual life</w:t>
            </w:r>
          </w:p>
        </w:tc>
        <w:tc>
          <w:tcPr>
            <w:tcW w:w="0" w:type="dxa"/>
            <w:vAlign w:val="bottom"/>
          </w:tcPr>
          <w:p>
            <w:pPr>
              <w:spacing w:after="0"/>
              <w:rPr>
                <w:sz w:val="1"/>
                <w:szCs w:val="1"/>
                <w:color w:val="auto"/>
              </w:rPr>
            </w:pPr>
          </w:p>
        </w:tc>
      </w:tr>
      <w:tr>
        <w:trPr>
          <w:trHeight w:val="213"/>
        </w:trPr>
        <w:tc>
          <w:tcPr>
            <w:tcW w:w="376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SARs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exercise price</w:t>
            </w:r>
          </w:p>
        </w:tc>
        <w:tc>
          <w:tcPr>
            <w:tcW w:w="1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(years)</w:t>
            </w: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August 28,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24.20</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Exercised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52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May 28,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24.20</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0" w:type="dxa"/>
            <w:vAlign w:val="bottom"/>
          </w:tcPr>
          <w:p>
            <w:pPr>
              <w:spacing w:after="0"/>
              <w:rPr>
                <w:sz w:val="1"/>
                <w:szCs w:val="1"/>
                <w:color w:val="auto"/>
              </w:rPr>
            </w:pPr>
          </w:p>
        </w:tc>
      </w:tr>
      <w:tr>
        <w:trPr>
          <w:trHeight w:val="253"/>
        </w:trPr>
        <w:tc>
          <w:tcPr>
            <w:tcW w:w="3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as of May 28, 2022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24.20</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0" w:type="dxa"/>
            <w:vAlign w:val="bottom"/>
          </w:tcPr>
          <w:p>
            <w:pPr>
              <w:spacing w:after="0"/>
              <w:rPr>
                <w:sz w:val="1"/>
                <w:szCs w:val="1"/>
                <w:color w:val="auto"/>
              </w:rPr>
            </w:pPr>
          </w:p>
        </w:tc>
      </w:tr>
      <w:tr>
        <w:trPr>
          <w:trHeight w:val="270"/>
        </w:trPr>
        <w:tc>
          <w:tcPr>
            <w:tcW w:w="37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as of May 28, 2022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183"/>
        <w:spacing w:after="0" w:line="282" w:lineRule="auto"/>
        <w:rPr>
          <w:sz w:val="20"/>
          <w:szCs w:val="20"/>
          <w:color w:val="auto"/>
        </w:rPr>
      </w:pPr>
      <w:r>
        <w:rPr>
          <w:rFonts w:ascii="Times New Roman" w:cs="Times New Roman" w:eastAsia="Times New Roman" w:hAnsi="Times New Roman"/>
          <w:sz w:val="18"/>
          <w:szCs w:val="18"/>
          <w:color w:val="auto"/>
        </w:rPr>
        <w:t>As of May 28, 2022, the Company had $0.1 million of total unrecognized compensation cost related to its SARs that will be recognized over a weighted average period of 0.4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Restructuring and Related Charges</w:t>
      </w:r>
    </w:p>
    <w:p>
      <w:pPr>
        <w:spacing w:after="0" w:line="256" w:lineRule="exact"/>
        <w:rPr>
          <w:sz w:val="20"/>
          <w:szCs w:val="20"/>
          <w:color w:val="auto"/>
        </w:rPr>
      </w:pPr>
    </w:p>
    <w:p>
      <w:pPr>
        <w:jc w:val="both"/>
        <w:ind w:firstLine="185"/>
        <w:spacing w:after="0" w:line="261" w:lineRule="auto"/>
        <w:rPr>
          <w:sz w:val="20"/>
          <w:szCs w:val="20"/>
          <w:color w:val="auto"/>
        </w:rPr>
      </w:pPr>
      <w:r>
        <w:rPr>
          <w:rFonts w:ascii="Times New Roman" w:cs="Times New Roman" w:eastAsia="Times New Roman" w:hAnsi="Times New Roman"/>
          <w:sz w:val="18"/>
          <w:szCs w:val="18"/>
          <w:color w:val="auto"/>
        </w:rPr>
        <w:t>In May 2020, the Company announced certain restructuring activities in conjunction with the implementation of the Company’s future-state organization design, which created a fully integrated organization with its completed acquisition of Quest Nutrition, LLC on November 7, 2019. The new organization design became effective on August 31, 2020. These restructuring plans primarily included workforce reductions, changes in management structure, and the relocation of business activities from one location to another.</w:t>
      </w:r>
    </w:p>
    <w:p>
      <w:pPr>
        <w:spacing w:after="0" w:line="207" w:lineRule="exact"/>
        <w:rPr>
          <w:sz w:val="20"/>
          <w:szCs w:val="20"/>
          <w:color w:val="auto"/>
        </w:rPr>
      </w:pPr>
    </w:p>
    <w:p>
      <w:pPr>
        <w:jc w:val="both"/>
        <w:ind w:firstLine="242"/>
        <w:spacing w:after="0" w:line="282" w:lineRule="auto"/>
        <w:rPr>
          <w:sz w:val="20"/>
          <w:szCs w:val="20"/>
          <w:color w:val="auto"/>
        </w:rPr>
      </w:pPr>
      <w:r>
        <w:rPr>
          <w:rFonts w:ascii="Times New Roman" w:cs="Times New Roman" w:eastAsia="Times New Roman" w:hAnsi="Times New Roman"/>
          <w:sz w:val="18"/>
          <w:szCs w:val="18"/>
          <w:color w:val="auto"/>
        </w:rPr>
        <w:t>The Company substantially completed its restructuring activities during the third quarter of fiscal 2022. Since the announcement of the restructuring activities in May 2020, the Company incurred aggregate restructuring and restructuring-related costs of $9.9 million.</w:t>
      </w:r>
    </w:p>
    <w:p>
      <w:pPr>
        <w:spacing w:after="0" w:line="189" w:lineRule="exact"/>
        <w:rPr>
          <w:sz w:val="20"/>
          <w:szCs w:val="20"/>
          <w:color w:val="auto"/>
        </w:rPr>
      </w:pPr>
    </w:p>
    <w:p>
      <w:pPr>
        <w:jc w:val="both"/>
        <w:ind w:firstLine="219"/>
        <w:spacing w:after="0" w:line="256" w:lineRule="auto"/>
        <w:rPr>
          <w:sz w:val="20"/>
          <w:szCs w:val="20"/>
          <w:color w:val="auto"/>
        </w:rPr>
      </w:pPr>
      <w:r>
        <w:rPr>
          <w:rFonts w:ascii="Times New Roman" w:cs="Times New Roman" w:eastAsia="Times New Roman" w:hAnsi="Times New Roman"/>
          <w:sz w:val="18"/>
          <w:szCs w:val="18"/>
          <w:color w:val="auto"/>
        </w:rPr>
        <w:t xml:space="preserve">The one-time termination benefits and employee severance costs incurred in relation to these restructuring activities were accounted for in accordance with ASC Topic 420, Exit or Disposal Cost Obligations, and ASC Topic 712, Compensation - Nonretirement Postemployment Benefits, respectively. The Company recognized a liability and the related expense for these restructuring costs when the liability was incurred and could be measured. Restructuring accruals were based upon management estimates at the time and could change depending upon changes in facts and circumstances subsequent to the date the original liability was recorded. The effect of these restructuring activities was included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on the Condensed Consolidated Statements of Operations and Comprehensive Income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Changes to the restructuring liability during the thirty-nine weeks ended May 28, 2022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1420" w:type="dxa"/>
        <w:tblCellMar>
          <w:top w:w="0" w:type="dxa"/>
          <w:left w:w="0" w:type="dxa"/>
          <w:bottom w:w="0" w:type="dxa"/>
          <w:right w:w="0" w:type="dxa"/>
        </w:tblCellMar>
      </w:tblPr>
      <w:tr>
        <w:trPr>
          <w:trHeight w:val="184"/>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vMerge w:val="restart"/>
          </w:tcPr>
          <w:p>
            <w:pPr>
              <w:spacing w:after="0"/>
              <w:rPr>
                <w:sz w:val="16"/>
                <w:szCs w:val="16"/>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Termination benefits</w:t>
            </w:r>
          </w:p>
        </w:tc>
        <w:tc>
          <w:tcPr>
            <w:tcW w:w="320" w:type="dxa"/>
            <w:vAlign w:val="bottom"/>
          </w:tcPr>
          <w:p>
            <w:pPr>
              <w:spacing w:after="0"/>
              <w:rPr>
                <w:sz w:val="16"/>
                <w:szCs w:val="16"/>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vMerge w:val="restart"/>
          </w:tcPr>
          <w:p>
            <w:pPr>
              <w:spacing w:after="0"/>
              <w:rPr>
                <w:sz w:val="16"/>
                <w:szCs w:val="16"/>
                <w:color w:val="auto"/>
              </w:rPr>
            </w:pPr>
          </w:p>
        </w:tc>
        <w:tc>
          <w:tcPr>
            <w:tcW w:w="1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Restructuring liability</w:t>
            </w:r>
          </w:p>
        </w:tc>
        <w:tc>
          <w:tcPr>
            <w:tcW w:w="0" w:type="dxa"/>
            <w:vAlign w:val="bottom"/>
          </w:tcPr>
          <w:p>
            <w:pPr>
              <w:spacing w:after="0"/>
              <w:rPr>
                <w:sz w:val="1"/>
                <w:szCs w:val="1"/>
                <w:color w:val="auto"/>
              </w:rPr>
            </w:pPr>
          </w:p>
        </w:tc>
      </w:tr>
      <w:tr>
        <w:trPr>
          <w:trHeight w:val="213"/>
        </w:trPr>
        <w:tc>
          <w:tcPr>
            <w:tcW w:w="35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and severance</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5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August 28, 2021</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center"/>
              <w:ind w:left="5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851</w:t>
            </w:r>
          </w:p>
        </w:tc>
        <w:tc>
          <w:tcPr>
            <w:tcW w:w="0" w:type="dxa"/>
            <w:vAlign w:val="bottom"/>
          </w:tcPr>
          <w:p>
            <w:pPr>
              <w:spacing w:after="0"/>
              <w:rPr>
                <w:sz w:val="1"/>
                <w:szCs w:val="1"/>
                <w:color w:val="auto"/>
              </w:rPr>
            </w:pPr>
          </w:p>
        </w:tc>
      </w:tr>
      <w:tr>
        <w:trPr>
          <w:trHeight w:val="267"/>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Charges</w:t>
            </w: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center"/>
              <w:ind w:left="719"/>
              <w:spacing w:after="0"/>
              <w:rPr>
                <w:sz w:val="20"/>
                <w:szCs w:val="20"/>
                <w:color w:val="auto"/>
              </w:rPr>
            </w:pPr>
            <w:r>
              <w:rPr>
                <w:rFonts w:ascii="Times New Roman" w:cs="Times New Roman" w:eastAsia="Times New Roman" w:hAnsi="Times New Roman"/>
                <w:sz w:val="16"/>
                <w:szCs w:val="16"/>
                <w:color w:val="auto"/>
                <w:w w:val="99"/>
              </w:rPr>
              <w:t>76</w:t>
            </w: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70"/>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payments</w:t>
            </w: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center"/>
              <w:ind w:left="699"/>
              <w:spacing w:after="0"/>
              <w:rPr>
                <w:sz w:val="20"/>
                <w:szCs w:val="20"/>
                <w:color w:val="auto"/>
              </w:rPr>
            </w:pPr>
            <w:r>
              <w:rPr>
                <w:rFonts w:ascii="Times New Roman" w:cs="Times New Roman" w:eastAsia="Times New Roman" w:hAnsi="Times New Roman"/>
                <w:sz w:val="16"/>
                <w:szCs w:val="16"/>
                <w:color w:val="auto"/>
                <w:w w:val="97"/>
              </w:rPr>
              <w:t>(76)</w:t>
            </w:r>
          </w:p>
        </w:tc>
        <w:tc>
          <w:tcPr>
            <w:tcW w:w="14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0" w:type="dxa"/>
            <w:vAlign w:val="bottom"/>
          </w:tcPr>
          <w:p>
            <w:pPr>
              <w:spacing w:after="0"/>
              <w:rPr>
                <w:sz w:val="1"/>
                <w:szCs w:val="1"/>
                <w:color w:val="auto"/>
              </w:rPr>
            </w:pPr>
          </w:p>
        </w:tc>
      </w:tr>
      <w:tr>
        <w:trPr>
          <w:trHeight w:val="226"/>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Balance as of May 28, 2022</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center"/>
              <w:ind w:left="5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278"/>
        <w:spacing w:after="0" w:line="258" w:lineRule="auto"/>
        <w:rPr>
          <w:sz w:val="20"/>
          <w:szCs w:val="20"/>
          <w:color w:val="auto"/>
        </w:rPr>
      </w:pPr>
      <w:r>
        <w:rPr>
          <w:rFonts w:ascii="Times New Roman" w:cs="Times New Roman" w:eastAsia="Times New Roman" w:hAnsi="Times New Roman"/>
          <w:sz w:val="18"/>
          <w:szCs w:val="18"/>
          <w:color w:val="auto"/>
        </w:rPr>
        <w:t>The Company’s total restructuring and restructuring-related costs incurred in the thirty-nine weeks ended May 28, 2022 were $0.1 million, which included an immaterial gain on lease termination related to its lease in the Netherlands in addition to the restructuring costs shown above. Because the Company substantially completed its restructuring activities during the third quarter of fiscal 2022, no such restructuring or restructuring-related costs were incurred in the thirteen weeks ended May 28, 2022. In the thirteen and thirty-nine weeks ended May 29, 2021, the Company incurred a total of $0.2 million and $4.0 million in restructuring and restructuring-related costs, respectively.</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4" w:lineRule="exact"/>
        <w:rPr>
          <w:sz w:val="20"/>
          <w:szCs w:val="20"/>
          <w:color w:val="auto"/>
        </w:rPr>
      </w:pPr>
    </w:p>
    <w:p>
      <w:pPr>
        <w:jc w:val="both"/>
        <w:ind w:firstLine="234"/>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(this “Report”) contains forward-looking statements.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include, but are not limited to, the effect of the COVID-19 pandemic on our business, financial condition and results of operations, our expectations regarding our supply chain, including but not limited to, raw materials and logistics costs, the effect of price increases, and the unforeseen business disruptions or other effects due to current global geopolitical tensions, including relating to Ukraine. We disclaim any undertaking to publicly update or revise any forward-looking statements contained herein to reflect any change in our expectations with regard thereto or any change in events, conditions or circumstances on which any such statement is based, except as required by applicable law. These statements reflect our current views with respect to future events and are based on assumptions subject to risks and uncertainties. Such risks and uncertainties include those related to our ability to sell our products.</w:t>
      </w:r>
    </w:p>
    <w:p>
      <w:pPr>
        <w:spacing w:after="0" w:line="219" w:lineRule="exact"/>
        <w:rPr>
          <w:sz w:val="20"/>
          <w:szCs w:val="20"/>
          <w:color w:val="auto"/>
        </w:rPr>
      </w:pPr>
    </w:p>
    <w:p>
      <w:pPr>
        <w:jc w:val="both"/>
        <w:ind w:firstLine="193"/>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included in our Annual Report on Form 10-K for the fiscal year ended August 28, 2021 (“Annual Report”) and our unaudited condensed consolidated financial statements and the related notes appearing elsewhere in this Report. In addition to historical information, the following discussion contains forward-looking statements, including, but not limited to, statements regarding the Company’s expectation for future performance, liquidity and capital resources that involve risks, uncertainties and assumptions that could cause actual results to differ materially from the Company’s expectations. The Company’s actual results may differ materially from those contained in or implied by any forward-looking statements. Factors that could cause such differences include those identified in Item 1A. “Risk Factors” of our Annual Report. The Company assumes no obligation to update any of these forward-looking statements.</w:t>
      </w:r>
    </w:p>
    <w:p>
      <w:pPr>
        <w:spacing w:after="0" w:line="212" w:lineRule="exact"/>
        <w:rPr>
          <w:sz w:val="20"/>
          <w:szCs w:val="20"/>
          <w:color w:val="auto"/>
        </w:rPr>
      </w:pPr>
    </w:p>
    <w:p>
      <w:pPr>
        <w:ind w:right="60" w:firstLine="18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requires otherwise in this Report, the terms “we,” “us,” “our,” the “Company” and “Simply Good Foods” refer to The Simply Good Foods Company and its subsidiaries.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189"/>
        <w:spacing w:after="0" w:line="258" w:lineRule="auto"/>
        <w:rPr>
          <w:sz w:val="20"/>
          <w:szCs w:val="20"/>
          <w:color w:val="auto"/>
        </w:rPr>
      </w:pPr>
      <w:r>
        <w:rPr>
          <w:rFonts w:ascii="Times New Roman" w:cs="Times New Roman" w:eastAsia="Times New Roman" w:hAnsi="Times New Roman"/>
          <w:sz w:val="18"/>
          <w:szCs w:val="18"/>
          <w:color w:val="auto"/>
        </w:rPr>
        <w:t>The Simply Good Foods Company is a consumer packaged food and beverage company that aims to lead the nutritious snacking movement with trusted brands that offer a variety of convenient, innovative, great-tasting, better-for-you snacks and meal replacements. The product portfolio we develop, market and sell consists primarily of protein bars, ready-to-drink (“RTD”) shakes, sweet and salty snacks and confectionery products marketed under the Atkins®, Atkins Endulge®, and Quest® brand names. We believe Simply Good Foods is poised to expand its wellness platform through innovation and organic growth along with acquisition opportunities in the nutritional snacking space.</w:t>
      </w:r>
    </w:p>
    <w:p>
      <w:pPr>
        <w:spacing w:after="0" w:line="210" w:lineRule="exact"/>
        <w:rPr>
          <w:sz w:val="20"/>
          <w:szCs w:val="20"/>
          <w:color w:val="auto"/>
        </w:rPr>
      </w:pPr>
    </w:p>
    <w:p>
      <w:pPr>
        <w:jc w:val="both"/>
        <w:ind w:firstLine="215"/>
        <w:spacing w:after="0" w:line="258" w:lineRule="auto"/>
        <w:rPr>
          <w:sz w:val="20"/>
          <w:szCs w:val="20"/>
          <w:color w:val="auto"/>
        </w:rPr>
      </w:pPr>
      <w:r>
        <w:rPr>
          <w:rFonts w:ascii="Times New Roman" w:cs="Times New Roman" w:eastAsia="Times New Roman" w:hAnsi="Times New Roman"/>
          <w:sz w:val="18"/>
          <w:szCs w:val="18"/>
          <w:color w:val="auto"/>
        </w:rPr>
        <w:t>Our nutritious snacking platform consists of brands that specialize in providing products for consumers that follow certain nutritional philosophies and health-and-wellness trends: Atkins® for those following a low-carb lifestyle and Quest® for consumers seeking a variety of protein-rich foods and beverages that also limit sugars and simple carbs. We distribute our products in major retail channels, primarily in North America, including grocery, club, and mass merchandise, as well as through e-commerce, convenience, specialty, and other channels. Our portfolio of nutritious snacking brands gives us a strong platform with which to introduce new products, expand distribution, and attract new consumers to our products.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w:t>
      </w:r>
    </w:p>
    <w:p>
      <w:pPr>
        <w:spacing w:after="0" w:line="256" w:lineRule="exact"/>
        <w:rPr>
          <w:sz w:val="20"/>
          <w:szCs w:val="20"/>
          <w:color w:val="auto"/>
        </w:rPr>
      </w:pPr>
    </w:p>
    <w:p>
      <w:pPr>
        <w:jc w:val="both"/>
        <w:ind w:firstLine="187"/>
        <w:spacing w:after="0" w:line="258" w:lineRule="auto"/>
        <w:rPr>
          <w:sz w:val="20"/>
          <w:szCs w:val="20"/>
          <w:color w:val="auto"/>
        </w:rPr>
      </w:pPr>
      <w:r>
        <w:rPr>
          <w:rFonts w:ascii="Times New Roman" w:cs="Times New Roman" w:eastAsia="Times New Roman" w:hAnsi="Times New Roman"/>
          <w:sz w:val="18"/>
          <w:szCs w:val="18"/>
          <w:color w:val="auto"/>
        </w:rPr>
        <w:t>For the thirteen and thirty-nine weeks ended May 28, 2022, our business has continued to improve from the end of fiscal year 2021, driven in part by the increasing normalization of consumer mobility and shopper traffic patterns in brick-and-mortar retailers versus prior periods that were pressured by COVID-19 mitigation strategies, including movement restrictions and closures of or reduced access to customer establishments. We expect our business performance during fiscal year 2022 will continue to be affected by the dynamic macroeconomic environment in the United States and elsewhere, elevated levels of supply chain cost inflation, and the level of consumer mobility, which includes the rate at which consumers return to working outside the home.</w:t>
      </w:r>
    </w:p>
    <w:p>
      <w:pPr>
        <w:spacing w:after="0" w:line="210" w:lineRule="exact"/>
        <w:rPr>
          <w:sz w:val="20"/>
          <w:szCs w:val="20"/>
          <w:color w:val="auto"/>
        </w:rPr>
      </w:pPr>
    </w:p>
    <w:p>
      <w:pPr>
        <w:jc w:val="both"/>
        <w:ind w:firstLine="259"/>
        <w:spacing w:after="0" w:line="255" w:lineRule="auto"/>
        <w:rPr>
          <w:sz w:val="20"/>
          <w:szCs w:val="20"/>
          <w:color w:val="auto"/>
        </w:rPr>
      </w:pPr>
      <w:r>
        <w:rPr>
          <w:rFonts w:ascii="Times New Roman" w:cs="Times New Roman" w:eastAsia="Times New Roman" w:hAnsi="Times New Roman"/>
          <w:sz w:val="18"/>
          <w:szCs w:val="18"/>
          <w:color w:val="auto"/>
        </w:rPr>
        <w:t>Overall consumer spending particularly in the United States economy continues to recover from the effects of the COVID-19 pandemic, which has resulted in well documented industry-wide supply chain disruptions across the United States and globally. As a result, during the thirteen and thirty-nine weeks ended May 28, 2022, we experienced corresponding unfavorable effects of higher raw material costs, higher freight and logistics costs, and supply chain challenges, including supply chain disruptions resulting from labor shortages as well as disruptions in ingredients. We expect to continue to see these cost pressures and supply chain challenges for the remainder of fiscal year 2022 and into fiscal year 2023. We have also continued to see contract manufacturer and logistics challenges, largely related to availability of labor, which we believe along with the above mentioned ingredients shortages have contributed to lower</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retail and e-commerce sales of our products due to out-of-stock situations, delayed recognition of sales and higher than historical inventory levels. We could experience additional lost sale opportunities at our retail and e-commerce customers if our products are not available for purchase because of continued or expanded disruptions in our supply chain relating to an inability to obtain ingredients or packaging, labor challenges at our logistics providers or our contract manufacturers, or if our customers experience delays in stocking our products.</w:t>
      </w:r>
    </w:p>
    <w:p>
      <w:pPr>
        <w:spacing w:after="0" w:line="207" w:lineRule="exact"/>
        <w:rPr>
          <w:sz w:val="20"/>
          <w:szCs w:val="20"/>
          <w:color w:val="auto"/>
        </w:rPr>
      </w:pPr>
    </w:p>
    <w:p>
      <w:pPr>
        <w:jc w:val="both"/>
        <w:ind w:firstLine="190"/>
        <w:spacing w:after="0" w:line="258" w:lineRule="auto"/>
        <w:rPr>
          <w:sz w:val="20"/>
          <w:szCs w:val="20"/>
          <w:color w:val="auto"/>
        </w:rPr>
      </w:pPr>
      <w:r>
        <w:rPr>
          <w:rFonts w:ascii="Times New Roman" w:cs="Times New Roman" w:eastAsia="Times New Roman" w:hAnsi="Times New Roman"/>
          <w:sz w:val="18"/>
          <w:szCs w:val="18"/>
          <w:color w:val="auto"/>
        </w:rPr>
        <w:t>We have actively engaged with our retail customers, contract manufacturers, and logistics and transportation providers, to meet demand for our products and to remain informed of any challenges within our business operations. We have also instituted a price increase effective in September 2021, the first month of our fiscal year 2022, and in April 2022 management announced our plans to institute an additional price increase effective late in our fiscal fourth quarter of 2022. Management believes these price increases and additional cost savings initiatives will enable us to continue to invest in projects that drive growth.</w:t>
      </w:r>
    </w:p>
    <w:p>
      <w:pPr>
        <w:spacing w:after="0" w:line="210" w:lineRule="exact"/>
        <w:rPr>
          <w:sz w:val="20"/>
          <w:szCs w:val="20"/>
          <w:color w:val="auto"/>
        </w:rPr>
      </w:pPr>
    </w:p>
    <w:p>
      <w:pPr>
        <w:jc w:val="both"/>
        <w:ind w:firstLine="196"/>
        <w:spacing w:after="0" w:line="254" w:lineRule="auto"/>
        <w:rPr>
          <w:sz w:val="20"/>
          <w:szCs w:val="20"/>
          <w:color w:val="auto"/>
        </w:rPr>
      </w:pPr>
      <w:r>
        <w:rPr>
          <w:rFonts w:ascii="Times New Roman" w:cs="Times New Roman" w:eastAsia="Times New Roman" w:hAnsi="Times New Roman"/>
          <w:sz w:val="18"/>
          <w:szCs w:val="18"/>
          <w:color w:val="auto"/>
        </w:rPr>
        <w:t>The improvement in consumer mobility and shopper traffic patterns experienced this fiscal year has been variable, and there continues to be uncertainty related to the sustainability and longevity of these trends. The ultimate effect COVID-19, supply chain challenges, cost pressures discussed above, and the overall effects of the current high inflation environment on consumer purchasing patterns could have on our business continues to be not fully known. Additionally, management is continuing to monitor the conflict in Ukraine, especially regarding the availability and cost of raw materials that are produced in this region. Management is also monitoring for signs of any expansion of economic or supply chain disruptions or broader supply chain inflationary costs resulting either directly or indirectly from the crisis. Factors contributing to the uncertainty described above, among other things, include (i) continued supply chain disruptions, including disruptions resulting from labor shortages and other cost pressures, (ii) changes to customer operations, (iii) a reversal in improving consumer purchasing and consumption behavior, and (iv) unforeseen business disruptions or other effects due to current global geopolitical tensions, including relating directly or indirectly to the Ukraine crisis.</w:t>
      </w:r>
    </w:p>
    <w:p>
      <w:pPr>
        <w:spacing w:after="0" w:line="215" w:lineRule="exact"/>
        <w:rPr>
          <w:sz w:val="20"/>
          <w:szCs w:val="20"/>
          <w:color w:val="auto"/>
        </w:rPr>
      </w:pPr>
    </w:p>
    <w:p>
      <w:pPr>
        <w:jc w:val="both"/>
        <w:ind w:firstLine="204"/>
        <w:spacing w:after="0" w:line="261" w:lineRule="auto"/>
        <w:rPr>
          <w:sz w:val="20"/>
          <w:szCs w:val="20"/>
          <w:color w:val="auto"/>
        </w:rPr>
      </w:pPr>
      <w:r>
        <w:rPr>
          <w:rFonts w:ascii="Times New Roman" w:cs="Times New Roman" w:eastAsia="Times New Roman" w:hAnsi="Times New Roman"/>
          <w:sz w:val="18"/>
          <w:szCs w:val="18"/>
          <w:color w:val="auto"/>
        </w:rPr>
        <w:t>Based on information available to us as of the date of this Report, we believe we will be able to deliver products at acceptable levels to fulfill customer orders on a timely basis; therefore, we expect our products will continue to be available for purchase to meet consumer meal replacement and snacking needs for the foreseeable future. We continue to monitor customer and consumer demand along with our supply chain and logistics capabilities and intend to adapt our plans as needed to continue to drive our business and meet our obligations.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and Related Charges</w:t>
      </w:r>
    </w:p>
    <w:p>
      <w:pPr>
        <w:spacing w:after="0" w:line="256" w:lineRule="exact"/>
        <w:rPr>
          <w:sz w:val="20"/>
          <w:szCs w:val="20"/>
          <w:color w:val="auto"/>
        </w:rPr>
      </w:pPr>
    </w:p>
    <w:p>
      <w:pPr>
        <w:jc w:val="both"/>
        <w:ind w:firstLine="185"/>
        <w:spacing w:after="0" w:line="261" w:lineRule="auto"/>
        <w:rPr>
          <w:sz w:val="20"/>
          <w:szCs w:val="20"/>
          <w:color w:val="auto"/>
        </w:rPr>
      </w:pPr>
      <w:r>
        <w:rPr>
          <w:rFonts w:ascii="Times New Roman" w:cs="Times New Roman" w:eastAsia="Times New Roman" w:hAnsi="Times New Roman"/>
          <w:sz w:val="18"/>
          <w:szCs w:val="18"/>
          <w:color w:val="auto"/>
        </w:rPr>
        <w:t>In May 2020, we announced certain restructuring activities in conjunction with the implementation of our future-state organization design, which created a fully integrated organization with our completed acquisition of Quest Nutrition, LLC on November 7, 2019. The new organization design became effective on August 31, 2020. These restructuring plans primarily included workforce reductions, changes in management structure, and the relocation of business activities from one location to another.</w:t>
      </w:r>
    </w:p>
    <w:p>
      <w:pPr>
        <w:spacing w:after="0" w:line="207" w:lineRule="exact"/>
        <w:rPr>
          <w:sz w:val="20"/>
          <w:szCs w:val="20"/>
          <w:color w:val="auto"/>
        </w:rPr>
      </w:pPr>
    </w:p>
    <w:p>
      <w:pPr>
        <w:jc w:val="both"/>
        <w:ind w:firstLine="213"/>
        <w:spacing w:after="0" w:line="266" w:lineRule="auto"/>
        <w:rPr>
          <w:sz w:val="20"/>
          <w:szCs w:val="20"/>
          <w:color w:val="auto"/>
        </w:rPr>
      </w:pPr>
      <w:r>
        <w:rPr>
          <w:rFonts w:ascii="Times New Roman" w:cs="Times New Roman" w:eastAsia="Times New Roman" w:hAnsi="Times New Roman"/>
          <w:sz w:val="18"/>
          <w:szCs w:val="18"/>
          <w:color w:val="auto"/>
        </w:rPr>
        <w:t>We substantially completed our restructuring activities during the third quarter of fiscal 2022. Since the announcement of the restructuring activities in May 2020, we incurred aggregate restructuring and restructuring-related costs of $9.9 million. As of May 28, 2022, there was no outstanding restructuring liability.</w:t>
      </w:r>
    </w:p>
    <w:p>
      <w:pPr>
        <w:spacing w:after="0" w:line="203" w:lineRule="exact"/>
        <w:rPr>
          <w:sz w:val="20"/>
          <w:szCs w:val="20"/>
          <w:color w:val="auto"/>
        </w:rPr>
      </w:pPr>
    </w:p>
    <w:p>
      <w:pPr>
        <w:jc w:val="both"/>
        <w:ind w:firstLine="240"/>
        <w:spacing w:after="0" w:line="256" w:lineRule="auto"/>
        <w:rPr>
          <w:sz w:val="20"/>
          <w:szCs w:val="20"/>
          <w:color w:val="auto"/>
        </w:rPr>
      </w:pPr>
      <w:r>
        <w:rPr>
          <w:rFonts w:ascii="Times New Roman" w:cs="Times New Roman" w:eastAsia="Times New Roman" w:hAnsi="Times New Roman"/>
          <w:sz w:val="18"/>
          <w:szCs w:val="18"/>
          <w:color w:val="auto"/>
        </w:rPr>
        <w:t xml:space="preserve">Total restructuring and restructuring-related costs incurred in the thirty-nine weeks ended May 28, 2022 were $0.1 million. Because we substantially completed our restructuring activities during the third quarter of fiscal 2022, no such restructuring or restructuring-related costs were incurred in the thirteen weeks ended May 28, 2022. In the thirteen and thirty-nine weeks ended May 29, 2021, we incurred a total of $0.2 million and $4.0 million in restructuring and restructuring-related costs, respectively. The effect of these restructuring activities has been included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on the Condensed Consolidated Statements of Operations and Comprehensive Income. Refer to Note 13, Restructuring and Related Charges, of our Notes to Unaudited Condensed Consolidated Financial Statements in this Report for additional information regarding restructuring activities.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SimplyProtein Sale</w:t>
      </w:r>
    </w:p>
    <w:p>
      <w:pPr>
        <w:spacing w:after="0" w:line="256" w:lineRule="exact"/>
        <w:rPr>
          <w:sz w:val="20"/>
          <w:szCs w:val="20"/>
          <w:color w:val="auto"/>
        </w:rPr>
      </w:pPr>
    </w:p>
    <w:p>
      <w:pPr>
        <w:jc w:val="both"/>
        <w:ind w:firstLine="290"/>
        <w:spacing w:after="0" w:line="256" w:lineRule="auto"/>
        <w:rPr>
          <w:sz w:val="20"/>
          <w:szCs w:val="20"/>
          <w:color w:val="auto"/>
        </w:rPr>
      </w:pPr>
      <w:r>
        <w:rPr>
          <w:rFonts w:ascii="Times New Roman" w:cs="Times New Roman" w:eastAsia="Times New Roman" w:hAnsi="Times New Roman"/>
          <w:sz w:val="18"/>
          <w:szCs w:val="18"/>
          <w:color w:val="auto"/>
        </w:rPr>
        <w:t>Effective September 24, 2020, we sold the assets exclusively related to our SimplyProtein® brand of products for approximately $8.8 million of consideration, including cash of $5.8 million and a note receivable for $3.0 million, to a newly formed entity led by the Company’s former Canadian-based management team who had been responsible for this brand prior to the sale transaction (the “SimplyProtein Sale”). In addition to purchasing these assets, the buyer assumed certain liabilities related to the SimplyProtein® brand’s business. There was no gain or loss recognized as a result of the SimplyProtein Sale. The transaction has enabled our management to focus its full time and resources on our core Atkins® and Quest® branded businesses and other strategic initiatives.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Definitions</w:t>
      </w:r>
    </w:p>
    <w:p>
      <w:pPr>
        <w:spacing w:after="0" w:line="252" w:lineRule="exact"/>
        <w:rPr>
          <w:sz w:val="20"/>
          <w:szCs w:val="20"/>
          <w:color w:val="auto"/>
        </w:rPr>
      </w:pPr>
    </w:p>
    <w:p>
      <w:pPr>
        <w:jc w:val="both"/>
        <w:ind w:firstLine="26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Net sales consist primarily of product sales less the cost of promotional activities, slotting fees and other sales credits and adjustments,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product returns.</w:t>
      </w:r>
    </w:p>
    <w:p>
      <w:pPr>
        <w:spacing w:after="0" w:line="182" w:lineRule="exact"/>
        <w:rPr>
          <w:sz w:val="20"/>
          <w:szCs w:val="20"/>
          <w:color w:val="auto"/>
        </w:rPr>
      </w:pPr>
    </w:p>
    <w:p>
      <w:pPr>
        <w:jc w:val="both"/>
        <w:ind w:firstLine="1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Cost of goods sold. </w:t>
      </w:r>
      <w:r>
        <w:rPr>
          <w:rFonts w:ascii="Times New Roman" w:cs="Times New Roman" w:eastAsia="Times New Roman" w:hAnsi="Times New Roman"/>
          <w:sz w:val="18"/>
          <w:szCs w:val="18"/>
          <w:color w:val="auto"/>
        </w:rPr>
        <w:t>Cost of goods sold consists primarily of the costs we pay to our contract manufacturing partners to produce the products sold.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include the purchase of raw ingredients, packaging, shipping and handling, warehousing, depreciation of warehouse equipment, and a tolling charge for the contract manufacturer. Cost of goods sold includes products provided at no charge as part of promotions and the non-food materials provided with customer orders.</w:t>
      </w:r>
    </w:p>
    <w:p>
      <w:pPr>
        <w:spacing w:after="0" w:line="203" w:lineRule="exact"/>
        <w:rPr>
          <w:sz w:val="20"/>
          <w:szCs w:val="20"/>
          <w:color w:val="auto"/>
        </w:rPr>
      </w:pPr>
    </w:p>
    <w:p>
      <w:pPr>
        <w:jc w:val="both"/>
        <w:ind w:right="20" w:firstLine="26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Operating expenses consist primarily of selling and marketing, general and administrative, and depreciation and amortization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 The following is a brief description of the components of operating expenses:</w:t>
      </w:r>
    </w:p>
    <w:p>
      <w:pPr>
        <w:spacing w:after="0" w:line="18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comprise broker commissions, customer marketing, media and other marketing costs.</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comprise expenses associated with corporate and administrative functions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our business, including employee compensation, stock-based compensation, professional services, integration costs, restructuring costs, insurance and other general corporate expenses.</w:t>
      </w:r>
    </w:p>
    <w:p>
      <w:pPr>
        <w:spacing w:after="0" w:line="200"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costs consist of costs associated with the depreciation of fixed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capitalized leasehold improvements and amortization of intangible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jc w:val="both"/>
        <w:ind w:firstLine="222"/>
        <w:spacing w:after="0" w:line="254" w:lineRule="auto"/>
        <w:rPr>
          <w:sz w:val="20"/>
          <w:szCs w:val="20"/>
          <w:color w:val="auto"/>
        </w:rPr>
      </w:pPr>
      <w:r>
        <w:rPr>
          <w:rFonts w:ascii="Times New Roman" w:cs="Times New Roman" w:eastAsia="Times New Roman" w:hAnsi="Times New Roman"/>
          <w:sz w:val="18"/>
          <w:szCs w:val="18"/>
          <w:color w:val="auto"/>
        </w:rPr>
        <w:t>During the thirteen weeks ended May 28, 2022, our net sales increased $32.5 million, or 11.5%, and our gross profit decreased $2.4 million, or 1.9%, compared to the thirteen weeks ended May 29, 2021. Net sales for the thirteen weeks ended May 28, 2022 were positively affected by the price increase effective in September 2021, the first month of our fiscal year 2022, and both the Atkins® and Quest® brands experienced sales and earnings growth driven by increased retail and e-commerce sales volume. Additionally, in April 2022 management announced our plans to institute a price increase effective late in our fiscal fourth quarter of 2022. However, unfavorable effects of higher raw material costs, higher freight and logistics costs, and supply chain challenges in the thirteen weeks ended May 28, 2022 resulted in decreased gross profit and gross profit margin as compared to the thirteen weeks ended May 29, 2021. As previously discussed above in “Business Trends,” we expect to continue to see such cost pressures and supply chain challenges for the remainder of fiscal year 2022 as compared to fiscal year 2021.</w:t>
      </w:r>
    </w:p>
    <w:p>
      <w:pPr>
        <w:spacing w:after="0" w:line="219" w:lineRule="exact"/>
        <w:rPr>
          <w:sz w:val="20"/>
          <w:szCs w:val="20"/>
          <w:color w:val="auto"/>
        </w:rPr>
      </w:pPr>
    </w:p>
    <w:p>
      <w:pPr>
        <w:jc w:val="both"/>
        <w:ind w:firstLine="259"/>
        <w:spacing w:after="0" w:line="261"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number of key performance indicators used by management and typically used by our competitors, including the non-GAAP measures EBITDA and Adjusted EBITDA. Because not all companies use identical calculations, the presentation of EBITDA and Adjusted EBITDA may not be comparable to other similarly titled measures of other companies. See “Reconciliation of EBITDA and Adjusted EBITDA” below for a reconciliation of EBITDA and Adjusted EBITDA to net income for each applicable period.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Unaudited Results for the Thirteen Weeks Ended May 28, 2022 and the Thirteen Weeks Ended May 29, 2021</w:t>
      </w:r>
    </w:p>
    <w:p>
      <w:pPr>
        <w:spacing w:after="0" w:line="2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following unaudited table presents, for the periods indicated, selected information from our Condensed Consolidated Statements of Operations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including information presented as a percentage of net sales:</w:t>
      </w:r>
    </w:p>
    <w:p>
      <w:pPr>
        <w:spacing w:after="0" w:line="257" w:lineRule="exact"/>
        <w:rPr>
          <w:sz w:val="20"/>
          <w:szCs w:val="20"/>
          <w:color w:val="auto"/>
        </w:rPr>
      </w:pPr>
    </w:p>
    <w:tbl>
      <w:tblPr>
        <w:tblLayout w:type="fixed"/>
        <w:tblInd w:w="60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Thirteen Weeks</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Thirteen Weeks</w:t>
            </w:r>
          </w:p>
        </w:tc>
        <w:tc>
          <w:tcPr>
            <w:tcW w:w="1500" w:type="dxa"/>
            <w:vAlign w:val="bottom"/>
          </w:tcPr>
          <w:p>
            <w:pPr>
              <w:spacing w:after="0"/>
              <w:rPr>
                <w:sz w:val="16"/>
                <w:szCs w:val="16"/>
                <w:color w:val="auto"/>
              </w:rPr>
            </w:pPr>
          </w:p>
        </w:tc>
      </w:tr>
      <w:tr>
        <w:trPr>
          <w:trHeight w:val="210"/>
        </w:trPr>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Ended</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Ended</w:t>
            </w:r>
          </w:p>
        </w:tc>
        <w:tc>
          <w:tcPr>
            <w:tcW w:w="1500" w:type="dxa"/>
            <w:vAlign w:val="bottom"/>
          </w:tcPr>
          <w:p>
            <w:pPr>
              <w:spacing w:after="0"/>
              <w:rPr>
                <w:sz w:val="18"/>
                <w:szCs w:val="18"/>
                <w:color w:val="auto"/>
              </w:rPr>
            </w:pPr>
          </w:p>
        </w:tc>
      </w:tr>
      <w:tr>
        <w:trPr>
          <w:trHeight w:val="259"/>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May 28, 2022</w:t>
            </w:r>
          </w:p>
        </w:tc>
        <w:tc>
          <w:tcPr>
            <w:tcW w:w="14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 of Net Sales</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May 29, 2021</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 of Net Sales</w:t>
            </w:r>
          </w:p>
        </w:tc>
      </w:tr>
      <w:tr>
        <w:trPr>
          <w:trHeight w:val="253"/>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316,531</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284,001</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67"/>
        </w:trPr>
        <w:tc>
          <w:tcPr>
            <w:tcW w:w="3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197,883</w:t>
            </w:r>
          </w:p>
        </w:tc>
        <w:tc>
          <w:tcPr>
            <w:tcW w:w="14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62.5 %</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162,998</w:t>
            </w:r>
          </w:p>
        </w:tc>
        <w:tc>
          <w:tcPr>
            <w:tcW w:w="12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57.4 %</w:t>
            </w:r>
          </w:p>
        </w:tc>
      </w:tr>
      <w:tr>
        <w:trPr>
          <w:trHeight w:val="253"/>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118,648</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37.5 %</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121,003</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42.6 %</w:t>
            </w:r>
          </w:p>
        </w:tc>
      </w:tr>
      <w:tr>
        <w:trPr>
          <w:trHeight w:val="270"/>
        </w:trPr>
        <w:tc>
          <w:tcPr>
            <w:tcW w:w="3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7"/>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Selling and marketing</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32,334</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30,826</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10.9 %</w:t>
            </w:r>
          </w:p>
        </w:tc>
      </w:tr>
      <w:tr>
        <w:trPr>
          <w:trHeight w:val="273"/>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26,721</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25,668</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r>
      <w:tr>
        <w:trPr>
          <w:trHeight w:val="267"/>
        </w:trPr>
        <w:tc>
          <w:tcPr>
            <w:tcW w:w="3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4,317</w:t>
            </w:r>
          </w:p>
        </w:tc>
        <w:tc>
          <w:tcPr>
            <w:tcW w:w="14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4,187</w:t>
            </w:r>
          </w:p>
        </w:tc>
        <w:tc>
          <w:tcPr>
            <w:tcW w:w="12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53"/>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63,372</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20.0 %</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60,681</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21.4 %</w:t>
            </w:r>
          </w:p>
        </w:tc>
      </w:tr>
      <w:tr>
        <w:trPr>
          <w:trHeight w:val="270"/>
        </w:trPr>
        <w:tc>
          <w:tcPr>
            <w:tcW w:w="3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55,276</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17.5 %</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60,322</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21.2 %</w:t>
            </w:r>
          </w:p>
        </w:tc>
      </w:tr>
      <w:tr>
        <w:trPr>
          <w:trHeight w:val="270"/>
        </w:trPr>
        <w:tc>
          <w:tcPr>
            <w:tcW w:w="3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7"/>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73"/>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(4,881)</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(7,985)</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67"/>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Loss in fair value change of warrant liability</w:t>
            </w: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(35,833)</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273"/>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 on legal settlement</w:t>
            </w:r>
          </w:p>
        </w:tc>
        <w:tc>
          <w:tcPr>
            <w:tcW w:w="16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67"/>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Gain (loss) on foreign currency transactions</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40" w:type="dxa"/>
            <w:vAlign w:val="bottom"/>
          </w:tcPr>
          <w:p>
            <w:pPr>
              <w:spacing w:after="0"/>
              <w:rPr>
                <w:sz w:val="23"/>
                <w:szCs w:val="23"/>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70"/>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4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50"/>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expense</w:t>
            </w: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(4,788)</w:t>
            </w:r>
          </w:p>
        </w:tc>
        <w:tc>
          <w:tcPr>
            <w:tcW w:w="140" w:type="dxa"/>
            <w:vAlign w:val="bottom"/>
          </w:tcPr>
          <w:p>
            <w:pPr>
              <w:spacing w:after="0"/>
              <w:rPr>
                <w:sz w:val="21"/>
                <w:szCs w:val="21"/>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(39,019)</w:t>
            </w:r>
          </w:p>
        </w:tc>
        <w:tc>
          <w:tcPr>
            <w:tcW w:w="120" w:type="dxa"/>
            <w:vAlign w:val="bottom"/>
          </w:tcPr>
          <w:p>
            <w:pPr>
              <w:spacing w:after="0"/>
              <w:rPr>
                <w:sz w:val="21"/>
                <w:szCs w:val="21"/>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73"/>
        </w:trPr>
        <w:tc>
          <w:tcPr>
            <w:tcW w:w="36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7"/>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50,488</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16.0 %</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21,303</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7.5 %</w:t>
            </w:r>
          </w:p>
        </w:tc>
      </w:tr>
      <w:tr>
        <w:trPr>
          <w:trHeight w:val="270"/>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11,654</w:t>
            </w:r>
          </w:p>
        </w:tc>
        <w:tc>
          <w:tcPr>
            <w:tcW w:w="14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15,408</w:t>
            </w:r>
          </w:p>
        </w:tc>
        <w:tc>
          <w:tcPr>
            <w:tcW w:w="120" w:type="dxa"/>
            <w:vAlign w:val="bottom"/>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r>
      <w:tr>
        <w:trPr>
          <w:trHeight w:val="226"/>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38,834</w:t>
            </w:r>
          </w:p>
        </w:tc>
        <w:tc>
          <w:tcPr>
            <w:tcW w:w="14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12.3 %</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5,895</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37"/>
        </w:trPr>
        <w:tc>
          <w:tcPr>
            <w:tcW w:w="3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67"/>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financial data:</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53"/>
        </w:trPr>
        <w:tc>
          <w:tcPr>
            <w:tcW w:w="3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1"/>
                <w:szCs w:val="21"/>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63,291</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20.0 %</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67,459</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23.8 %</w:t>
            </w:r>
          </w:p>
        </w:tc>
      </w:tr>
    </w:tbl>
    <w:p>
      <w:pPr>
        <w:ind w:left="700" w:right="720" w:hanging="80"/>
        <w:spacing w:after="0" w:line="228" w:lineRule="auto"/>
        <w:tabs>
          <w:tab w:leader="none" w:pos="768"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Adjusted EBITDA is a non-GAAP financial metric. See “Reconciliation of EBITDA and Adjusted EBITDA” below for a reconciliation of net income to EBITDA and Adjusted EBITDA for each applicable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-226695</wp:posOffset>
            </wp:positionV>
            <wp:extent cx="40030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03040" cy="8890"/>
                    </a:xfrm>
                    <a:prstGeom prst="rect">
                      <a:avLst/>
                    </a:prstGeom>
                    <a:noFill/>
                  </pic:spPr>
                </pic:pic>
              </a:graphicData>
            </a:graphic>
          </wp:anchor>
        </w:drawing>
      </w:r>
    </w:p>
    <w:p>
      <w:pPr>
        <w:spacing w:after="0" w:line="302" w:lineRule="exact"/>
        <w:rPr>
          <w:sz w:val="20"/>
          <w:szCs w:val="20"/>
          <w:color w:val="auto"/>
        </w:rPr>
      </w:pPr>
    </w:p>
    <w:p>
      <w:pPr>
        <w:jc w:val="both"/>
        <w:ind w:firstLine="207"/>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color w:val="auto"/>
        </w:rPr>
        <w:t>. Net sales of $316.5 million represented an increase of $32.5 million, or 11.5%, for the thirteen weeks ended May 28, 2022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thirteen weeks ended May 29, 2021. The increase in net sales was attributable to our price increase effective in September 2021, the first month of our fiscal year 2022, and retail sales and e-commerce sales volume growth for both the Atkins® and Quest® brands, which increased our North America net sales by 12.9% in the thirteen weeks ended May 28, 2022 compared to the thirteen weeks ended May 29, 2021. The increase in net sales was partially offset by a 25.1% decline in our international business due to the European exit. The European exit represented a 1.2% headwind to total net sales growth.</w:t>
      </w:r>
    </w:p>
    <w:p>
      <w:pPr>
        <w:spacing w:after="0" w:line="206" w:lineRule="exact"/>
        <w:rPr>
          <w:sz w:val="20"/>
          <w:szCs w:val="20"/>
          <w:color w:val="auto"/>
        </w:rPr>
      </w:pPr>
    </w:p>
    <w:p>
      <w:pPr>
        <w:jc w:val="both"/>
        <w:ind w:firstLine="2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Cost of goods sold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 of goods sold increased $34.9 million, or 21.4%, for the thirteen weeks ended May 28, 2022 compared to the thirteen weeks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May 29, 2021. The cost of goods sold increase was driven by higher raw material, freight, and logistics costs and supply chain challenges for the thirteen weeks ended May 28, 2022 as well as sales volume growth for both the Atkins® and Quest® brands, as discussed above. As previously discussed above in “Business Trends,” we continue to expect to have cost pressures and supply chain challenges for the remainder of fiscal year 2022 and into fiscal year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both"/>
        <w:ind w:firstLine="2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decreased $2.4 million, or 1.9%, for the thirteen weeks ended May 28, 2022 compared to the thirteen weeks ended May 29,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2021. Additionally, gross profit of $118.6 million, or 37.5% of net sales, for the thirteen weeks ended May 28, 2022 decreased 510 basis points from 42.6% of net sales for the thirteen weeks ended May 29, 2021. The decreases in gross profit and gross profit margin were primarily driven by the unfavorable effects of higher raw material, freight, and logistics costs and supply chain challenges in the thirteen weeks ended May 28, 2022 as previously discussed. These decreases were partially offset by the favorable effects of the price increase which became effective in September 2021.</w:t>
      </w:r>
    </w:p>
    <w:p>
      <w:pPr>
        <w:spacing w:after="0" w:line="206" w:lineRule="exact"/>
        <w:rPr>
          <w:sz w:val="20"/>
          <w:szCs w:val="20"/>
          <w:color w:val="auto"/>
        </w:rPr>
      </w:pPr>
    </w:p>
    <w:p>
      <w:pPr>
        <w:jc w:val="both"/>
        <w:ind w:firstLine="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expenses</w:t>
      </w:r>
      <w:r>
        <w:rPr>
          <w:rFonts w:ascii="Times New Roman" w:cs="Times New Roman" w:eastAsia="Times New Roman" w:hAnsi="Times New Roman"/>
          <w:sz w:val="18"/>
          <w:szCs w:val="18"/>
          <w:color w:val="auto"/>
        </w:rPr>
        <w:t>. Operating expenses increased $2.7 million, or 4.4%, for the thirteen weeks ended May 28, 2022 compared to the thirteen weeks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May 29, 2021 due to the following:</w:t>
      </w:r>
    </w:p>
    <w:p>
      <w:pPr>
        <w:spacing w:after="0" w:line="184" w:lineRule="exact"/>
        <w:rPr>
          <w:sz w:val="20"/>
          <w:szCs w:val="20"/>
          <w:color w:val="auto"/>
        </w:rPr>
      </w:pPr>
    </w:p>
    <w:p>
      <w:pPr>
        <w:ind w:left="660" w:right="20" w:hanging="247"/>
        <w:spacing w:after="0" w:line="284" w:lineRule="auto"/>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increased $1.5 million, or 4.9%, for the thirteen weeks ended May 28, 2022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thirteen weeks ended May 29, 2021, primarily related to additional brand building initiatives for both Atkins® and Quest®.</w:t>
      </w:r>
    </w:p>
    <w:p>
      <w:pPr>
        <w:spacing w:after="0" w:line="185" w:lineRule="exact"/>
        <w:rPr>
          <w:rFonts w:ascii="Times New Roman" w:cs="Times New Roman" w:eastAsia="Times New Roman" w:hAnsi="Times New Roman"/>
          <w:sz w:val="18"/>
          <w:szCs w:val="18"/>
          <w:i w:val="1"/>
          <w:iCs w:val="1"/>
          <w:color w:val="auto"/>
        </w:rPr>
      </w:pPr>
    </w:p>
    <w:p>
      <w:pPr>
        <w:jc w:val="both"/>
        <w:ind w:left="660" w:hanging="247"/>
        <w:spacing w:after="0" w:line="25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$1.1 million, or 4.1%, for the thirteen weeks ended May 28,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thirteen weeks ended May 29, 2021. The increase in general and administrative expenses was primarily attributable to an $0.8 million increase in stock-based compensation and increased corporate expenses, which was partially offset by reductions in costs related to business integration activities of $0.1 million and restructuring charges of $0.2 million in the thirteen weeks ended May 28, 2022 compared to the thirteen weeks ended May 29, 2021.</w:t>
      </w:r>
    </w:p>
    <w:p>
      <w:pPr>
        <w:spacing w:after="0" w:line="210" w:lineRule="exact"/>
        <w:rPr>
          <w:rFonts w:ascii="Times New Roman" w:cs="Times New Roman" w:eastAsia="Times New Roman" w:hAnsi="Times New Roman"/>
          <w:sz w:val="18"/>
          <w:szCs w:val="18"/>
          <w:color w:val="auto"/>
        </w:rPr>
      </w:pPr>
    </w:p>
    <w:p>
      <w:pPr>
        <w:ind w:left="660" w:hanging="247"/>
        <w:spacing w:after="0" w:line="284"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remained approximately flat at $4.3 million for the thirteen weeks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28, 2022 and $4.2 million for the May 29, 2021.</w:t>
      </w:r>
    </w:p>
    <w:p>
      <w:pPr>
        <w:spacing w:after="0" w:line="183" w:lineRule="exact"/>
        <w:rPr>
          <w:sz w:val="20"/>
          <w:szCs w:val="20"/>
          <w:color w:val="auto"/>
        </w:rPr>
      </w:pPr>
    </w:p>
    <w:p>
      <w:pPr>
        <w:jc w:val="both"/>
        <w:ind w:firstLine="23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expense decreased $3.1 million for the thirteen weeks ended May 28, 2022 compared to the thirteen weeks ended May 29,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2021, primarily due to principal payments reducing the outstanding balance of the Term Facility (as defined below) to $406.5 million as of May 28, 2022 from $506.5 million as of May 29, 2021. Additionally, interest expense related to the amortization of deferred financing costs and debt discount decreased $0.6 million for the thirteen weeks ended May 28, 2022 compared to the thirteen weeks ended May 29, 2021.</w:t>
      </w:r>
    </w:p>
    <w:p>
      <w:pPr>
        <w:spacing w:after="0" w:line="203" w:lineRule="exact"/>
        <w:rPr>
          <w:sz w:val="20"/>
          <w:szCs w:val="20"/>
          <w:color w:val="auto"/>
        </w:rPr>
      </w:pPr>
    </w:p>
    <w:p>
      <w:pPr>
        <w:jc w:val="both"/>
        <w:ind w:firstLine="247"/>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Loss in fair value change of warrant liability. </w:t>
      </w:r>
      <w:r>
        <w:rPr>
          <w:rFonts w:ascii="Times New Roman" w:cs="Times New Roman" w:eastAsia="Times New Roman" w:hAnsi="Times New Roman"/>
          <w:sz w:val="18"/>
          <w:szCs w:val="18"/>
          <w:color w:val="auto"/>
        </w:rPr>
        <w:t>During thirteen weeks ended May 29, 2021, we recorded a non-cash loss of $35.8 million related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changes in valuation of our liability-classified warrants issued through a private placement (“Private Warrants”), which is primarily driven by movements in our stock price. On January 7, 2022, the Private Warrants were exercised on a cashless basis, resulting in a net issuance of 4,830,761 shares of common stock. As a result, there were no outstanding liability-classified Private Warrants during the thirteen weeks ended May 28, 2022.</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Gain on legal settlement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recorded a $5.0 million gain on a legal settlement during the thirteen weeks ended May 29, 2021.</w:t>
      </w:r>
    </w:p>
    <w:p>
      <w:pPr>
        <w:spacing w:after="0" w:line="252" w:lineRule="exact"/>
        <w:rPr>
          <w:sz w:val="20"/>
          <w:szCs w:val="20"/>
          <w:color w:val="auto"/>
        </w:rPr>
      </w:pPr>
    </w:p>
    <w:p>
      <w:pPr>
        <w:jc w:val="both"/>
        <w:ind w:firstLine="193"/>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 (loss) on foreign currency transactions. </w:t>
      </w:r>
      <w:r>
        <w:rPr>
          <w:rFonts w:ascii="Times New Roman" w:cs="Times New Roman" w:eastAsia="Times New Roman" w:hAnsi="Times New Roman"/>
          <w:sz w:val="18"/>
          <w:szCs w:val="18"/>
          <w:color w:val="auto"/>
        </w:rPr>
        <w:t>Foreign currency transactions resulted in a gain of $0.1 million and a loss of $0.3 million for the thirteen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May 28, 2022 and May 29, 2021, respectively. The variance is attributable to changes in foreign currency rates related to our international operations.</w:t>
      </w:r>
    </w:p>
    <w:p>
      <w:pPr>
        <w:spacing w:after="0" w:line="198" w:lineRule="exact"/>
        <w:rPr>
          <w:sz w:val="20"/>
          <w:szCs w:val="20"/>
          <w:color w:val="auto"/>
        </w:rPr>
      </w:pPr>
    </w:p>
    <w:p>
      <w:pPr>
        <w:jc w:val="both"/>
        <w:ind w:right="20" w:firstLine="24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decreased $3.8 million for the thirteen weeks ended May 28, 2022 compared to the thirteen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29, 2021. The decrease in our income tax expense was primarily driven by lower income from operations and changes in permanent differences</w:t>
      </w:r>
      <w:r>
        <w:rPr>
          <w:rFonts w:ascii="Times New Roman" w:cs="Times New Roman" w:eastAsia="Times New Roman" w:hAnsi="Times New Roman"/>
          <w:sz w:val="18"/>
          <w:szCs w:val="18"/>
          <w:color w:val="EE2724"/>
        </w:rPr>
        <w:t>.</w:t>
      </w:r>
    </w:p>
    <w:p>
      <w:pPr>
        <w:spacing w:after="0" w:line="182" w:lineRule="exact"/>
        <w:rPr>
          <w:sz w:val="20"/>
          <w:szCs w:val="20"/>
          <w:color w:val="auto"/>
        </w:rPr>
      </w:pPr>
    </w:p>
    <w:p>
      <w:pPr>
        <w:jc w:val="both"/>
        <w:ind w:firstLine="2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color w:val="auto"/>
        </w:rPr>
        <w:t>. Net income was $38.8 million for the thirteen weeks ended May 28, 2022, an increase of $32.9 million compared to net income of $5.9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thirteen weeks ended May 29, 2021. The increase was primarily driven by the $35.8 million non-cash fair value loss incurred in the thirteen weeks ended May 29, 2021 related to the measurement of our liability-classified Private Warrants. The increase in net income was partially offset by the decreased income from operations driven by the unfavorable effects of higher raw material, freight, and logistics costs and supply chain challenges in the thirteen weeks ended May 28, 2022 as well as the non-recurring $5.0 million gain on a legal settlement in the thirteen weeks ended May 29, 2021.</w:t>
      </w:r>
    </w:p>
    <w:p>
      <w:pPr>
        <w:spacing w:after="0" w:line="206" w:lineRule="exact"/>
        <w:rPr>
          <w:sz w:val="20"/>
          <w:szCs w:val="20"/>
          <w:color w:val="auto"/>
        </w:rPr>
      </w:pPr>
    </w:p>
    <w:p>
      <w:pPr>
        <w:jc w:val="both"/>
        <w:ind w:firstLine="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Adjusted EBITDA decreased $4.2 million, or 6.2% for the thirteen weeks ended May 28, 2022 compared to the thirteen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29, 2021, driven primarily by the decrease in income from operations as a result of the unfavorable effects of higher raw material, freight, and logistics costs and supply chain challenges in the thirteen weeks ended May 28, 2022 as discussed above. For a reconciliation of Adjusted EBITDA to its most directly comparable GAAP measure, see “Reconciliation of EBITDA and Adjusted EBITDA” below.</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Unaudited Results for the Thirty-Nine Weeks Ended May 28, 2022 and the Thirty-Nine Weeks Ended May 29, 2021</w:t>
      </w:r>
    </w:p>
    <w:p>
      <w:pPr>
        <w:spacing w:after="0" w:line="2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following unaudited table presents, for the periods indicated, selected information from our Condensed Consolidated Statements of Operations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including information presented as a percentage of net sales:</w:t>
      </w:r>
    </w:p>
    <w:p>
      <w:pPr>
        <w:spacing w:after="0" w:line="109" w:lineRule="exact"/>
        <w:rPr>
          <w:sz w:val="20"/>
          <w:szCs w:val="20"/>
          <w:color w:val="auto"/>
        </w:rPr>
      </w:pPr>
    </w:p>
    <w:tbl>
      <w:tblPr>
        <w:tblLayout w:type="fixed"/>
        <w:tblInd w:w="60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Thirty-Nine Weeks</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Thirty-Nine Weeks</w:t>
            </w:r>
          </w:p>
        </w:tc>
        <w:tc>
          <w:tcPr>
            <w:tcW w:w="1500" w:type="dxa"/>
            <w:vAlign w:val="bottom"/>
          </w:tcPr>
          <w:p>
            <w:pPr>
              <w:spacing w:after="0"/>
              <w:rPr>
                <w:sz w:val="16"/>
                <w:szCs w:val="16"/>
                <w:color w:val="auto"/>
              </w:rPr>
            </w:pPr>
          </w:p>
        </w:tc>
      </w:tr>
      <w:tr>
        <w:trPr>
          <w:trHeight w:val="210"/>
        </w:trPr>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Ended</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Ended</w:t>
            </w:r>
          </w:p>
        </w:tc>
        <w:tc>
          <w:tcPr>
            <w:tcW w:w="1500" w:type="dxa"/>
            <w:vAlign w:val="bottom"/>
          </w:tcPr>
          <w:p>
            <w:pPr>
              <w:spacing w:after="0"/>
              <w:rPr>
                <w:sz w:val="18"/>
                <w:szCs w:val="18"/>
                <w:color w:val="auto"/>
              </w:rPr>
            </w:pPr>
          </w:p>
        </w:tc>
      </w:tr>
      <w:tr>
        <w:trPr>
          <w:trHeight w:val="259"/>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May 28, 2022</w:t>
            </w:r>
          </w:p>
        </w:tc>
        <w:tc>
          <w:tcPr>
            <w:tcW w:w="14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 of Net Sales</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May 29, 2021</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 of Net Sales</w:t>
            </w:r>
          </w:p>
        </w:tc>
      </w:tr>
      <w:tr>
        <w:trPr>
          <w:trHeight w:val="253"/>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894,514</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745,760</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67"/>
        </w:trPr>
        <w:tc>
          <w:tcPr>
            <w:tcW w:w="3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550,788</w:t>
            </w:r>
          </w:p>
        </w:tc>
        <w:tc>
          <w:tcPr>
            <w:tcW w:w="14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61.6 %</w:t>
            </w: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440,451</w:t>
            </w:r>
          </w:p>
        </w:tc>
        <w:tc>
          <w:tcPr>
            <w:tcW w:w="12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59.1 %</w:t>
            </w:r>
          </w:p>
        </w:tc>
      </w:tr>
      <w:tr>
        <w:trPr>
          <w:trHeight w:val="253"/>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343,726</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38.4 %</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305,309</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40.9 %</w:t>
            </w:r>
          </w:p>
        </w:tc>
      </w:tr>
      <w:tr>
        <w:trPr>
          <w:trHeight w:val="270"/>
        </w:trPr>
        <w:tc>
          <w:tcPr>
            <w:tcW w:w="3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7"/>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Selling and marketing</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94,816</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82,171</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11.0 %</w:t>
            </w:r>
          </w:p>
        </w:tc>
      </w:tr>
      <w:tr>
        <w:trPr>
          <w:trHeight w:val="273"/>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76,711</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77,645</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10.4 %</w:t>
            </w:r>
          </w:p>
        </w:tc>
      </w:tr>
      <w:tr>
        <w:trPr>
          <w:trHeight w:val="267"/>
        </w:trPr>
        <w:tc>
          <w:tcPr>
            <w:tcW w:w="3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12,966</w:t>
            </w:r>
          </w:p>
        </w:tc>
        <w:tc>
          <w:tcPr>
            <w:tcW w:w="14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12,643</w:t>
            </w:r>
          </w:p>
        </w:tc>
        <w:tc>
          <w:tcPr>
            <w:tcW w:w="12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53"/>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184,493</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20.6 %</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172,459</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23.1 %</w:t>
            </w:r>
          </w:p>
        </w:tc>
      </w:tr>
      <w:tr>
        <w:trPr>
          <w:trHeight w:val="270"/>
        </w:trPr>
        <w:tc>
          <w:tcPr>
            <w:tcW w:w="3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159,233</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17.8 %</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132,850</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17.8 %</w:t>
            </w:r>
          </w:p>
        </w:tc>
      </w:tr>
      <w:tr>
        <w:trPr>
          <w:trHeight w:val="270"/>
        </w:trPr>
        <w:tc>
          <w:tcPr>
            <w:tcW w:w="3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7"/>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23"/>
                <w:szCs w:val="23"/>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73"/>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(16,528)</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(24,352)</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67"/>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Loss in fair value change of warrant liability</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(30,062)</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(60,714)</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73"/>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 on legal settlement</w:t>
            </w:r>
          </w:p>
        </w:tc>
        <w:tc>
          <w:tcPr>
            <w:tcW w:w="10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267"/>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Gain on foreign currency transactions</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70"/>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4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50"/>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expense</w:t>
            </w:r>
          </w:p>
        </w:tc>
        <w:tc>
          <w:tcPr>
            <w:tcW w:w="1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(46,060)</w:t>
            </w:r>
          </w:p>
        </w:tc>
        <w:tc>
          <w:tcPr>
            <w:tcW w:w="140" w:type="dxa"/>
            <w:vAlign w:val="bottom"/>
          </w:tcPr>
          <w:p>
            <w:pPr>
              <w:spacing w:after="0"/>
              <w:rPr>
                <w:sz w:val="21"/>
                <w:szCs w:val="21"/>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(79,121)</w:t>
            </w:r>
          </w:p>
        </w:tc>
        <w:tc>
          <w:tcPr>
            <w:tcW w:w="120" w:type="dxa"/>
            <w:vAlign w:val="bottom"/>
          </w:tcPr>
          <w:p>
            <w:pPr>
              <w:spacing w:after="0"/>
              <w:rPr>
                <w:sz w:val="21"/>
                <w:szCs w:val="21"/>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73"/>
        </w:trPr>
        <w:tc>
          <w:tcPr>
            <w:tcW w:w="36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7"/>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113,173</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12.7 %</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53,729</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7.2 %</w:t>
            </w:r>
          </w:p>
        </w:tc>
      </w:tr>
      <w:tr>
        <w:trPr>
          <w:trHeight w:val="270"/>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34,726</w:t>
            </w:r>
          </w:p>
        </w:tc>
        <w:tc>
          <w:tcPr>
            <w:tcW w:w="14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31,095</w:t>
            </w:r>
          </w:p>
        </w:tc>
        <w:tc>
          <w:tcPr>
            <w:tcW w:w="120" w:type="dxa"/>
            <w:vAlign w:val="bottom"/>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r>
      <w:tr>
        <w:trPr>
          <w:trHeight w:val="226"/>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78,447</w:t>
            </w:r>
          </w:p>
        </w:tc>
        <w:tc>
          <w:tcPr>
            <w:tcW w:w="14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22,634</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37"/>
        </w:trPr>
        <w:tc>
          <w:tcPr>
            <w:tcW w:w="3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67"/>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financial data:</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53"/>
        </w:trPr>
        <w:tc>
          <w:tcPr>
            <w:tcW w:w="3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1"/>
                <w:szCs w:val="21"/>
                <w:color w:val="auto"/>
                <w:vertAlign w:val="superscript"/>
              </w:rPr>
              <w:t>(1)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183,086</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20.5 %</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158,800</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21.3 %</w:t>
            </w:r>
          </w:p>
        </w:tc>
      </w:tr>
    </w:tbl>
    <w:p>
      <w:pPr>
        <w:ind w:left="700" w:right="720" w:hanging="80"/>
        <w:spacing w:after="0" w:line="228" w:lineRule="auto"/>
        <w:tabs>
          <w:tab w:leader="none" w:pos="768"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Adjusted EBITDA is a non-GAAP financial metric. See “Reconciliation of EBITDA and Adjusted EBITDA” below for a reconciliation of net income to EBITDA and Adjusted EBITDA for each applicable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-226695</wp:posOffset>
            </wp:positionV>
            <wp:extent cx="40030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288" w:lineRule="exact"/>
        <w:rPr>
          <w:sz w:val="20"/>
          <w:szCs w:val="20"/>
          <w:color w:val="auto"/>
        </w:rPr>
      </w:pPr>
    </w:p>
    <w:p>
      <w:pPr>
        <w:jc w:val="both"/>
        <w:ind w:firstLine="207"/>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of $894.5 million represented an increase of $148.8 million, or 19.9%, for the thirty-nine weeks ended May 28, 2022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thirty-nine weeks ended May 29, 2021. The increase was primarily attributable to retail and e-commerce sales volume growth for both the Atkins® and Quest® brands, which increased our North America net sales by 22.2% in the thirty-nine weeks ended May 28, 2022 compared to the thirty-nine weeks ended May 29, 2021. Additionally, we instituted a price increase effective in September 2021, the first month of our fiscal year 2022. The increase in net sales was partially offset by a 25.9% decline in our international business due to the European exit. The European exit represented a 1.4% headwind to total net sales growth.</w:t>
      </w:r>
    </w:p>
    <w:p>
      <w:pPr>
        <w:spacing w:after="0" w:line="209" w:lineRule="exact"/>
        <w:rPr>
          <w:sz w:val="20"/>
          <w:szCs w:val="20"/>
          <w:color w:val="auto"/>
        </w:rPr>
      </w:pPr>
    </w:p>
    <w:p>
      <w:pPr>
        <w:jc w:val="both"/>
        <w:ind w:firstLine="2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Cost of goods sold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 of goods sold increased $110.3 million, or 25.1%, for the thirty-nine weeks ended May 28, 2022 compared to the thirty-nine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May 29, 2021. The cost of goods sold increase was driven by sales volume growth for both the Atkins® and Quest® brands, as discussed above. Additionally, our cost of goods sold for the thirty-nine weeks ended May 28, 2022 was unfavorably affected by higher raw material, freight, and logistics costs and supply chain challenges. As previously discussed above in “Business Trends,” we continue to expect to have cost pressures and supply chain challenges for the remainder of fiscal year 2022 and into fiscal year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both"/>
        <w:ind w:firstLine="23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increased $38.4 million, or 12.6%, for the thirty-nine weeks ended May 28, 2022 compared to the thirty-nine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29, 2021, which was primarily driven by the sales volume growth for both the Quest® and Atkins® brands as discussed above. Gross profit of $343.7 million, or 38.4% of net sales, for the thirty-nine weeks ended May 28, 2022 decreased 250 basis points from 40.9% of net sales for the thirty-nine weeks ended May 29, 2021. The decrease in gross profit margin was primarily the result of the unfavorable effects of higher raw material, freight, and logistics costs and supply chain challenges in the thirty-nine weeks ended May 28, 2022 as previously discussed. The decrease in gross profit margin was partially offset by the favorable effects of the price increase which became effective in September 2021.</w:t>
      </w:r>
    </w:p>
    <w:p>
      <w:pPr>
        <w:spacing w:after="0" w:line="209" w:lineRule="exact"/>
        <w:rPr>
          <w:sz w:val="20"/>
          <w:szCs w:val="20"/>
          <w:color w:val="auto"/>
        </w:rPr>
      </w:pPr>
    </w:p>
    <w:p>
      <w:pPr>
        <w:jc w:val="both"/>
        <w:ind w:firstLine="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expenses</w:t>
      </w:r>
      <w:r>
        <w:rPr>
          <w:rFonts w:ascii="Times New Roman" w:cs="Times New Roman" w:eastAsia="Times New Roman" w:hAnsi="Times New Roman"/>
          <w:sz w:val="18"/>
          <w:szCs w:val="18"/>
          <w:color w:val="auto"/>
        </w:rPr>
        <w:t>. Operating expenses increased $12.0 million, or 7.0%, for the thirty-nine weeks ended May 28, 2022 compared to the thirty-nine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May 29, 2021 due to the following:</w:t>
      </w:r>
    </w:p>
    <w:p>
      <w:pPr>
        <w:spacing w:after="0" w:line="184" w:lineRule="exact"/>
        <w:rPr>
          <w:sz w:val="20"/>
          <w:szCs w:val="20"/>
          <w:color w:val="auto"/>
        </w:rPr>
      </w:pPr>
    </w:p>
    <w:p>
      <w:pPr>
        <w:ind w:left="660" w:hanging="247"/>
        <w:spacing w:after="0" w:line="284" w:lineRule="auto"/>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increased $12.6 million, or 15.4%, for the thirty-nine weeks ended May 28,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thirty-nine weeks ended May 29, 2021, primarily related to additional brand building initiatives for both Atkins® and Quest®.</w:t>
      </w:r>
    </w:p>
    <w:p>
      <w:pPr>
        <w:spacing w:after="0" w:line="185" w:lineRule="exact"/>
        <w:rPr>
          <w:rFonts w:ascii="Times New Roman" w:cs="Times New Roman" w:eastAsia="Times New Roman" w:hAnsi="Times New Roman"/>
          <w:sz w:val="18"/>
          <w:szCs w:val="18"/>
          <w:i w:val="1"/>
          <w:iCs w:val="1"/>
          <w:color w:val="auto"/>
        </w:rPr>
      </w:pPr>
    </w:p>
    <w:p>
      <w:pPr>
        <w:jc w:val="both"/>
        <w:ind w:left="660" w:hanging="247"/>
        <w:spacing w:after="0" w:line="257" w:lineRule="auto"/>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decreased $0.9 million, or 1.2%, for the thirty-nine weeks ended May 28,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thirty-nine weeks ended May 29, 2021. The decrease was primarily attributable to reductions in costs related to business integration activities of $2.0 million and restructuring charges of $3.9 million in the thirty-nine weeks ended May 28, 2022 compared to the thirty-nine weeks ended May 29, 2021. These decreases were partially offset by an increase in stock-based compensation of $2.9 million, increased corporate expenses, and increased research and development spending in the thirty-nine weeks ended May 28, 2022 compared to the thirty-nine weeks ended May 29, 2021.</w:t>
      </w:r>
    </w:p>
    <w:p>
      <w:pPr>
        <w:spacing w:after="0" w:line="209" w:lineRule="exact"/>
        <w:rPr>
          <w:rFonts w:ascii="Times New Roman" w:cs="Times New Roman" w:eastAsia="Times New Roman" w:hAnsi="Times New Roman"/>
          <w:sz w:val="18"/>
          <w:szCs w:val="18"/>
          <w:i w:val="1"/>
          <w:iCs w:val="1"/>
          <w:color w:val="auto"/>
        </w:rPr>
      </w:pPr>
    </w:p>
    <w:p>
      <w:pPr>
        <w:jc w:val="both"/>
        <w:ind w:left="660" w:hanging="247"/>
        <w:spacing w:after="0" w:line="267"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increased $0.3 million, or 2.6%, for the thirty-nine weeks ended May 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compared to the thirty-nine weeks ended May 29, 2021, primarily due to increased depreciation expense related to the $4.7 million of purchases of property and equipment during the thirty-nine weeks ended May 28, 2022.</w:t>
      </w:r>
    </w:p>
    <w:p>
      <w:pPr>
        <w:spacing w:after="0" w:line="198" w:lineRule="exact"/>
        <w:rPr>
          <w:sz w:val="20"/>
          <w:szCs w:val="20"/>
          <w:color w:val="auto"/>
        </w:rPr>
      </w:pPr>
    </w:p>
    <w:p>
      <w:pPr>
        <w:jc w:val="both"/>
        <w:ind w:firstLine="27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expense decreased $7.8 million for the thirty-nine weeks ended May 28, 2022 compared to the thirty-nine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29, 2021, primarily due to principal payments reducing the outstanding balance of the Term Facility to $406.5 million as of May 28, 2022 from $506.5 million as of May 29, 2021. Additionally, interest expense related to the amortization of deferred financing costs and debt discount decreased $1.4 million for the thirty-nine weeks ended May 28, 2022 compared to the thirty-nine weeks ended May 29, 2021.</w:t>
      </w:r>
    </w:p>
    <w:p>
      <w:pPr>
        <w:spacing w:after="0" w:line="203" w:lineRule="exact"/>
        <w:rPr>
          <w:sz w:val="20"/>
          <w:szCs w:val="20"/>
          <w:color w:val="auto"/>
        </w:rPr>
      </w:pPr>
    </w:p>
    <w:p>
      <w:pPr>
        <w:jc w:val="both"/>
        <w:ind w:firstLine="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Loss in fair value change of warrant liability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the thirty-nine weeks ended May 28, 2022 and May 29, 2021, we recorded a non-cash loss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$30.1 million and $60.7 million, respectively, related to changes in valuation of our Private Warrants, which was primarily driven by movements in our stock price. On January 7, 2022, the Private Warrants were exercised on a cashless basis, resulting in a net issuance of 4,830,761 shares of common stock. As a result, there were no outstanding liability-classified Private Warrants as of May 28, 2022.</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Gain on legal settlement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recorded a $5.0 million gain on a legal settlement during the thirty-nine weeks ended May 29, 2021.</w:t>
      </w:r>
    </w:p>
    <w:p>
      <w:pPr>
        <w:spacing w:after="0" w:line="252" w:lineRule="exact"/>
        <w:rPr>
          <w:sz w:val="20"/>
          <w:szCs w:val="20"/>
          <w:color w:val="auto"/>
        </w:rPr>
      </w:pPr>
    </w:p>
    <w:p>
      <w:pPr>
        <w:jc w:val="both"/>
        <w:ind w:firstLine="193"/>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 on foreign currency transactions. </w:t>
      </w:r>
      <w:r>
        <w:rPr>
          <w:rFonts w:ascii="Times New Roman" w:cs="Times New Roman" w:eastAsia="Times New Roman" w:hAnsi="Times New Roman"/>
          <w:sz w:val="18"/>
          <w:szCs w:val="18"/>
          <w:color w:val="auto"/>
        </w:rPr>
        <w:t>Gains on foreign currency transactions of $0.5 million and $0.7 million were recorded for the thirty-nine weeks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May 28, 2022 and May 29, 2021, respectively. During the thirty-nine weeks ended May 28, 2022, we recognized a foreign currency translation gain of $1.1 million related to the liquidation of a foreign subsidiary. The remaining variance is attributable to changes in foreign currency rates related to our international operations.</w:t>
      </w:r>
    </w:p>
    <w:p>
      <w:pPr>
        <w:spacing w:after="0" w:line="203" w:lineRule="exact"/>
        <w:rPr>
          <w:sz w:val="20"/>
          <w:szCs w:val="20"/>
          <w:color w:val="auto"/>
        </w:rPr>
      </w:pPr>
    </w:p>
    <w:p>
      <w:pPr>
        <w:jc w:val="both"/>
        <w:ind w:firstLine="193"/>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increased $3.6 million for the thirty-nine weeks ended May 28, 2022 compared to the thirty-nine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29, 2021. The increase in our income tax expense is primarily driven by higher income from operations, partially offset by permanent differences.</w:t>
      </w:r>
    </w:p>
    <w:p>
      <w:pPr>
        <w:spacing w:after="0" w:line="194" w:lineRule="exact"/>
        <w:rPr>
          <w:sz w:val="20"/>
          <w:szCs w:val="20"/>
          <w:color w:val="auto"/>
        </w:rPr>
      </w:pPr>
    </w:p>
    <w:p>
      <w:pPr>
        <w:jc w:val="both"/>
        <w:ind w:firstLine="1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income was $78.4 million for the thirty-nine weeks ended May 28, 2022, an increase of $55.8 million compared to net income of $22.6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thirty-nine weeks ended May 29, 2021. The increase was primarily related to the $26.4 million increase in income from operations driven by the Atkins® and Quest® brand sales volume growth as discussed above, the $30.7 million decrease in the non-cash loss in fair value change of our warrant liability, and the $7.8 million decrease in interest expense in the thirty-nine weeks ended May 28, 2022 compared to the thirty-nine weeks ended May 29, 2021. These increases were partially offset by the $3.6 million increase in income tax expense in the thirty-nine weeks ended May 28, 2022 compared to the thirty-nine weeks ended May 29, 2021 as well as the non-recurring $5.0 million gain on a legal settlement in the thirty-nine weeks ended May 29, 2021.</w:t>
      </w:r>
    </w:p>
    <w:p>
      <w:pPr>
        <w:spacing w:after="0" w:line="209" w:lineRule="exact"/>
        <w:rPr>
          <w:sz w:val="20"/>
          <w:szCs w:val="20"/>
          <w:color w:val="auto"/>
        </w:rPr>
      </w:pPr>
    </w:p>
    <w:p>
      <w:pPr>
        <w:jc w:val="both"/>
        <w:ind w:right="20" w:firstLine="23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Adjusted EBITDA increased $24.3 million, or 15.3% for the thirty-nine weeks ended May 28, 2022 compared to the thirty-nine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May 29, 2021, driven primarily by sales volume growth for the Atkins® and Quest® brands as discussed above. For a reconciliation of Adjusted EBITDA to its most directly comparable GAAP measure, see “Reconciliation of EBITDA and Adjusted EBITDA” below.</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EBITDA and Adjusted EBITDA</w:t>
      </w:r>
    </w:p>
    <w:p>
      <w:pPr>
        <w:spacing w:after="0" w:line="256" w:lineRule="exact"/>
        <w:rPr>
          <w:sz w:val="20"/>
          <w:szCs w:val="20"/>
          <w:color w:val="auto"/>
        </w:rPr>
      </w:pPr>
    </w:p>
    <w:p>
      <w:pPr>
        <w:jc w:val="both"/>
        <w:ind w:firstLine="225"/>
        <w:spacing w:after="0" w:line="253" w:lineRule="auto"/>
        <w:rPr>
          <w:sz w:val="20"/>
          <w:szCs w:val="20"/>
          <w:color w:val="auto"/>
        </w:rPr>
      </w:pPr>
      <w:r>
        <w:rPr>
          <w:rFonts w:ascii="Times New Roman" w:cs="Times New Roman" w:eastAsia="Times New Roman" w:hAnsi="Times New Roman"/>
          <w:sz w:val="18"/>
          <w:szCs w:val="18"/>
          <w:color w:val="auto"/>
        </w:rPr>
        <w:t>EBITDA and Adjusted EBITDA are non-GAAP financial measures commonly used in our industry and should not be construed as alternatives to net income as an indicator of operating performance or as alternatives to cash flow provided by operating activities as a measure of liquidity (each as determined in accordance with GAAP). Simply Good Foods defines EBITDA as net income or loss before interest income, interest expense, income tax expense, depreciation and amortization, and Adjusted EBITDA as further adjusted to exclude the following items: stock-based compensation expense, integration costs, restructuring costs, gain or loss in fair value change of warrant liability, gain or loss due to legal settlements, and other non-core expenses. The Company believes that EBITDA and Adjusted EBITDA, when used in conjunction with net income, are useful to provide additional information to investors. Management of the Company uses EBITDA and Adjusted EBITDA to supplement net income because these measures reflect operating results of the on-going operations, eliminate items that are not directly attributable to the Company’s underlying operating performance, enhance the overall understanding of past financial performance and future prospects, and allow for greater transparency with respect to the key metrics the Company’s management uses in its financial and operational decision making. The Company also believes that Adjusted EBITDA is frequently used by securities analysts, investors and other interested parties in the evaluation of companies in its industry. Adjusted EBITDA may not be comparable to other similarly titled captions of other companies due to differences in the non-GAAP calculation.</w:t>
      </w:r>
    </w:p>
    <w:p>
      <w:pPr>
        <w:spacing w:after="0" w:line="217" w:lineRule="exact"/>
        <w:rPr>
          <w:sz w:val="20"/>
          <w:szCs w:val="20"/>
          <w:color w:val="auto"/>
        </w:rPr>
      </w:pPr>
    </w:p>
    <w:p>
      <w:pPr>
        <w:jc w:val="both"/>
        <w:ind w:firstLine="183"/>
        <w:spacing w:after="0" w:line="282" w:lineRule="auto"/>
        <w:rPr>
          <w:sz w:val="20"/>
          <w:szCs w:val="20"/>
          <w:color w:val="auto"/>
        </w:rPr>
      </w:pPr>
      <w:r>
        <w:rPr>
          <w:rFonts w:ascii="Times New Roman" w:cs="Times New Roman" w:eastAsia="Times New Roman" w:hAnsi="Times New Roman"/>
          <w:sz w:val="18"/>
          <w:szCs w:val="18"/>
          <w:color w:val="auto"/>
        </w:rPr>
        <w:t>The following unaudited table provides a reconciliation of EBITDA and Adjusted EBITDA to its most directly comparable GAAP measure, which is net income, for the thirteen and thirty-nine weeks ended May 28, 2022 and May 29, 2021:</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gridSpan w:val="5"/>
          </w:tcPr>
          <w:p>
            <w:pPr>
              <w:ind w:left="600"/>
              <w:spacing w:after="0"/>
              <w:rPr>
                <w:sz w:val="20"/>
                <w:szCs w:val="20"/>
                <w:color w:val="auto"/>
              </w:rPr>
            </w:pPr>
            <w:r>
              <w:rPr>
                <w:rFonts w:ascii="Times New Roman" w:cs="Times New Roman" w:eastAsia="Times New Roman" w:hAnsi="Times New Roman"/>
                <w:sz w:val="16"/>
                <w:szCs w:val="16"/>
                <w:color w:val="auto"/>
              </w:rPr>
              <w:t>Thirteen Weeks Ended</w:t>
            </w:r>
          </w:p>
        </w:tc>
        <w:tc>
          <w:tcPr>
            <w:tcW w:w="180" w:type="dxa"/>
            <w:vAlign w:val="bottom"/>
          </w:tcPr>
          <w:p>
            <w:pPr>
              <w:spacing w:after="0"/>
              <w:rPr>
                <w:sz w:val="18"/>
                <w:szCs w:val="18"/>
                <w:color w:val="auto"/>
              </w:rPr>
            </w:pPr>
          </w:p>
        </w:tc>
        <w:tc>
          <w:tcPr>
            <w:tcW w:w="290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color w:val="auto"/>
              </w:rPr>
              <w:t>Thirty-Nine Weeks Ended</w:t>
            </w:r>
          </w:p>
        </w:tc>
      </w:tr>
      <w:tr>
        <w:trPr>
          <w:trHeight w:val="213"/>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May 28, 2022</w:t>
            </w:r>
          </w:p>
        </w:tc>
        <w:tc>
          <w:tcPr>
            <w:tcW w:w="14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May 29, 2021</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May 28, 2022</w:t>
            </w:r>
          </w:p>
        </w:tc>
        <w:tc>
          <w:tcPr>
            <w:tcW w:w="14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May 29, 2021</w:t>
            </w:r>
          </w:p>
        </w:tc>
      </w:tr>
      <w:tr>
        <w:trPr>
          <w:trHeight w:val="253"/>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38,834</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5,895</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78,447</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22,634</w:t>
            </w:r>
          </w:p>
        </w:tc>
      </w:tr>
      <w:tr>
        <w:trPr>
          <w:trHeight w:val="267"/>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73"/>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4,881</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7,985</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16,528</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24,352</w:t>
            </w:r>
          </w:p>
        </w:tc>
      </w:tr>
      <w:tr>
        <w:trPr>
          <w:trHeight w:val="267"/>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11,654</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15,408</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34,726</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31,095</w:t>
            </w:r>
          </w:p>
        </w:tc>
      </w:tr>
      <w:tr>
        <w:trPr>
          <w:trHeight w:val="270"/>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4,826</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4,487</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14,398</w:t>
            </w:r>
          </w:p>
        </w:tc>
        <w:tc>
          <w:tcPr>
            <w:tcW w:w="1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13,508</w:t>
            </w:r>
          </w:p>
        </w:tc>
      </w:tr>
      <w:tr>
        <w:trPr>
          <w:trHeight w:val="25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60,195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33,774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144,098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91,585</w:t>
            </w:r>
          </w:p>
        </w:tc>
      </w:tr>
      <w:tr>
        <w:trPr>
          <w:trHeight w:val="273"/>
        </w:trPr>
        <w:tc>
          <w:tcPr>
            <w:tcW w:w="3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2,994</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8,691</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5,766</w:t>
            </w:r>
          </w:p>
        </w:tc>
      </w:tr>
      <w:tr>
        <w:trPr>
          <w:trHeight w:val="267"/>
        </w:trPr>
        <w:tc>
          <w:tcPr>
            <w:tcW w:w="38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Integration of Quest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2,458</w:t>
            </w:r>
          </w:p>
        </w:tc>
      </w:tr>
      <w:tr>
        <w:trPr>
          <w:trHeight w:val="273"/>
        </w:trPr>
        <w:tc>
          <w:tcPr>
            <w:tcW w:w="3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Restructuring</w:t>
            </w:r>
          </w:p>
        </w:tc>
        <w:tc>
          <w:tcPr>
            <w:tcW w:w="2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3,992</w:t>
            </w:r>
          </w:p>
        </w:tc>
      </w:tr>
      <w:tr>
        <w:trPr>
          <w:trHeight w:val="267"/>
        </w:trPr>
        <w:tc>
          <w:tcPr>
            <w:tcW w:w="38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Loss in fair value change of warrant liability</w:t>
            </w:r>
          </w:p>
        </w:tc>
        <w:tc>
          <w:tcPr>
            <w:tcW w:w="20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35,833</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30,062</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60,714</w:t>
            </w:r>
          </w:p>
        </w:tc>
      </w:tr>
      <w:tr>
        <w:trPr>
          <w:trHeight w:val="273"/>
        </w:trPr>
        <w:tc>
          <w:tcPr>
            <w:tcW w:w="3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legal settlement</w:t>
            </w:r>
          </w:p>
        </w:tc>
        <w:tc>
          <w:tcPr>
            <w:tcW w:w="2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270"/>
        </w:trPr>
        <w:tc>
          <w:tcPr>
            <w:tcW w:w="38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4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w:t>
            </w:r>
          </w:p>
        </w:tc>
      </w:tr>
      <w:tr>
        <w:trPr>
          <w:trHeight w:val="248"/>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63,291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67,459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183,086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158,800</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7" w:lineRule="exact"/>
        <w:rPr>
          <w:sz w:val="20"/>
          <w:szCs w:val="20"/>
          <w:color w:val="auto"/>
        </w:rPr>
      </w:pPr>
    </w:p>
    <w:p>
      <w:pPr>
        <w:ind w:left="740" w:hanging="141"/>
        <w:spacing w:after="0"/>
        <w:tabs>
          <w:tab w:leader="none" w:pos="74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Other items consist principally of exchange impact of foreign currency transactions and other expenses.</w:t>
      </w:r>
    </w:p>
    <w:p>
      <w:pPr>
        <w:spacing w:after="0" w:line="200" w:lineRule="exact"/>
        <w:rPr>
          <w:rFonts w:ascii="Times New Roman" w:cs="Times New Roman" w:eastAsia="Times New Roman" w:hAnsi="Times New Roman"/>
          <w:sz w:val="18"/>
          <w:szCs w:val="18"/>
          <w:color w:val="auto"/>
          <w:vertAlign w:val="superscript"/>
        </w:rPr>
      </w:pPr>
    </w:p>
    <w:p>
      <w:pPr>
        <w:spacing w:after="0" w:line="200" w:lineRule="exact"/>
        <w:rPr>
          <w:rFonts w:ascii="Times New Roman" w:cs="Times New Roman" w:eastAsia="Times New Roman" w:hAnsi="Times New Roman"/>
          <w:sz w:val="18"/>
          <w:szCs w:val="18"/>
          <w:color w:val="auto"/>
          <w:vertAlign w:val="superscript"/>
        </w:rPr>
      </w:pPr>
    </w:p>
    <w:p>
      <w:pPr>
        <w:spacing w:after="0" w:line="279" w:lineRule="exact"/>
        <w:rPr>
          <w:rFonts w:ascii="Times New Roman" w:cs="Times New Roman" w:eastAsia="Times New Roman" w:hAnsi="Times New Roman"/>
          <w:sz w:val="18"/>
          <w:szCs w:val="18"/>
          <w:color w:val="auto"/>
          <w:vertAlign w:val="superscript"/>
        </w:rPr>
      </w:pPr>
    </w:p>
    <w:p>
      <w:pPr>
        <w:ind w:left="5540"/>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jc w:val="both"/>
        <w:ind w:right="20" w:firstLine="196"/>
        <w:spacing w:after="0" w:line="282" w:lineRule="auto"/>
        <w:rPr>
          <w:sz w:val="20"/>
          <w:szCs w:val="20"/>
          <w:color w:val="auto"/>
        </w:rPr>
      </w:pPr>
      <w:r>
        <w:rPr>
          <w:rFonts w:ascii="Times New Roman" w:cs="Times New Roman" w:eastAsia="Times New Roman" w:hAnsi="Times New Roman"/>
          <w:sz w:val="18"/>
          <w:szCs w:val="18"/>
          <w:color w:val="auto"/>
        </w:rPr>
        <w:t>We have historically funded our operations with cash flow from operations and, when needed, with borrowings under our Credit Agreement (as defined below). Our principal uses of cash have been working capital, debt service, and acquisition opportunities.</w:t>
      </w:r>
    </w:p>
    <w:p>
      <w:pPr>
        <w:spacing w:after="0" w:line="189" w:lineRule="exact"/>
        <w:rPr>
          <w:sz w:val="20"/>
          <w:szCs w:val="20"/>
          <w:color w:val="auto"/>
        </w:rPr>
      </w:pPr>
    </w:p>
    <w:p>
      <w:pPr>
        <w:jc w:val="both"/>
        <w:ind w:firstLine="198"/>
        <w:spacing w:after="0" w:line="261" w:lineRule="auto"/>
        <w:rPr>
          <w:sz w:val="20"/>
          <w:szCs w:val="20"/>
          <w:color w:val="auto"/>
        </w:rPr>
      </w:pPr>
      <w:r>
        <w:rPr>
          <w:rFonts w:ascii="Times New Roman" w:cs="Times New Roman" w:eastAsia="Times New Roman" w:hAnsi="Times New Roman"/>
          <w:sz w:val="18"/>
          <w:szCs w:val="18"/>
          <w:color w:val="auto"/>
        </w:rPr>
        <w:t>We had $56.7 million in cash as of May 28, 2022. We believe our sources of liquidity and capital will be sufficient to finance our continued operations, growth strategy and additional expenses we expect to incur for at least the next twelve months. As circumstances warrant, we may issue debt and/or equity securities from time to time on an opportunistic basis, dependent upon market conditions and available pricing. We make no assurance that we can issue and sell such securities on acceptable terms or at all.</w:t>
      </w:r>
    </w:p>
    <w:p>
      <w:pPr>
        <w:spacing w:after="0" w:line="207"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8"/>
          <w:szCs w:val="18"/>
          <w:color w:val="auto"/>
        </w:rPr>
        <w:t>Our material future cash requirements from contractual and other obligations relate primarily to our principal and interest payments for our Term Facility, as defined and discussed below, and our operating and finance leases. Refer to Note 5, Long-Term Debt and Line of Credit, and Note 8, Leases, of the Notes to Unaudited Condensed Consolidated Financial Statements in this Report for additional information related to the expected timing and amount of payments related to our contractual and other obligations.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Credit Facilities</w:t>
      </w:r>
    </w:p>
    <w:p>
      <w:pPr>
        <w:spacing w:after="0" w:line="256" w:lineRule="exact"/>
        <w:rPr>
          <w:sz w:val="20"/>
          <w:szCs w:val="20"/>
          <w:color w:val="auto"/>
        </w:rPr>
      </w:pPr>
    </w:p>
    <w:p>
      <w:pPr>
        <w:jc w:val="both"/>
        <w:ind w:firstLine="184"/>
        <w:spacing w:after="0" w:line="258" w:lineRule="auto"/>
        <w:rPr>
          <w:sz w:val="20"/>
          <w:szCs w:val="20"/>
          <w:color w:val="auto"/>
        </w:rPr>
      </w:pPr>
      <w:r>
        <w:rPr>
          <w:rFonts w:ascii="Times New Roman" w:cs="Times New Roman" w:eastAsia="Times New Roman" w:hAnsi="Times New Roman"/>
          <w:sz w:val="18"/>
          <w:szCs w:val="18"/>
          <w:color w:val="auto"/>
        </w:rPr>
        <w:t>On July 7, 2017, we entered into a credit agreement with Barclays Bank PLC and other parties (as amended to date, the “Credit Agreement”). The Credit Agreement at that time provided for (i) a term facility of $200.0 million (“Term Facility”) with a seven-year maturity and (ii) a revolving credit facility of up to $75.0 million (the “Revolving Credit Facility”) with a five-year maturity. Substantially concurrent with the consummation of the business combination between Conyers Park Acquisition Corp. and NCP-ATK Holdings, Inc. on July 7, 2017, the full $200.0 million of the Term Facility (the “Term Loan”) was drawn.</w:t>
      </w:r>
    </w:p>
    <w:p>
      <w:pPr>
        <w:spacing w:after="0" w:line="210" w:lineRule="exact"/>
        <w:rPr>
          <w:sz w:val="20"/>
          <w:szCs w:val="20"/>
          <w:color w:val="auto"/>
        </w:rPr>
      </w:pPr>
    </w:p>
    <w:p>
      <w:pPr>
        <w:jc w:val="both"/>
        <w:ind w:firstLine="204"/>
        <w:spacing w:after="0" w:line="261" w:lineRule="auto"/>
        <w:rPr>
          <w:sz w:val="20"/>
          <w:szCs w:val="20"/>
          <w:color w:val="auto"/>
        </w:rPr>
      </w:pPr>
      <w:r>
        <w:rPr>
          <w:rFonts w:ascii="Times New Roman" w:cs="Times New Roman" w:eastAsia="Times New Roman" w:hAnsi="Times New Roman"/>
          <w:sz w:val="18"/>
          <w:szCs w:val="18"/>
          <w:color w:val="auto"/>
        </w:rPr>
        <w:t>On November 7, 2019, we entered into a second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The Incremental Facility Amendment was executed to partially finance the acquisition of Quest Nutrition, LLC on November 7, 2019. No amounts under the Term Facility were repaid as a result of the execution of the Incremental Facility Amendment.</w:t>
      </w:r>
    </w:p>
    <w:p>
      <w:pPr>
        <w:spacing w:after="0" w:line="207" w:lineRule="exact"/>
        <w:rPr>
          <w:sz w:val="20"/>
          <w:szCs w:val="20"/>
          <w:color w:val="auto"/>
        </w:rPr>
      </w:pPr>
    </w:p>
    <w:p>
      <w:pPr>
        <w:jc w:val="both"/>
        <w:ind w:firstLine="310"/>
        <w:spacing w:after="0" w:line="266" w:lineRule="auto"/>
        <w:rPr>
          <w:sz w:val="20"/>
          <w:szCs w:val="20"/>
          <w:color w:val="auto"/>
        </w:rPr>
      </w:pPr>
      <w:r>
        <w:rPr>
          <w:rFonts w:ascii="Times New Roman" w:cs="Times New Roman" w:eastAsia="Times New Roman" w:hAnsi="Times New Roman"/>
          <w:sz w:val="18"/>
          <w:szCs w:val="18"/>
          <w:color w:val="auto"/>
        </w:rPr>
        <w:t>Effective as of December 16, 2021, we entered into a third amendment (the “Extension Amendment”) to the Credit Agreement. The Extension Amendment provided for an extension of the stated maturity date of the Revolving Commitments and Revolving Loans (each as defined in the Credit Agreement) from July 7, 2022 to the earlier of (i) 91 days prior to the maturity date of the Initial Term Loans on July 7, 2024 and (ii) December 16, 2026.</w:t>
      </w:r>
    </w:p>
    <w:p>
      <w:pPr>
        <w:spacing w:after="0" w:line="189" w:lineRule="exact"/>
        <w:rPr>
          <w:sz w:val="20"/>
          <w:szCs w:val="20"/>
          <w:color w:val="auto"/>
        </w:rPr>
      </w:pPr>
    </w:p>
    <w:p>
      <w:pPr>
        <w:jc w:val="both"/>
        <w:ind w:firstLine="295"/>
        <w:spacing w:after="0" w:line="242" w:lineRule="auto"/>
        <w:rPr>
          <w:sz w:val="20"/>
          <w:szCs w:val="20"/>
          <w:color w:val="auto"/>
        </w:rPr>
      </w:pPr>
      <w:r>
        <w:rPr>
          <w:rFonts w:ascii="Times New Roman" w:cs="Times New Roman" w:eastAsia="Times New Roman" w:hAnsi="Times New Roman"/>
          <w:sz w:val="18"/>
          <w:szCs w:val="18"/>
          <w:color w:val="auto"/>
        </w:rPr>
        <w:t>On January 21, 2022, we entered into a repricing amendment (the “2022 Repricing Amendment”) to the Credit Agreement. The 2022 Repricing Amendment, among other things, (i) reduced the interest rate per annum applicable to the Initial Term Loans outstanding under the Credit Agreement immediately prior to the effective date of the 2022 Repricing Amendment, (ii) reset the prepayment premium for the existing Initial Term Loans to apply to Repricing Transactions (as defined in the Credit Agreement) that occur within six months after the effective date of the 2022 Repricing Amendment, and (iii) implemented the Secured Overnight Financing Rate (“SOFR”) and related replacement provisions for the London Interbank Offered Rate (“LIBOR”).</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Effective as of the 2022 Repricing Amendment dated January 21, 2022, the interest rate per annum is based on either:</w:t>
      </w:r>
    </w:p>
    <w:p>
      <w:pPr>
        <w:spacing w:after="0" w:line="90" w:lineRule="exact"/>
        <w:rPr>
          <w:sz w:val="20"/>
          <w:szCs w:val="20"/>
          <w:color w:val="auto"/>
        </w:rPr>
      </w:pPr>
    </w:p>
    <w:p>
      <w:pPr>
        <w:jc w:val="both"/>
        <w:ind w:left="660" w:hanging="328"/>
        <w:spacing w:after="0" w:line="266" w:lineRule="auto"/>
        <w:tabs>
          <w:tab w:leader="none" w:pos="64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equaling the higher of (a) the “prime rate,” (b) the federal funds effective rate plus 0.50%, or (c) the Adjusted Term SOFR Rate (as defined in the Credit Agreement) applicable for an interest period of one month plus 1.00% plus (x) 2.25% margin for the Term Loan or (y) 2.00% margin for the Revolving Credit Facility; or</w:t>
      </w:r>
    </w:p>
    <w:p>
      <w:pPr>
        <w:spacing w:after="0" w:line="5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plus a credit spread adjustment equal to 0.10% for one-month SOFR, 0.15% for up to three-month SOFR and 0.25% for up to six-month SOFR, subject to a floor of 0.50%, plus (x) 3.25% margin for the Term Loan or (y) 3.00% margin for the Revolving Credit Facility.</w:t>
      </w:r>
    </w:p>
    <w:p>
      <w:pPr>
        <w:spacing w:after="0" w:line="189" w:lineRule="exact"/>
        <w:rPr>
          <w:sz w:val="20"/>
          <w:szCs w:val="20"/>
          <w:color w:val="auto"/>
        </w:rPr>
      </w:pPr>
    </w:p>
    <w:p>
      <w:pPr>
        <w:jc w:val="both"/>
        <w:ind w:firstLine="233"/>
        <w:spacing w:after="0" w:line="256" w:lineRule="auto"/>
        <w:rPr>
          <w:sz w:val="20"/>
          <w:szCs w:val="20"/>
          <w:color w:val="auto"/>
        </w:rPr>
      </w:pPr>
      <w:r>
        <w:rPr>
          <w:rFonts w:ascii="Times New Roman" w:cs="Times New Roman" w:eastAsia="Times New Roman" w:hAnsi="Times New Roman"/>
          <w:sz w:val="18"/>
          <w:szCs w:val="18"/>
          <w:color w:val="auto"/>
        </w:rPr>
        <w:t>The Simply Good Foods Company is not a borrower under the Credit Agreement and has not provided a guarantee of the Credit Agreement. Simply Good Foods USA, Inc., is the administrative borrower and certain other subsidiary holding companies are co-borrowers under the Credit Agreement. Each of our domestic subsidiaries that is not a named borrower under the Credit Agreement has provided a guarantee on a secured basis. As security for the payment or performance of the debt under the Credit Agreement, the borrowers and the guarantors have pledged certain equity interests in their respective subsidiaries and granted the lenders a security interest in substantially all of their domestic assets. All guarantors other than Quest Nutrition, LLC are holding companies with no assets other than their investments in their respective subsidiaries.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ind w:firstLine="195"/>
        <w:spacing w:after="0" w:line="255" w:lineRule="auto"/>
        <w:rPr>
          <w:sz w:val="20"/>
          <w:szCs w:val="20"/>
          <w:color w:val="auto"/>
        </w:rPr>
      </w:pPr>
      <w:r>
        <w:rPr>
          <w:rFonts w:ascii="Times New Roman" w:cs="Times New Roman" w:eastAsia="Times New Roman" w:hAnsi="Times New Roman"/>
          <w:sz w:val="18"/>
          <w:szCs w:val="18"/>
          <w:color w:val="auto"/>
        </w:rPr>
        <w:t>The Credit Agreement contains certain financial and other covenants that limit our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6.00:1.00 contingent on credit extensions in excess of 30% of the total amount of commitments available under the Revolving Credit Facility. Any failure to comply with the restrictions of the credit facilities may result in an event of default. We were in compliance with all financial covenants as of May 28, 2022 and August 28, 2021, respectively.</w:t>
      </w:r>
    </w:p>
    <w:p>
      <w:pPr>
        <w:spacing w:after="0" w:line="216" w:lineRule="exact"/>
        <w:rPr>
          <w:sz w:val="20"/>
          <w:szCs w:val="20"/>
          <w:color w:val="auto"/>
        </w:rPr>
      </w:pPr>
    </w:p>
    <w:p>
      <w:pPr>
        <w:jc w:val="both"/>
        <w:ind w:firstLine="181"/>
        <w:spacing w:after="0" w:line="266" w:lineRule="auto"/>
        <w:rPr>
          <w:sz w:val="20"/>
          <w:szCs w:val="20"/>
          <w:color w:val="auto"/>
        </w:rPr>
      </w:pPr>
      <w:r>
        <w:rPr>
          <w:rFonts w:ascii="Times New Roman" w:cs="Times New Roman" w:eastAsia="Times New Roman" w:hAnsi="Times New Roman"/>
          <w:sz w:val="18"/>
          <w:szCs w:val="18"/>
          <w:color w:val="auto"/>
        </w:rPr>
        <w:t>At May 28, 2022, the outstanding balance of the Term Facility was $406.5 million. We are not required to make principal payments on the Term Facility over the twelve months following the period ended May 28, 2022. The outstanding balance of the Term Facility is due upon its maturity in July 2024. As of May 28, 2022, there were no amounts drawn against the Revolving Credit Facility.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to Purchase Common Stock</w:t>
      </w:r>
    </w:p>
    <w:p>
      <w:pPr>
        <w:spacing w:after="0" w:line="256" w:lineRule="exact"/>
        <w:rPr>
          <w:sz w:val="20"/>
          <w:szCs w:val="20"/>
          <w:color w:val="auto"/>
        </w:rPr>
      </w:pPr>
    </w:p>
    <w:p>
      <w:pPr>
        <w:jc w:val="both"/>
        <w:ind w:firstLine="235"/>
        <w:spacing w:after="0" w:line="258" w:lineRule="auto"/>
        <w:rPr>
          <w:sz w:val="20"/>
          <w:szCs w:val="20"/>
          <w:color w:val="auto"/>
        </w:rPr>
      </w:pPr>
      <w:r>
        <w:rPr>
          <w:rFonts w:ascii="Times New Roman" w:cs="Times New Roman" w:eastAsia="Times New Roman" w:hAnsi="Times New Roman"/>
          <w:sz w:val="18"/>
          <w:szCs w:val="18"/>
          <w:color w:val="auto"/>
        </w:rPr>
        <w:t>As of August 28, 2021, we had outstanding liability-classified Private Warrants that allowed holders to purchase 6,700,000 shares of the Company’s common stock. Such Private Warrants were held by Conyers Park Sponsor, LLC (“Conyers Park”), a related party. Each whole warrant entitled the holder to purchase one share of the Company’s common stock at a price of $11.50 per share. On January 7, 2022, Conyers Park elected to exercise the Private Warrants on a cashless basis, resulting in a net issuance of 4,830,761 shares of the Company’s common stock. As a result, there were no outstanding liability-classified Private Warrants as of May 28, 2022.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56" w:lineRule="exact"/>
        <w:rPr>
          <w:sz w:val="20"/>
          <w:szCs w:val="20"/>
          <w:color w:val="auto"/>
        </w:rPr>
      </w:pPr>
    </w:p>
    <w:p>
      <w:pPr>
        <w:jc w:val="both"/>
        <w:ind w:firstLine="209"/>
        <w:spacing w:after="0" w:line="258" w:lineRule="auto"/>
        <w:rPr>
          <w:sz w:val="20"/>
          <w:szCs w:val="20"/>
          <w:color w:val="auto"/>
        </w:rPr>
      </w:pPr>
      <w:r>
        <w:rPr>
          <w:rFonts w:ascii="Times New Roman" w:cs="Times New Roman" w:eastAsia="Times New Roman" w:hAnsi="Times New Roman"/>
          <w:sz w:val="18"/>
          <w:szCs w:val="18"/>
          <w:color w:val="auto"/>
        </w:rPr>
        <w:t>On April 13, 2022, we announced that our Board of Directors had approved the addition of $50.0 million to our stock repurchase program, resulting in authorized stock repurchases of up to an aggregate of $100.0 million. During the thirteen weeks ended May 28, 2022, we repurchased 218,221 shares of common stock for $8.1 million, averaging a purchase price per share of $37.16. During the thirty-nine weeks ended May 28, 2022, we repurchased 789,742 shares of common stock for $28.5 million, averaging a purchase price per share of $36.09. We did not repurchase any shares of common stock during the thirty-nine weeks ended May 29, 2021.</w:t>
      </w:r>
    </w:p>
    <w:p>
      <w:pPr>
        <w:spacing w:after="0" w:line="210" w:lineRule="exact"/>
        <w:rPr>
          <w:sz w:val="20"/>
          <w:szCs w:val="20"/>
          <w:color w:val="auto"/>
        </w:rPr>
      </w:pPr>
    </w:p>
    <w:p>
      <w:pPr>
        <w:jc w:val="both"/>
        <w:ind w:firstLine="185"/>
        <w:spacing w:after="0" w:line="266" w:lineRule="auto"/>
        <w:rPr>
          <w:sz w:val="20"/>
          <w:szCs w:val="20"/>
          <w:color w:val="auto"/>
        </w:rPr>
      </w:pPr>
      <w:r>
        <w:rPr>
          <w:rFonts w:ascii="Times New Roman" w:cs="Times New Roman" w:eastAsia="Times New Roman" w:hAnsi="Times New Roman"/>
          <w:sz w:val="18"/>
          <w:szCs w:val="18"/>
          <w:color w:val="auto"/>
        </w:rPr>
        <w:t>As of May 28, 2022, approximately $69.3 million remained available for repurchases under our $100.0 million stock repurchase program. Refer to Note 10, Stockholders’ Equity, of the Notes to Unaudited Condensed Consolidated Financial Statements in this Report for additional information related to our stock repurchase program.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sets forth the major sources and uses of cash for each of the periods set forth below (in thousands):</w:t>
      </w:r>
    </w:p>
    <w:p>
      <w:pPr>
        <w:spacing w:after="0" w:line="392" w:lineRule="exact"/>
        <w:rPr>
          <w:sz w:val="20"/>
          <w:szCs w:val="20"/>
          <w:color w:val="auto"/>
        </w:rPr>
      </w:pPr>
    </w:p>
    <w:tbl>
      <w:tblPr>
        <w:tblLayout w:type="fixed"/>
        <w:tblInd w:w="2180" w:type="dxa"/>
        <w:tblCellMar>
          <w:top w:w="0" w:type="dxa"/>
          <w:left w:w="0" w:type="dxa"/>
          <w:bottom w:w="0" w:type="dxa"/>
          <w:right w:w="0" w:type="dxa"/>
        </w:tblCellMar>
      </w:tblPr>
      <w:tr>
        <w:trPr>
          <w:trHeight w:val="213"/>
        </w:trPr>
        <w:tc>
          <w:tcPr>
            <w:tcW w:w="3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6"/>
                <w:szCs w:val="16"/>
                <w:color w:val="auto"/>
              </w:rPr>
              <w:t>Thirty-Nine Weeks Ended</w:t>
            </w:r>
          </w:p>
        </w:tc>
      </w:tr>
      <w:tr>
        <w:trPr>
          <w:trHeight w:val="236"/>
        </w:trPr>
        <w:tc>
          <w:tcPr>
            <w:tcW w:w="3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May 28, 2022</w:t>
            </w:r>
          </w:p>
        </w:tc>
        <w:tc>
          <w:tcPr>
            <w:tcW w:w="200" w:type="dxa"/>
            <w:vAlign w:val="bottom"/>
          </w:tcPr>
          <w:p>
            <w:pPr>
              <w:spacing w:after="0"/>
              <w:rPr>
                <w:sz w:val="20"/>
                <w:szCs w:val="20"/>
                <w:color w:val="auto"/>
              </w:rPr>
            </w:pPr>
          </w:p>
        </w:tc>
        <w:tc>
          <w:tcPr>
            <w:tcW w:w="13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May 29, 2021</w:t>
            </w:r>
          </w:p>
        </w:tc>
      </w:tr>
      <w:tr>
        <w:trPr>
          <w:trHeight w:val="253"/>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67,363</w:t>
            </w:r>
          </w:p>
        </w:tc>
        <w:tc>
          <w:tcPr>
            <w:tcW w:w="14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91,488</w:t>
            </w:r>
          </w:p>
        </w:tc>
      </w:tr>
      <w:tr>
        <w:trPr>
          <w:trHeight w:val="267"/>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(7,283)</w:t>
            </w:r>
          </w:p>
        </w:tc>
        <w:tc>
          <w:tcPr>
            <w:tcW w:w="14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2,454</w:t>
            </w:r>
          </w:p>
        </w:tc>
      </w:tr>
      <w:tr>
        <w:trPr>
          <w:trHeight w:val="27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(78,476)</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(99,889)</w:t>
            </w:r>
          </w:p>
        </w:tc>
      </w:tr>
    </w:tbl>
    <w:p>
      <w:pPr>
        <w:spacing w:after="0" w:line="304" w:lineRule="exact"/>
        <w:rPr>
          <w:sz w:val="20"/>
          <w:szCs w:val="20"/>
          <w:color w:val="auto"/>
        </w:rPr>
      </w:pPr>
    </w:p>
    <w:p>
      <w:pPr>
        <w:jc w:val="both"/>
        <w:ind w:firstLine="23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Our net cash provided by operating activities decreased $24.1 million to $67.4 million for the thirty-nine weeks ended May 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compared to $91.5 million for the thirty-nine weeks ended May 29, 2021. The decrease in cash provided by operating activities was primarily attributable to changes in working capital, comprised of changes in accounts receivable, net, inventories, prepaid expenses, accounts payable, and accrued expenses and other current liabilities, which are driven by the timing of payments and receipts and seasonal building of inventory. Changes in working capital consumed cash of $44.2 million in the thirty-nine weeks ended May 28, 2022 compared to $24.1 million of cash consumed in thirty-nine weeks ended May 29, 2021. Additionally, cash paid for taxes increased $28.1 million to $43.4 million for the thirty-nine weeks ended May 28, 2022 as compared to $15.3 million for the thirty-nine weeks ended May 29, 2021. These decreases in cash provided by operating activities were partially offset by the $26.4 million increase in income from operations to $159.2 million for the thirty-nine weeks ended May 28, 2022 as compared to $132.9 million for the thirty-nine weeks ended May 29, 2021, primarily attributable to retail and e-commerce sales volume growth for both the Atkins® and Quest® brands as discussed in “Results of Operations” above. Additionally, cash paid for interest was $14.3 million in the thirty-nine weeks ended May 28, 2022, which was a decrease of $7.2 million as compared to the $21.5 million paid for interest in the thirty-nine weeks ended May 29,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8" w:lineRule="exact"/>
        <w:rPr>
          <w:sz w:val="20"/>
          <w:szCs w:val="20"/>
          <w:color w:val="auto"/>
        </w:rPr>
      </w:pPr>
    </w:p>
    <w:p>
      <w:pPr>
        <w:jc w:val="both"/>
        <w:ind w:firstLine="261"/>
        <w:spacing w:after="0" w:line="258" w:lineRule="auto"/>
        <w:rPr>
          <w:sz w:val="20"/>
          <w:szCs w:val="20"/>
          <w:color w:val="auto"/>
        </w:rPr>
      </w:pPr>
      <w:r>
        <w:rPr>
          <w:rFonts w:ascii="Times New Roman" w:cs="Times New Roman" w:eastAsia="Times New Roman" w:hAnsi="Times New Roman"/>
          <w:sz w:val="18"/>
          <w:szCs w:val="18"/>
          <w:i w:val="1"/>
          <w:iCs w:val="1"/>
          <w:color w:val="auto"/>
        </w:rPr>
        <w:t>Investing activities</w:t>
      </w:r>
      <w:r>
        <w:rPr>
          <w:rFonts w:ascii="Times New Roman" w:cs="Times New Roman" w:eastAsia="Times New Roman" w:hAnsi="Times New Roman"/>
          <w:sz w:val="18"/>
          <w:szCs w:val="18"/>
          <w:color w:val="auto"/>
        </w:rPr>
        <w:t>. Our net cash used in investing activities was $7.3 million for the thirty-nine weeks ended May 28, 2022 compared to net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by investing activities of $2.5 million for the thirty-nine weeks ended May 29, 2021. Our net cash used in investing activities for the thirty-nine weeks ended May 28, 2022 primarily comprised $4.7 million of purchases of property and equipment and the issuance of a $2.4 million note receivable. The $2.5 million of net cash provided by investing activities for the thirty-nine weeks ended May 29, 2021 primarily comprised the $5.8 million of cash proceeds received from the SimplyProtein Sale partially offset by $3.2 million of purchases of property and equipment.</w:t>
      </w:r>
    </w:p>
    <w:p>
      <w:pPr>
        <w:spacing w:after="0" w:line="210" w:lineRule="exact"/>
        <w:rPr>
          <w:sz w:val="20"/>
          <w:szCs w:val="20"/>
          <w:color w:val="auto"/>
        </w:rPr>
      </w:pPr>
    </w:p>
    <w:p>
      <w:pPr>
        <w:jc w:val="both"/>
        <w:ind w:firstLine="180"/>
        <w:spacing w:after="0" w:line="261" w:lineRule="auto"/>
        <w:rPr>
          <w:sz w:val="20"/>
          <w:szCs w:val="20"/>
          <w:color w:val="auto"/>
        </w:rPr>
      </w:pPr>
      <w:r>
        <w:rPr>
          <w:rFonts w:ascii="Times New Roman" w:cs="Times New Roman" w:eastAsia="Times New Roman" w:hAnsi="Times New Roman"/>
          <w:sz w:val="18"/>
          <w:szCs w:val="18"/>
          <w:i w:val="1"/>
          <w:iCs w:val="1"/>
          <w:color w:val="auto"/>
        </w:rPr>
        <w:t>Financing activities</w:t>
      </w:r>
      <w:r>
        <w:rPr>
          <w:rFonts w:ascii="Times New Roman" w:cs="Times New Roman" w:eastAsia="Times New Roman" w:hAnsi="Times New Roman"/>
          <w:sz w:val="18"/>
          <w:szCs w:val="18"/>
          <w:color w:val="auto"/>
        </w:rPr>
        <w:t>. Our net cash used in financing activities was $78.5 million for the thirty-nine weeks ended May 28, 2022 compared to $99.9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thirty-nine weeks ended May 29, 2021. Net cash used in financing activities for the thirty-nine weeks ended May 28, 2022 primarily consisted of $50.0 million in principal payments on the Term Facility and $28.5 million in repurchases in common stock. Net cash used in financing activities for the thirty-nine weeks ended May 29, 2021 primarily consisted of $100.0 million in principal payments on the Term Facility.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56" w:lineRule="exact"/>
        <w:rPr>
          <w:sz w:val="20"/>
          <w:szCs w:val="20"/>
          <w:color w:val="auto"/>
        </w:rPr>
      </w:pPr>
    </w:p>
    <w:p>
      <w:pPr>
        <w:jc w:val="both"/>
        <w:ind w:firstLine="208"/>
        <w:spacing w:after="0" w:line="266" w:lineRule="auto"/>
        <w:rPr>
          <w:sz w:val="20"/>
          <w:szCs w:val="20"/>
          <w:color w:val="auto"/>
        </w:rPr>
      </w:pPr>
      <w:r>
        <w:rPr>
          <w:rFonts w:ascii="Times New Roman" w:cs="Times New Roman" w:eastAsia="Times New Roman" w:hAnsi="Times New Roman"/>
          <w:sz w:val="18"/>
          <w:szCs w:val="18"/>
          <w:color w:val="auto"/>
        </w:rPr>
        <w:t>For a description of critical accounting policies that affect our significant judgments and estimates used in the preparation of our consolidated financial statements, refer to our Annual Report. Refer to Note 2, Summary of Significant Accounting Policies</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of our unaudited interim consolidated financial statements in this Report for further information regarding recently issued accounting standards.</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56" w:lineRule="exact"/>
        <w:rPr>
          <w:sz w:val="20"/>
          <w:szCs w:val="20"/>
          <w:color w:val="auto"/>
        </w:rPr>
      </w:pPr>
    </w:p>
    <w:p>
      <w:pPr>
        <w:jc w:val="both"/>
        <w:ind w:firstLine="206"/>
        <w:spacing w:after="0" w:line="255" w:lineRule="auto"/>
        <w:rPr>
          <w:sz w:val="20"/>
          <w:szCs w:val="20"/>
          <w:color w:val="auto"/>
        </w:rPr>
      </w:pPr>
      <w:r>
        <w:rPr>
          <w:rFonts w:ascii="Times New Roman" w:cs="Times New Roman" w:eastAsia="Times New Roman" w:hAnsi="Times New Roman"/>
          <w:sz w:val="18"/>
          <w:szCs w:val="18"/>
          <w:color w:val="auto"/>
        </w:rPr>
        <w:t>There were no material changes in our market risk exposure during the thirteen week period ended May 28, 2022. We continue to expect to experience logistics challenges in our supply chain as well as higher raw material, freight, and logistics costs in fiscal year 2022 and expect this to continue into fiscal year 2023. We instituted a price increase effective in September 2021, the first month of our fiscal year 2022. Additionally, in April 2022 management announced our plans to institute a price increase effective late in our fiscal fourth quarter of 2022. Management believes these price increases, along with productivity initiatives, will enable us to continue to invest in projects that drive growth. We are continuing to assess available alternatives to mitigate potential input cost inflation for fiscal year 2022. For a discussion of our market risks, see “Quantitative and Qualitative Disclosures About Market Risk” in Part II, Item 7A of our Annual Report.</w:t>
      </w:r>
    </w:p>
    <w:p>
      <w:pPr>
        <w:spacing w:after="0" w:line="2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6" w:lineRule="exact"/>
        <w:rPr>
          <w:sz w:val="20"/>
          <w:szCs w:val="20"/>
          <w:color w:val="auto"/>
        </w:rPr>
      </w:pPr>
    </w:p>
    <w:p>
      <w:pPr>
        <w:jc w:val="both"/>
        <w:ind w:firstLine="183"/>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Securities Exchange Act of 1934, as amended (the “Exchange Act”), that are designed to ensure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spacing w:after="0" w:line="210" w:lineRule="exact"/>
        <w:rPr>
          <w:sz w:val="20"/>
          <w:szCs w:val="20"/>
          <w:color w:val="auto"/>
        </w:rPr>
      </w:pPr>
    </w:p>
    <w:p>
      <w:pPr>
        <w:jc w:val="both"/>
        <w:ind w:firstLine="191"/>
        <w:spacing w:after="0" w:line="261" w:lineRule="auto"/>
        <w:rPr>
          <w:sz w:val="20"/>
          <w:szCs w:val="20"/>
          <w:color w:val="auto"/>
        </w:rPr>
      </w:pPr>
      <w:r>
        <w:rPr>
          <w:rFonts w:ascii="Times New Roman" w:cs="Times New Roman" w:eastAsia="Times New Roman" w:hAnsi="Times New Roman"/>
          <w:sz w:val="18"/>
          <w:szCs w:val="18"/>
          <w:color w:val="auto"/>
        </w:rPr>
        <w:t>Management, including the participation of our Chief Executive Officer and our Chief Financial Officer, conducted an evaluation (pursuant to Rule 13a-15(b) under the Exchange Act) of the effectiveness of our disclosure controls and procedures as of the end of the period covered by this Report. Based on this evaluation, our Chief Executive Officer and Chief Financial Officer concluded that, as of May 28, 2022, the Company’s disclosure controls and procedures were effective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251"/>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during the quarter ended May 28, 2022 that have materially affected, or are reasonably likely to materially affect, our internal controls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56" w:lineRule="exact"/>
        <w:rPr>
          <w:sz w:val="20"/>
          <w:szCs w:val="20"/>
          <w:color w:val="auto"/>
        </w:rPr>
      </w:pPr>
    </w:p>
    <w:p>
      <w:pPr>
        <w:jc w:val="both"/>
        <w:ind w:firstLine="238"/>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All internal control systems, no matter how well designed, have inherent limitations. Therefore, even those systems determined to be effective can provide only reasonable assurance with respect to financial statement preparation and presentation. Additionally,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ind w:firstLine="269"/>
        <w:spacing w:after="0" w:line="266" w:lineRule="auto"/>
        <w:rPr>
          <w:sz w:val="20"/>
          <w:szCs w:val="20"/>
          <w:color w:val="auto"/>
        </w:rPr>
      </w:pPr>
      <w:r>
        <w:rPr>
          <w:rFonts w:ascii="Times New Roman" w:cs="Times New Roman" w:eastAsia="Times New Roman" w:hAnsi="Times New Roman"/>
          <w:sz w:val="18"/>
          <w:szCs w:val="18"/>
          <w:color w:val="auto"/>
        </w:rPr>
        <w:t>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effect on our business, operating results, financial condition or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263"/>
        <w:spacing w:after="0" w:line="258" w:lineRule="auto"/>
        <w:rPr>
          <w:sz w:val="20"/>
          <w:szCs w:val="20"/>
          <w:color w:val="auto"/>
        </w:rPr>
      </w:pPr>
      <w:r>
        <w:rPr>
          <w:rFonts w:ascii="Times New Roman" w:cs="Times New Roman" w:eastAsia="Times New Roman" w:hAnsi="Times New Roman"/>
          <w:sz w:val="18"/>
          <w:szCs w:val="18"/>
          <w:color w:val="auto"/>
        </w:rPr>
        <w:t>Readers should carefully consider the factors discussed in Part I, Item 1A. “Risk Factors” in our Annual Report, which could materially affect our business, financial condition, cash flows or future results. There have been no material changes in our risk factors included in our Annual Report. However, the risks factors included in our Annual Report have been or may be heightened, or in some cases manifested, by the effects of the COVID-19 pandemic and the ongoing conflict in Ukraine. The risks described in our Annual Report are not the only risks facing our Company. Additional risks and uncertainties not currently known to us or that we currently deem to be immaterial may also materially adversely affect our business, financial condition or future results.</w:t>
      </w:r>
    </w:p>
    <w:p>
      <w:pPr>
        <w:spacing w:after="0" w:line="20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Issuer Purchases of Equity Securities</w:t>
      </w:r>
    </w:p>
    <w:p>
      <w:pPr>
        <w:spacing w:after="0" w:line="338" w:lineRule="exact"/>
        <w:rPr>
          <w:sz w:val="20"/>
          <w:szCs w:val="20"/>
          <w:color w:val="auto"/>
        </w:rPr>
      </w:pPr>
    </w:p>
    <w:tbl>
      <w:tblPr>
        <w:tblLayout w:type="fixed"/>
        <w:tblInd w:w="600" w:type="dxa"/>
        <w:tblCellMar>
          <w:top w:w="0" w:type="dxa"/>
          <w:left w:w="0" w:type="dxa"/>
          <w:bottom w:w="0" w:type="dxa"/>
          <w:right w:w="0" w:type="dxa"/>
        </w:tblCellMar>
      </w:tblPr>
      <w:tr>
        <w:trPr>
          <w:trHeight w:val="210"/>
        </w:trPr>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Total Number of Shares Purchased</w:t>
            </w:r>
          </w:p>
        </w:tc>
        <w:tc>
          <w:tcPr>
            <w:tcW w:w="140" w:type="dxa"/>
            <w:vAlign w:val="bottom"/>
          </w:tcPr>
          <w:p>
            <w:pPr>
              <w:spacing w:after="0"/>
              <w:rPr>
                <w:sz w:val="18"/>
                <w:szCs w:val="18"/>
                <w:color w:val="auto"/>
              </w:rPr>
            </w:pPr>
          </w:p>
        </w:tc>
        <w:tc>
          <w:tcPr>
            <w:tcW w:w="24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Maximum Dollar Value of Shares</w:t>
            </w:r>
          </w:p>
        </w:tc>
        <w:tc>
          <w:tcPr>
            <w:tcW w:w="0" w:type="dxa"/>
            <w:vAlign w:val="bottom"/>
          </w:tcPr>
          <w:p>
            <w:pPr>
              <w:spacing w:after="0"/>
              <w:rPr>
                <w:sz w:val="1"/>
                <w:szCs w:val="1"/>
                <w:color w:val="auto"/>
              </w:rPr>
            </w:pPr>
          </w:p>
        </w:tc>
      </w:tr>
      <w:tr>
        <w:trPr>
          <w:trHeight w:val="257"/>
        </w:trPr>
        <w:tc>
          <w:tcPr>
            <w:tcW w:w="1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Total Number of</w:t>
            </w:r>
          </w:p>
        </w:tc>
        <w:tc>
          <w:tcPr>
            <w:tcW w:w="160" w:type="dxa"/>
            <w:vAlign w:val="bottom"/>
          </w:tcPr>
          <w:p>
            <w:pPr>
              <w:spacing w:after="0"/>
              <w:rPr>
                <w:sz w:val="22"/>
                <w:szCs w:val="22"/>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8"/>
              </w:rPr>
              <w:t>Average Price</w:t>
            </w:r>
          </w:p>
        </w:tc>
        <w:tc>
          <w:tcPr>
            <w:tcW w:w="2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as Part of Publicly Announced</w:t>
            </w:r>
          </w:p>
        </w:tc>
        <w:tc>
          <w:tcPr>
            <w:tcW w:w="140" w:type="dxa"/>
            <w:vAlign w:val="bottom"/>
          </w:tcPr>
          <w:p>
            <w:pPr>
              <w:spacing w:after="0"/>
              <w:rPr>
                <w:sz w:val="22"/>
                <w:szCs w:val="22"/>
                <w:color w:val="auto"/>
              </w:rPr>
            </w:pPr>
          </w:p>
        </w:tc>
        <w:tc>
          <w:tcPr>
            <w:tcW w:w="24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That May Yet Be Purchased Under</w:t>
            </w:r>
          </w:p>
        </w:tc>
        <w:tc>
          <w:tcPr>
            <w:tcW w:w="0" w:type="dxa"/>
            <w:vAlign w:val="bottom"/>
          </w:tcPr>
          <w:p>
            <w:pPr>
              <w:spacing w:after="0"/>
              <w:rPr>
                <w:sz w:val="1"/>
                <w:szCs w:val="1"/>
                <w:color w:val="auto"/>
              </w:rPr>
            </w:pPr>
          </w:p>
        </w:tc>
      </w:tr>
      <w:tr>
        <w:trPr>
          <w:trHeight w:val="263"/>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Period</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Shares Purchased</w:t>
            </w:r>
          </w:p>
        </w:tc>
        <w:tc>
          <w:tcPr>
            <w:tcW w:w="160" w:type="dxa"/>
            <w:vAlign w:val="bottom"/>
          </w:tcPr>
          <w:p>
            <w:pPr>
              <w:spacing w:after="0"/>
              <w:rPr>
                <w:sz w:val="22"/>
                <w:szCs w:val="22"/>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9"/>
              </w:rPr>
              <w:t>Paid Per Share</w:t>
            </w:r>
          </w:p>
        </w:tc>
        <w:tc>
          <w:tcPr>
            <w:tcW w:w="26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Plans or Programs</w:t>
            </w:r>
            <w:r>
              <w:rPr>
                <w:rFonts w:ascii="Times New Roman" w:cs="Times New Roman" w:eastAsia="Times New Roman" w:hAnsi="Times New Roman"/>
                <w:sz w:val="21"/>
                <w:szCs w:val="21"/>
                <w:color w:val="auto"/>
                <w:w w:val="98"/>
                <w:vertAlign w:val="superscript"/>
              </w:rPr>
              <w:t>(1)</w:t>
            </w:r>
          </w:p>
        </w:tc>
        <w:tc>
          <w:tcPr>
            <w:tcW w:w="140" w:type="dxa"/>
            <w:vAlign w:val="bottom"/>
          </w:tcPr>
          <w:p>
            <w:pPr>
              <w:spacing w:after="0"/>
              <w:rPr>
                <w:sz w:val="22"/>
                <w:szCs w:val="22"/>
                <w:color w:val="auto"/>
              </w:rPr>
            </w:pPr>
          </w:p>
        </w:tc>
        <w:tc>
          <w:tcPr>
            <w:tcW w:w="24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the Plans or Programs</w:t>
            </w:r>
            <w:r>
              <w:rPr>
                <w:rFonts w:ascii="Times New Roman" w:cs="Times New Roman" w:eastAsia="Times New Roman" w:hAnsi="Times New Roman"/>
                <w:sz w:val="21"/>
                <w:szCs w:val="21"/>
                <w:color w:val="auto"/>
                <w:w w:val="99"/>
                <w:vertAlign w:val="superscript"/>
              </w:rPr>
              <w:t>(1)</w:t>
            </w:r>
          </w:p>
        </w:tc>
        <w:tc>
          <w:tcPr>
            <w:tcW w:w="0" w:type="dxa"/>
            <w:vAlign w:val="bottom"/>
          </w:tcPr>
          <w:p>
            <w:pPr>
              <w:spacing w:after="0"/>
              <w:rPr>
                <w:sz w:val="1"/>
                <w:szCs w:val="1"/>
                <w:color w:val="auto"/>
              </w:rPr>
            </w:pPr>
          </w:p>
        </w:tc>
      </w:tr>
      <w:tr>
        <w:trPr>
          <w:trHeight w:val="155"/>
        </w:trPr>
        <w:tc>
          <w:tcPr>
            <w:tcW w:w="1640" w:type="dxa"/>
            <w:vAlign w:val="bottom"/>
            <w:tcBorders>
              <w:top w:val="single" w:sz="8" w:color="auto"/>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February 27, 2022 -</w:t>
            </w:r>
          </w:p>
        </w:tc>
        <w:tc>
          <w:tcPr>
            <w:tcW w:w="14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35,433</w:t>
            </w: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34.93</w:t>
            </w:r>
          </w:p>
        </w:tc>
        <w:tc>
          <w:tcPr>
            <w:tcW w:w="140" w:type="dxa"/>
            <w:vAlign w:val="bottom"/>
            <w:tcBorders>
              <w:top w:val="single" w:sz="8" w:color="CCEEFF"/>
            </w:tcBorders>
            <w:shd w:val="clear" w:color="auto" w:fill="CCEEFF"/>
          </w:tcPr>
          <w:p>
            <w:pPr>
              <w:spacing w:after="0"/>
              <w:rPr>
                <w:sz w:val="13"/>
                <w:szCs w:val="13"/>
                <w:color w:val="auto"/>
              </w:rPr>
            </w:pPr>
          </w:p>
        </w:tc>
        <w:tc>
          <w:tcPr>
            <w:tcW w:w="25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35,433</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26,220,958</w:t>
            </w: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26, 2022</w:t>
            </w:r>
          </w:p>
        </w:tc>
        <w:tc>
          <w:tcPr>
            <w:tcW w:w="13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5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2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March 27, 2022 -</w:t>
            </w:r>
          </w:p>
        </w:tc>
        <w:tc>
          <w:tcPr>
            <w:tcW w:w="15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4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2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76,220,958</w:t>
            </w:r>
          </w:p>
        </w:tc>
        <w:tc>
          <w:tcPr>
            <w:tcW w:w="0" w:type="dxa"/>
            <w:vAlign w:val="bottom"/>
          </w:tcPr>
          <w:p>
            <w:pPr>
              <w:spacing w:after="0"/>
              <w:rPr>
                <w:sz w:val="1"/>
                <w:szCs w:val="1"/>
                <w:color w:val="auto"/>
              </w:rPr>
            </w:pPr>
          </w:p>
        </w:tc>
      </w:tr>
      <w:tr>
        <w:trPr>
          <w:trHeight w:val="213"/>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April 23, 2022</w:t>
            </w:r>
          </w:p>
        </w:tc>
        <w:tc>
          <w:tcPr>
            <w:tcW w:w="15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26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April 24, 2022 -</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182,788</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40" w:type="dxa"/>
            <w:vAlign w:val="bottom"/>
            <w:shd w:val="clear" w:color="auto" w:fill="CCEEFF"/>
          </w:tcPr>
          <w:p>
            <w:pPr>
              <w:spacing w:after="0"/>
              <w:rPr>
                <w:sz w:val="14"/>
                <w:szCs w:val="14"/>
                <w:color w:val="auto"/>
              </w:rPr>
            </w:pPr>
          </w:p>
        </w:tc>
        <w:tc>
          <w:tcPr>
            <w:tcW w:w="2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182,788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69,348,865</w:t>
            </w:r>
          </w:p>
        </w:tc>
        <w:tc>
          <w:tcPr>
            <w:tcW w:w="0" w:type="dxa"/>
            <w:vAlign w:val="bottom"/>
          </w:tcPr>
          <w:p>
            <w:pPr>
              <w:spacing w:after="0"/>
              <w:rPr>
                <w:sz w:val="1"/>
                <w:szCs w:val="1"/>
                <w:color w:val="auto"/>
              </w:rPr>
            </w:pPr>
          </w:p>
        </w:tc>
      </w:tr>
      <w:tr>
        <w:trPr>
          <w:trHeight w:val="213"/>
        </w:trPr>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May 28, 2022</w:t>
            </w: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5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4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218,221</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37.16</w:t>
            </w:r>
          </w:p>
        </w:tc>
        <w:tc>
          <w:tcPr>
            <w:tcW w:w="140" w:type="dxa"/>
            <w:vAlign w:val="bottom"/>
          </w:tcPr>
          <w:p>
            <w:pPr>
              <w:spacing w:after="0"/>
              <w:rPr>
                <w:sz w:val="19"/>
                <w:szCs w:val="19"/>
                <w:color w:val="auto"/>
              </w:rPr>
            </w:pPr>
          </w:p>
        </w:tc>
        <w:tc>
          <w:tcPr>
            <w:tcW w:w="2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218,221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69,348,865</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jc w:val="both"/>
        <w:ind w:firstLine="8"/>
        <w:spacing w:after="0" w:line="245" w:lineRule="auto"/>
        <w:tabs>
          <w:tab w:leader="none" w:pos="177"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adopted a $50.0 million stock repurchase program on November 13, 2018. On April 13, 2022, the Company announced that its Board of Directors had approved the addition of $50.0 million to its stock repurchase program, resulting in authorized stock repurchases of up to an aggregate of $100.0 million. As of May 28, 2022, approximately $69.3 million remained available under the stock repurchase program. Under the stock repurchase program, the Company may repurchase shares from time to time in the open market or in privately negotiated transactions. The stock repurchase program does not obligate the Company to acquire any specific number of shares or acquire shares over any specific period of time. The stock repurchase program may be suspended or discontinued at any time by the Company and does not have an expiration date.</w:t>
      </w:r>
    </w:p>
    <w:p>
      <w:pPr>
        <w:spacing w:after="0" w:line="21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51" w:lineRule="exact"/>
        <w:rPr>
          <w:sz w:val="20"/>
          <w:szCs w:val="20"/>
          <w:color w:val="auto"/>
        </w:rPr>
      </w:pPr>
    </w:p>
    <w:tbl>
      <w:tblPr>
        <w:tblLayout w:type="fixed"/>
        <w:tblInd w:w="60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0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Document</w:t>
            </w:r>
          </w:p>
        </w:tc>
      </w:tr>
      <w:tr>
        <w:trPr>
          <w:trHeight w:val="222"/>
        </w:trPr>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169"/>
        </w:trPr>
        <w:tc>
          <w:tcPr>
            <w:tcW w:w="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FF"/>
              </w:rPr>
              <w:t>31.</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00"/>
              </w:rPr>
              <w:t>*</w:t>
            </w:r>
          </w:p>
        </w:tc>
        <w:tc>
          <w:tcPr>
            <w:tcW w:w="120" w:type="dxa"/>
            <w:vAlign w:val="bottom"/>
            <w:shd w:val="clear" w:color="auto" w:fill="CCEEFF"/>
          </w:tcPr>
          <w:p>
            <w:pPr>
              <w:spacing w:after="0"/>
              <w:rPr>
                <w:sz w:val="14"/>
                <w:szCs w:val="14"/>
                <w:color w:val="auto"/>
              </w:rPr>
            </w:pPr>
          </w:p>
        </w:tc>
        <w:tc>
          <w:tcPr>
            <w:tcW w:w="9060" w:type="dxa"/>
            <w:vAlign w:val="bottom"/>
            <w:gridSpan w:val="5"/>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0000FF"/>
              </w:rPr>
              <w:t>Certification of Principal Executive Officer pursuant to Section 302 of the Sarbanes Oxley Act of 2002.</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6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r>
      <w:tr>
        <w:trPr>
          <w:trHeight w:val="175"/>
        </w:trPr>
        <w:tc>
          <w:tcPr>
            <w:tcW w:w="20" w:type="dxa"/>
            <w:vAlign w:val="bottom"/>
          </w:tcPr>
          <w:p>
            <w:pPr>
              <w:spacing w:after="0"/>
              <w:rPr>
                <w:sz w:val="15"/>
                <w:szCs w:val="15"/>
                <w:color w:val="auto"/>
              </w:rPr>
            </w:pPr>
          </w:p>
        </w:tc>
        <w:tc>
          <w:tcPr>
            <w:tcW w:w="84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0000FF"/>
              </w:rPr>
              <w:t>31.</w:t>
            </w:r>
            <w:r>
              <w:rPr>
                <w:rFonts w:ascii="Times New Roman" w:cs="Times New Roman" w:eastAsia="Times New Roman" w:hAnsi="Times New Roman"/>
                <w:sz w:val="16"/>
                <w:szCs w:val="16"/>
                <w:u w:val="single" w:color="auto"/>
                <w:color w:val="0000FF"/>
              </w:rPr>
              <w:t>2</w:t>
            </w:r>
            <w:r>
              <w:rPr>
                <w:rFonts w:ascii="Times New Roman" w:cs="Times New Roman" w:eastAsia="Times New Roman" w:hAnsi="Times New Roman"/>
                <w:sz w:val="16"/>
                <w:szCs w:val="16"/>
                <w:color w:val="000000"/>
              </w:rPr>
              <w:t>*</w:t>
            </w:r>
          </w:p>
        </w:tc>
        <w:tc>
          <w:tcPr>
            <w:tcW w:w="120" w:type="dxa"/>
            <w:vAlign w:val="bottom"/>
          </w:tcPr>
          <w:p>
            <w:pPr>
              <w:spacing w:after="0"/>
              <w:rPr>
                <w:sz w:val="15"/>
                <w:szCs w:val="15"/>
                <w:color w:val="auto"/>
              </w:rPr>
            </w:pPr>
          </w:p>
        </w:tc>
        <w:tc>
          <w:tcPr>
            <w:tcW w:w="9060" w:type="dxa"/>
            <w:vAlign w:val="bottom"/>
            <w:gridSpan w:val="5"/>
          </w:tcPr>
          <w:p>
            <w:pPr>
              <w:ind w:left="20"/>
              <w:spacing w:after="0" w:line="175" w:lineRule="exact"/>
              <w:rPr>
                <w:sz w:val="20"/>
                <w:szCs w:val="20"/>
                <w:color w:val="auto"/>
              </w:rPr>
            </w:pPr>
            <w:r>
              <w:rPr>
                <w:rFonts w:ascii="Times New Roman" w:cs="Times New Roman" w:eastAsia="Times New Roman" w:hAnsi="Times New Roman"/>
                <w:sz w:val="16"/>
                <w:szCs w:val="16"/>
                <w:color w:val="0000FF"/>
              </w:rPr>
              <w:t>Certification of Principal Financial Officer pursuant to Section 302 of the Sarbanes Oxley Act of 2002.</w:t>
            </w:r>
          </w:p>
        </w:tc>
      </w:tr>
      <w:tr>
        <w:trPr>
          <w:trHeight w:val="21"/>
        </w:trPr>
        <w:tc>
          <w:tcPr>
            <w:tcW w:w="2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5"/>
        </w:trPr>
        <w:tc>
          <w:tcPr>
            <w:tcW w:w="860" w:type="dxa"/>
            <w:vAlign w:val="bottom"/>
            <w:gridSpan w:val="3"/>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0000FF"/>
              </w:rPr>
              <w:t>32.</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00"/>
              </w:rPr>
              <w:t>**</w:t>
            </w:r>
          </w:p>
        </w:tc>
        <w:tc>
          <w:tcPr>
            <w:tcW w:w="120" w:type="dxa"/>
            <w:vAlign w:val="bottom"/>
            <w:shd w:val="clear" w:color="auto" w:fill="CCEEFF"/>
          </w:tcPr>
          <w:p>
            <w:pPr>
              <w:spacing w:after="0"/>
              <w:rPr>
                <w:sz w:val="15"/>
                <w:szCs w:val="15"/>
                <w:color w:val="auto"/>
              </w:rPr>
            </w:pPr>
          </w:p>
        </w:tc>
        <w:tc>
          <w:tcPr>
            <w:tcW w:w="9060" w:type="dxa"/>
            <w:vAlign w:val="bottom"/>
            <w:gridSpan w:val="5"/>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0000FF"/>
              </w:rPr>
              <w:t>Certification of Principal Executive Officer and Principal Financial Officer pursuant to Section 906 of the Sarbanes Oxley Act.</w:t>
            </w: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68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1520" w:type="dxa"/>
            <w:vAlign w:val="bottom"/>
            <w:tcBorders>
              <w:top w:val="single" w:sz="8" w:color="0000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r>
      <w:tr>
        <w:trPr>
          <w:trHeight w:val="210"/>
        </w:trPr>
        <w:tc>
          <w:tcPr>
            <w:tcW w:w="2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101.INS*</w:t>
            </w:r>
          </w:p>
        </w:tc>
        <w:tc>
          <w:tcPr>
            <w:tcW w:w="90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XBRL Instance Document</w:t>
            </w:r>
          </w:p>
        </w:tc>
      </w:tr>
      <w:tr>
        <w:trPr>
          <w:trHeight w:val="46"/>
        </w:trPr>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101.SCH*</w:t>
            </w:r>
          </w:p>
        </w:tc>
        <w:tc>
          <w:tcPr>
            <w:tcW w:w="906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10"/>
        </w:trPr>
        <w:tc>
          <w:tcPr>
            <w:tcW w:w="2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101.CAL*</w:t>
            </w:r>
          </w:p>
        </w:tc>
        <w:tc>
          <w:tcPr>
            <w:tcW w:w="90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46"/>
        </w:trPr>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101.DEF*</w:t>
            </w:r>
          </w:p>
        </w:tc>
        <w:tc>
          <w:tcPr>
            <w:tcW w:w="906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10"/>
        </w:trPr>
        <w:tc>
          <w:tcPr>
            <w:tcW w:w="2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101.LAB*</w:t>
            </w:r>
          </w:p>
        </w:tc>
        <w:tc>
          <w:tcPr>
            <w:tcW w:w="90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46"/>
        </w:trPr>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10"/>
        </w:trPr>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101.PRE*</w:t>
            </w:r>
          </w:p>
        </w:tc>
        <w:tc>
          <w:tcPr>
            <w:tcW w:w="90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r>
        <w:trPr>
          <w:trHeight w:val="46"/>
        </w:trPr>
        <w:tc>
          <w:tcPr>
            <w:tcW w:w="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66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52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r>
    </w:tbl>
    <w:p>
      <w:pPr>
        <w:ind w:left="620" w:right="1880"/>
        <w:spacing w:after="0" w:line="334" w:lineRule="auto"/>
        <w:tabs>
          <w:tab w:leader="none" w:pos="1605"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 and contained in Exhibit 101). * Filed herewith.</w:t>
      </w:r>
    </w:p>
    <w:p>
      <w:pPr>
        <w:ind w:left="6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18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1660" w:type="dxa"/>
        <w:tblCellMar>
          <w:top w:w="0" w:type="dxa"/>
          <w:left w:w="0" w:type="dxa"/>
          <w:bottom w:w="0" w:type="dxa"/>
          <w:right w:w="0" w:type="dxa"/>
        </w:tblCellMar>
      </w:tblPr>
      <w:tr>
        <w:trPr>
          <w:trHeight w:val="212"/>
        </w:trPr>
        <w:tc>
          <w:tcPr>
            <w:tcW w:w="2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THE SIMPLY GOOD FOODS COMPANY</w:t>
            </w:r>
          </w:p>
        </w:tc>
      </w:tr>
      <w:tr>
        <w:trPr>
          <w:trHeight w:val="408"/>
        </w:trPr>
        <w:tc>
          <w:tcPr>
            <w:tcW w:w="2300" w:type="dxa"/>
            <w:vAlign w:val="bottom"/>
          </w:tcPr>
          <w:p>
            <w:pPr>
              <w:spacing w:after="0"/>
              <w:rPr>
                <w:sz w:val="24"/>
                <w:szCs w:val="24"/>
                <w:color w:val="auto"/>
              </w:rPr>
            </w:pPr>
          </w:p>
        </w:tc>
        <w:tc>
          <w:tcPr>
            <w:tcW w:w="564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By: /s/ Timothy A. Matthews</w:t>
            </w:r>
          </w:p>
        </w:tc>
      </w:tr>
      <w:tr>
        <w:trPr>
          <w:trHeight w:val="20"/>
        </w:trPr>
        <w:tc>
          <w:tcPr>
            <w:tcW w:w="2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r>
      <w:tr>
        <w:trPr>
          <w:trHeight w:val="415"/>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Date:   June 30, 2022</w:t>
            </w:r>
          </w:p>
        </w:tc>
        <w:tc>
          <w:tcPr>
            <w:tcW w:w="5640" w:type="dxa"/>
            <w:vAlign w:val="bottom"/>
            <w:gridSpan w:val="2"/>
          </w:tcPr>
          <w:p>
            <w:pPr>
              <w:ind w:left="780"/>
              <w:spacing w:after="0"/>
              <w:rPr>
                <w:sz w:val="20"/>
                <w:szCs w:val="20"/>
                <w:color w:val="auto"/>
              </w:rPr>
            </w:pPr>
            <w:r>
              <w:rPr>
                <w:rFonts w:ascii="Times New Roman" w:cs="Times New Roman" w:eastAsia="Times New Roman" w:hAnsi="Times New Roman"/>
                <w:sz w:val="32"/>
                <w:szCs w:val="32"/>
                <w:color w:val="auto"/>
                <w:vertAlign w:val="subscript"/>
              </w:rPr>
              <w:t>Name:</w:t>
            </w:r>
            <w:r>
              <w:rPr>
                <w:rFonts w:ascii="Times New Roman" w:cs="Times New Roman" w:eastAsia="Times New Roman" w:hAnsi="Times New Roman"/>
                <w:sz w:val="16"/>
                <w:szCs w:val="16"/>
                <w:color w:val="auto"/>
              </w:rPr>
              <w:t xml:space="preserve"> Timothy A. Matthews</w:t>
            </w:r>
          </w:p>
        </w:tc>
      </w:tr>
      <w:tr>
        <w:trPr>
          <w:trHeight w:val="322"/>
        </w:trPr>
        <w:tc>
          <w:tcPr>
            <w:tcW w:w="2300" w:type="dxa"/>
            <w:vAlign w:val="bottom"/>
          </w:tcPr>
          <w:p>
            <w:pPr>
              <w:spacing w:after="0"/>
              <w:rPr>
                <w:sz w:val="24"/>
                <w:szCs w:val="24"/>
                <w:color w:val="auto"/>
              </w:rPr>
            </w:pPr>
          </w:p>
        </w:tc>
        <w:tc>
          <w:tcPr>
            <w:tcW w:w="5640" w:type="dxa"/>
            <w:vAlign w:val="bottom"/>
            <w:gridSpan w:val="2"/>
          </w:tcPr>
          <w:p>
            <w:pPr>
              <w:ind w:left="860"/>
              <w:spacing w:after="0" w:line="322" w:lineRule="exact"/>
              <w:rPr>
                <w:sz w:val="20"/>
                <w:szCs w:val="20"/>
                <w:color w:val="auto"/>
              </w:rPr>
            </w:pPr>
            <w:r>
              <w:rPr>
                <w:rFonts w:ascii="Times New Roman" w:cs="Times New Roman" w:eastAsia="Times New Roman" w:hAnsi="Times New Roman"/>
                <w:sz w:val="32"/>
                <w:szCs w:val="32"/>
                <w:color w:val="auto"/>
                <w:vertAlign w:val="subscript"/>
              </w:rPr>
              <w:t>Title:</w:t>
            </w:r>
            <w:r>
              <w:rPr>
                <w:rFonts w:ascii="Times New Roman" w:cs="Times New Roman" w:eastAsia="Times New Roman" w:hAnsi="Times New Roman"/>
                <w:sz w:val="16"/>
                <w:szCs w:val="16"/>
                <w:color w:val="auto"/>
              </w:rPr>
              <w:t xml:space="preserve"> Vice President, Controller, and Chief Accounting Officer</w:t>
            </w:r>
          </w:p>
        </w:tc>
      </w:tr>
      <w:tr>
        <w:trPr>
          <w:trHeight w:val="212"/>
        </w:trPr>
        <w:tc>
          <w:tcPr>
            <w:tcW w:w="2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460"/>
          </w:cols>
          <w:pgMar w:left="320" w:top="121" w:right="111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E. Scalzo, certify that:</w:t>
      </w:r>
    </w:p>
    <w:p>
      <w:pPr>
        <w:spacing w:after="0" w:line="225" w:lineRule="exact"/>
        <w:rPr>
          <w:sz w:val="20"/>
          <w:szCs w:val="20"/>
          <w:color w:val="auto"/>
        </w:rPr>
      </w:pPr>
    </w:p>
    <w:p>
      <w:pPr>
        <w:ind w:left="420" w:hanging="232"/>
        <w:spacing w:after="0"/>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Simply Good Foods Company (the "registrant");</w:t>
      </w:r>
    </w:p>
    <w:p>
      <w:pPr>
        <w:spacing w:after="0" w:line="225" w:lineRule="exact"/>
        <w:rPr>
          <w:rFonts w:ascii="Times New Roman" w:cs="Times New Roman" w:eastAsia="Times New Roman" w:hAnsi="Times New Roman"/>
          <w:sz w:val="18"/>
          <w:szCs w:val="18"/>
          <w:color w:val="auto"/>
        </w:rPr>
      </w:pPr>
    </w:p>
    <w:p>
      <w:pPr>
        <w:ind w:firstLine="232"/>
        <w:spacing w:after="0" w:line="282" w:lineRule="auto"/>
        <w:tabs>
          <w:tab w:leader="none" w:pos="47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236"/>
        <w:spacing w:after="0" w:line="282" w:lineRule="auto"/>
        <w:tabs>
          <w:tab w:leader="none" w:pos="477"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276"/>
        <w:spacing w:after="0" w:line="266" w:lineRule="auto"/>
        <w:tabs>
          <w:tab w:leader="none" w:pos="534" w:val="left"/>
        </w:tabs>
        <w:numPr>
          <w:ilvl w:val="3"/>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873" w:val="left"/>
        </w:tabs>
        <w:numPr>
          <w:ilvl w:val="4"/>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27" w:val="left"/>
        </w:tabs>
        <w:numPr>
          <w:ilvl w:val="4"/>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223"/>
        <w:spacing w:after="0" w:line="282" w:lineRule="auto"/>
        <w:tabs>
          <w:tab w:leader="none" w:pos="454"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766" w:val="left"/>
        </w:tabs>
        <w:numPr>
          <w:ilvl w:val="4"/>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807" w:val="left"/>
        </w:tabs>
        <w:numPr>
          <w:ilvl w:val="4"/>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Date: June 30, 2022</w:t>
            </w:r>
          </w:p>
        </w:tc>
        <w:tc>
          <w:tcPr>
            <w:tcW w:w="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By:</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Joseph E. Scalzo</w:t>
            </w:r>
          </w:p>
        </w:tc>
        <w:tc>
          <w:tcPr>
            <w:tcW w:w="0" w:type="dxa"/>
            <w:vAlign w:val="bottom"/>
          </w:tcPr>
          <w:p>
            <w:pPr>
              <w:spacing w:after="0"/>
              <w:rPr>
                <w:sz w:val="1"/>
                <w:szCs w:val="1"/>
                <w:color w:val="auto"/>
              </w:rPr>
            </w:pPr>
          </w:p>
        </w:tc>
      </w:tr>
      <w:tr>
        <w:trPr>
          <w:trHeight w:val="168"/>
        </w:trPr>
        <w:tc>
          <w:tcPr>
            <w:tcW w:w="1440" w:type="dxa"/>
            <w:vAlign w:val="bottom"/>
          </w:tcPr>
          <w:p>
            <w:pPr>
              <w:spacing w:after="0"/>
              <w:rPr>
                <w:sz w:val="14"/>
                <w:szCs w:val="14"/>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Name:</w:t>
            </w:r>
          </w:p>
        </w:tc>
        <w:tc>
          <w:tcPr>
            <w:tcW w:w="3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4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Joseph E. Scalzo</w:t>
            </w:r>
          </w:p>
        </w:tc>
        <w:tc>
          <w:tcPr>
            <w:tcW w:w="0" w:type="dxa"/>
            <w:vAlign w:val="bottom"/>
          </w:tcPr>
          <w:p>
            <w:pPr>
              <w:spacing w:after="0"/>
              <w:rPr>
                <w:sz w:val="1"/>
                <w:szCs w:val="1"/>
                <w:color w:val="auto"/>
              </w:rPr>
            </w:pPr>
          </w:p>
        </w:tc>
      </w:tr>
      <w:tr>
        <w:trPr>
          <w:trHeight w:val="256"/>
        </w:trPr>
        <w:tc>
          <w:tcPr>
            <w:tcW w:w="1440" w:type="dxa"/>
            <w:vAlign w:val="bottom"/>
          </w:tcPr>
          <w:p>
            <w:pPr>
              <w:spacing w:after="0"/>
              <w:rPr>
                <w:sz w:val="22"/>
                <w:szCs w:val="22"/>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Title:</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1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E. Cunfer, certify that:</w:t>
      </w:r>
    </w:p>
    <w:p>
      <w:pPr>
        <w:spacing w:after="0" w:line="225" w:lineRule="exact"/>
        <w:rPr>
          <w:sz w:val="20"/>
          <w:szCs w:val="20"/>
          <w:color w:val="auto"/>
        </w:rPr>
      </w:pPr>
    </w:p>
    <w:p>
      <w:pPr>
        <w:ind w:left="420" w:hanging="232"/>
        <w:spacing w:after="0"/>
        <w:tabs>
          <w:tab w:leader="none" w:pos="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Simply Good Foods Company (the "registrant");</w:t>
      </w:r>
    </w:p>
    <w:p>
      <w:pPr>
        <w:spacing w:after="0" w:line="225" w:lineRule="exact"/>
        <w:rPr>
          <w:rFonts w:ascii="Times New Roman" w:cs="Times New Roman" w:eastAsia="Times New Roman" w:hAnsi="Times New Roman"/>
          <w:sz w:val="18"/>
          <w:szCs w:val="18"/>
          <w:color w:val="auto"/>
        </w:rPr>
      </w:pPr>
    </w:p>
    <w:p>
      <w:pPr>
        <w:ind w:firstLine="232"/>
        <w:spacing w:after="0" w:line="282" w:lineRule="auto"/>
        <w:tabs>
          <w:tab w:leader="none" w:pos="47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236"/>
        <w:spacing w:after="0" w:line="282" w:lineRule="auto"/>
        <w:tabs>
          <w:tab w:leader="none" w:pos="477"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276"/>
        <w:spacing w:after="0" w:line="266" w:lineRule="auto"/>
        <w:tabs>
          <w:tab w:leader="none" w:pos="534" w:val="left"/>
        </w:tabs>
        <w:numPr>
          <w:ilvl w:val="3"/>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873" w:val="left"/>
        </w:tabs>
        <w:numPr>
          <w:ilvl w:val="4"/>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27" w:val="left"/>
        </w:tabs>
        <w:numPr>
          <w:ilvl w:val="4"/>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223"/>
        <w:spacing w:after="0" w:line="282" w:lineRule="auto"/>
        <w:tabs>
          <w:tab w:leader="none" w:pos="45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766" w:val="left"/>
        </w:tabs>
        <w:numPr>
          <w:ilvl w:val="4"/>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807" w:val="left"/>
        </w:tabs>
        <w:numPr>
          <w:ilvl w:val="4"/>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Date: June 30, 2022</w:t>
            </w:r>
          </w:p>
        </w:tc>
        <w:tc>
          <w:tcPr>
            <w:tcW w:w="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By:</w:t>
            </w:r>
          </w:p>
        </w:tc>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 Todd E. Cunfer</w:t>
            </w:r>
          </w:p>
        </w:tc>
        <w:tc>
          <w:tcPr>
            <w:tcW w:w="0" w:type="dxa"/>
            <w:vAlign w:val="bottom"/>
          </w:tcPr>
          <w:p>
            <w:pPr>
              <w:spacing w:after="0"/>
              <w:rPr>
                <w:sz w:val="1"/>
                <w:szCs w:val="1"/>
                <w:color w:val="auto"/>
              </w:rPr>
            </w:pPr>
          </w:p>
        </w:tc>
      </w:tr>
      <w:tr>
        <w:trPr>
          <w:trHeight w:val="59"/>
        </w:trPr>
        <w:tc>
          <w:tcPr>
            <w:tcW w:w="1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350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Name:</w:t>
            </w:r>
          </w:p>
        </w:tc>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Todd E. Cunfer</w:t>
            </w:r>
          </w:p>
        </w:tc>
        <w:tc>
          <w:tcPr>
            <w:tcW w:w="0" w:type="dxa"/>
            <w:vAlign w:val="bottom"/>
          </w:tcPr>
          <w:p>
            <w:pPr>
              <w:spacing w:after="0"/>
              <w:rPr>
                <w:sz w:val="1"/>
                <w:szCs w:val="1"/>
                <w:color w:val="auto"/>
              </w:rPr>
            </w:pPr>
          </w:p>
        </w:tc>
      </w:tr>
      <w:tr>
        <w:trPr>
          <w:trHeight w:val="54"/>
        </w:trPr>
        <w:tc>
          <w:tcPr>
            <w:tcW w:w="1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3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Title:</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270"/>
        </w:trPr>
        <w:tc>
          <w:tcPr>
            <w:tcW w:w="1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ind w:firstLine="2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The Simply Good Foods Company (the “Company”) on Form 10-Q for the fiscal period ended May 28, 2022 as filed with the Securities and Exchange Commission on the date hereof (the “Report”), each of the undersigned officers of the Company hereby certifies, pursuant to 18 U.S.C. § 1350, as adopted pursuant to § 906 of the Sarbanes-Oxley Act of 2002, that, to such officer's knowledge:</w:t>
      </w:r>
    </w:p>
    <w:p>
      <w:pPr>
        <w:spacing w:after="0" w:line="203" w:lineRule="exact"/>
        <w:rPr>
          <w:sz w:val="20"/>
          <w:szCs w:val="20"/>
          <w:color w:val="auto"/>
        </w:rPr>
      </w:pPr>
    </w:p>
    <w:p>
      <w:pPr>
        <w:ind w:left="360" w:hanging="172"/>
        <w:spacing w:after="0"/>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firstLine="259"/>
        <w:spacing w:after="0" w:line="282" w:lineRule="auto"/>
        <w:tabs>
          <w:tab w:leader="none" w:pos="44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covered by the Report.</w:t>
      </w:r>
    </w:p>
    <w:p>
      <w:pPr>
        <w:spacing w:after="0" w:line="200" w:lineRule="exact"/>
        <w:rPr>
          <w:sz w:val="20"/>
          <w:szCs w:val="20"/>
          <w:color w:val="auto"/>
        </w:rPr>
      </w:pPr>
    </w:p>
    <w:p>
      <w:pPr>
        <w:spacing w:after="0" w:line="232" w:lineRule="exact"/>
        <w:rPr>
          <w:sz w:val="20"/>
          <w:szCs w:val="20"/>
          <w:color w:val="auto"/>
        </w:rPr>
      </w:pPr>
    </w:p>
    <w:p>
      <w:pPr>
        <w:ind w:firstLine="178"/>
        <w:spacing w:after="0" w:line="282" w:lineRule="auto"/>
        <w:rPr>
          <w:sz w:val="20"/>
          <w:szCs w:val="20"/>
          <w:color w:val="auto"/>
        </w:rPr>
      </w:pPr>
      <w:r>
        <w:rPr>
          <w:rFonts w:ascii="Times New Roman" w:cs="Times New Roman" w:eastAsia="Times New Roman" w:hAnsi="Times New Roman"/>
          <w:sz w:val="18"/>
          <w:szCs w:val="18"/>
          <w:color w:val="auto"/>
        </w:rPr>
        <w:t>This certificate is being furnished solely for the purposes of 18 U.S.C. Section 1350 and is not being filed as part of the Report or as a separate disclosure document.</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Date: June 30, 2022</w:t>
            </w:r>
          </w:p>
        </w:tc>
        <w:tc>
          <w:tcPr>
            <w:tcW w:w="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By:</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Joseph E. Scalzo</w:t>
            </w:r>
          </w:p>
        </w:tc>
        <w:tc>
          <w:tcPr>
            <w:tcW w:w="0" w:type="dxa"/>
            <w:vAlign w:val="bottom"/>
          </w:tcPr>
          <w:p>
            <w:pPr>
              <w:spacing w:after="0"/>
              <w:rPr>
                <w:sz w:val="1"/>
                <w:szCs w:val="1"/>
                <w:color w:val="auto"/>
              </w:rPr>
            </w:pPr>
          </w:p>
        </w:tc>
      </w:tr>
      <w:tr>
        <w:trPr>
          <w:trHeight w:val="168"/>
        </w:trPr>
        <w:tc>
          <w:tcPr>
            <w:tcW w:w="1440" w:type="dxa"/>
            <w:vAlign w:val="bottom"/>
          </w:tcPr>
          <w:p>
            <w:pPr>
              <w:spacing w:after="0"/>
              <w:rPr>
                <w:sz w:val="14"/>
                <w:szCs w:val="14"/>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Name:</w:t>
            </w:r>
          </w:p>
        </w:tc>
        <w:tc>
          <w:tcPr>
            <w:tcW w:w="3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4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Joseph E. Scalzo</w:t>
            </w:r>
          </w:p>
        </w:tc>
        <w:tc>
          <w:tcPr>
            <w:tcW w:w="0" w:type="dxa"/>
            <w:vAlign w:val="bottom"/>
          </w:tcPr>
          <w:p>
            <w:pPr>
              <w:spacing w:after="0"/>
              <w:rPr>
                <w:sz w:val="1"/>
                <w:szCs w:val="1"/>
                <w:color w:val="auto"/>
              </w:rPr>
            </w:pPr>
          </w:p>
        </w:tc>
      </w:tr>
      <w:tr>
        <w:trPr>
          <w:trHeight w:val="256"/>
        </w:trPr>
        <w:tc>
          <w:tcPr>
            <w:tcW w:w="1440" w:type="dxa"/>
            <w:vAlign w:val="bottom"/>
          </w:tcPr>
          <w:p>
            <w:pPr>
              <w:spacing w:after="0"/>
              <w:rPr>
                <w:sz w:val="22"/>
                <w:szCs w:val="22"/>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Title:</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1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0" w:type="dxa"/>
            <w:vAlign w:val="bottom"/>
          </w:tcPr>
          <w:p>
            <w:pPr>
              <w:spacing w:after="0"/>
              <w:rPr>
                <w:sz w:val="1"/>
                <w:szCs w:val="1"/>
                <w:color w:val="auto"/>
              </w:rPr>
            </w:pPr>
          </w:p>
        </w:tc>
      </w:tr>
      <w:tr>
        <w:trPr>
          <w:trHeight w:val="580"/>
        </w:trPr>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Date: June 30, 2022</w:t>
            </w:r>
          </w:p>
        </w:tc>
        <w:tc>
          <w:tcPr>
            <w:tcW w:w="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By:</w:t>
            </w:r>
          </w:p>
        </w:tc>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Todd E. Cunfer</w:t>
            </w:r>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Name:</w:t>
            </w:r>
          </w:p>
        </w:tc>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Todd E. Cunfer</w:t>
            </w:r>
          </w:p>
        </w:tc>
        <w:tc>
          <w:tcPr>
            <w:tcW w:w="0" w:type="dxa"/>
            <w:vAlign w:val="bottom"/>
          </w:tcPr>
          <w:p>
            <w:pPr>
              <w:spacing w:after="0"/>
              <w:rPr>
                <w:sz w:val="1"/>
                <w:szCs w:val="1"/>
                <w:color w:val="auto"/>
              </w:rPr>
            </w:pPr>
          </w:p>
        </w:tc>
      </w:tr>
      <w:tr>
        <w:trPr>
          <w:trHeight w:val="54"/>
        </w:trPr>
        <w:tc>
          <w:tcPr>
            <w:tcW w:w="1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3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Title:</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270"/>
        </w:trPr>
        <w:tc>
          <w:tcPr>
            <w:tcW w:w="1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lowerRoman"/>
      <w:start w:val="1"/>
    </w:lvl>
  </w:abstractNum>
  <w:abstractNum w:abstractNumId="4">
    <w:nsid w:val="3352255A"/>
    <w:multiLevelType w:val="hybridMultilevel"/>
    <w:lvl w:ilvl="0">
      <w:lvlJc w:val="left"/>
      <w:lvlText w:val="%1."/>
      <w:numFmt w:val="decimal"/>
      <w:start w:val="7"/>
    </w:lvl>
  </w:abstractNum>
  <w:abstractNum w:abstractNumId="5">
    <w:nsid w:val="109CF92E"/>
    <w:multiLevelType w:val="hybridMultilevel"/>
    <w:lvl w:ilvl="0">
      <w:lvlJc w:val="left"/>
      <w:lvlText w:val="%1."/>
      <w:numFmt w:val="decimal"/>
      <w:start w:val="8"/>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lowerRoman"/>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04"/>
    </w:lvl>
  </w:abstractNum>
  <w:abstractNum w:abstractNumId="16">
    <w:nsid w:val="7C83E458"/>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17">
    <w:nsid w:val="257130A3"/>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18">
    <w:nsid w:val="62BBD95A"/>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19">
    <w:nsid w:val="436C6125"/>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20">
    <w:nsid w:val="628C895D"/>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2022-06-30T11:43:03Z</dcterms:created>
  <dcterms:modified xsi:type="dcterms:W3CDTF">2022-06-30T11:43:03Z</dcterms:modified>
</cp:coreProperties>
</file>