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30" w:lineRule="exact"/>
        <w:rPr>
          <w:sz w:val="24"/>
          <w:szCs w:val="24"/>
          <w:color w:val="auto"/>
        </w:rPr>
      </w:pPr>
    </w:p>
    <w:p>
      <w:pPr>
        <w:ind w:left="90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1980" w:right="620" w:hanging="777"/>
        <w:spacing w:after="0" w:line="232" w:lineRule="auto"/>
        <w:tabs>
          <w:tab w:leader="none" w:pos="198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August 26, 2023</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1980" w:right="620" w:hanging="777"/>
        <w:spacing w:after="0" w:line="232" w:lineRule="auto"/>
        <w:tabs>
          <w:tab w:leader="none" w:pos="1980" w:val="left"/>
        </w:tabs>
        <w:numPr>
          <w:ilvl w:val="0"/>
          <w:numId w:val="2"/>
        </w:numPr>
        <w:rPr>
          <w:rFonts w:ascii="MS PGothic" w:cs="MS PGothic" w:eastAsia="MS PGothic" w:hAnsi="MS PGothic"/>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Simply Good Foods Company</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1025" w:right="339" w:bottom="233" w:gutter="0" w:footer="0" w:header="0"/>
        </w:sectPr>
      </w:pPr>
    </w:p>
    <w:p>
      <w:pPr>
        <w:spacing w:after="0" w:line="162"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86" w:lineRule="exact"/>
        <w:rPr>
          <w:sz w:val="24"/>
          <w:szCs w:val="24"/>
          <w:color w:val="auto"/>
        </w:rPr>
      </w:pPr>
    </w:p>
    <w:p>
      <w:pPr>
        <w:sectPr>
          <w:pgSz w:w="11900" w:h="16838" w:orient="portrait"/>
          <w:cols w:equalWidth="0" w:num="2">
            <w:col w:w="8100" w:space="720"/>
            <w:col w:w="2420"/>
          </w:cols>
          <w:pgMar w:left="320" w:top="1025" w:right="339" w:bottom="233" w:gutter="0" w:footer="0" w:header="0"/>
          <w:type w:val="continuous"/>
        </w:sectPr>
      </w:pPr>
    </w:p>
    <w:tbl>
      <w:tblPr>
        <w:tblLayout w:type="fixed"/>
        <w:tblInd w:w="860" w:type="dxa"/>
        <w:tblCellMar>
          <w:top w:w="0" w:type="dxa"/>
          <w:left w:w="0" w:type="dxa"/>
          <w:bottom w:w="0" w:type="dxa"/>
          <w:right w:w="0" w:type="dxa"/>
        </w:tblCellMar>
      </w:tblPr>
      <w:tr>
        <w:trPr>
          <w:trHeight w:val="184"/>
        </w:trPr>
        <w:tc>
          <w:tcPr>
            <w:tcW w:w="4580" w:type="dxa"/>
            <w:vAlign w:val="bottom"/>
          </w:tcPr>
          <w:p>
            <w:pPr>
              <w:jc w:val="center"/>
              <w:ind w:right="2539"/>
              <w:spacing w:after="0"/>
              <w:rPr>
                <w:sz w:val="20"/>
                <w:szCs w:val="20"/>
                <w:color w:val="auto"/>
              </w:rPr>
            </w:pPr>
            <w:r>
              <w:rPr>
                <w:rFonts w:ascii="Arial" w:cs="Arial" w:eastAsia="Arial" w:hAnsi="Arial"/>
                <w:sz w:val="16"/>
                <w:szCs w:val="16"/>
                <w:color w:val="auto"/>
                <w:w w:val="93"/>
              </w:rPr>
              <w:t>(State or other jurisdiction of</w:t>
            </w:r>
          </w:p>
        </w:tc>
        <w:tc>
          <w:tcPr>
            <w:tcW w:w="5000" w:type="dxa"/>
            <w:vAlign w:val="bottom"/>
            <w:vMerge w:val="restart"/>
          </w:tcPr>
          <w:p>
            <w:pPr>
              <w:ind w:left="264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580" w:type="dxa"/>
            <w:vAlign w:val="bottom"/>
            <w:vMerge w:val="restart"/>
          </w:tcPr>
          <w:p>
            <w:pPr>
              <w:jc w:val="center"/>
              <w:ind w:right="2539"/>
              <w:spacing w:after="0"/>
              <w:rPr>
                <w:sz w:val="20"/>
                <w:szCs w:val="20"/>
                <w:color w:val="auto"/>
              </w:rPr>
            </w:pPr>
            <w:r>
              <w:rPr>
                <w:rFonts w:ascii="Arial" w:cs="Arial" w:eastAsia="Arial" w:hAnsi="Arial"/>
                <w:sz w:val="16"/>
                <w:szCs w:val="16"/>
                <w:color w:val="auto"/>
                <w:w w:val="94"/>
              </w:rPr>
              <w:t>incorporation or organization)</w:t>
            </w: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r>
        <w:rPr>
          <w:rFonts w:ascii="Arial" w:cs="Arial" w:eastAsia="Arial" w:hAnsi="Arial"/>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206"/>
        </w:trPr>
        <w:tc>
          <w:tcPr>
            <w:tcW w:w="34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33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Trading Symbol(s)</w:t>
            </w:r>
          </w:p>
        </w:tc>
        <w:tc>
          <w:tcPr>
            <w:tcW w:w="32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r>
        <w:trPr>
          <w:trHeight w:val="203"/>
        </w:trPr>
        <w:tc>
          <w:tcPr>
            <w:tcW w:w="34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Common Stock, par value $0.01 per share</w:t>
            </w:r>
          </w:p>
        </w:tc>
        <w:tc>
          <w:tcPr>
            <w:tcW w:w="334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SMPL</w:t>
            </w:r>
          </w:p>
        </w:tc>
        <w:tc>
          <w:tcPr>
            <w:tcW w:w="328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5" w:right="339" w:bottom="233" w:gutter="0" w:footer="0" w:header="0"/>
          <w:type w:val="continuous"/>
        </w:sectPr>
      </w:pPr>
    </w:p>
    <w:p>
      <w:pPr>
        <w:spacing w:after="0" w:line="148"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330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ind w:left="760"/>
        <w:spacing w:after="0" w:line="173"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5"/>
          <w:szCs w:val="15"/>
          <w:color w:val="auto"/>
        </w:rPr>
        <w:t>☐</w:t>
      </w:r>
    </w:p>
    <w:p>
      <w:pPr>
        <w:spacing w:after="0" w:line="131"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ind w:left="20"/>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3">
            <w:col w:w="4820" w:space="100"/>
            <w:col w:w="160" w:space="680"/>
            <w:col w:w="5480"/>
          </w:cols>
          <w:pgMar w:left="320" w:top="1025" w:right="339" w:bottom="233" w:gutter="0" w:footer="0" w:header="0"/>
          <w:type w:val="continuous"/>
        </w:sectPr>
      </w:pPr>
    </w:p>
    <w:bookmarkStart w:id="1" w:name="page2"/>
    <w:bookmarkEnd w:id="1"/>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1"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3" w:lineRule="exact"/>
        <w:rPr>
          <w:sz w:val="20"/>
          <w:szCs w:val="20"/>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1" w:lineRule="exact"/>
        <w:rPr>
          <w:sz w:val="20"/>
          <w:szCs w:val="20"/>
          <w:color w:val="auto"/>
        </w:rPr>
      </w:pPr>
    </w:p>
    <w:p>
      <w:pPr>
        <w:ind w:right="40"/>
        <w:spacing w:after="0" w:line="238"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common stock held by non-affiliates of the registrant as of February 24, 2023, the last trading day of the registrant’s most recently completed second fiscal quarter was approximately $3.5 billion based on the closing price of $38.54 for one share of common stock, as reported on the Nasdaq Capital Market on that date.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18, 2023, there were 99,603,880 shares of common stock, par value $0.01 per share,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firstLine="224"/>
        <w:spacing w:after="0" w:line="223" w:lineRule="exact"/>
        <w:rPr>
          <w:sz w:val="20"/>
          <w:szCs w:val="20"/>
          <w:color w:val="auto"/>
        </w:rPr>
      </w:pPr>
      <w:r>
        <w:rPr>
          <w:rFonts w:ascii="Arial" w:cs="Arial" w:eastAsia="Arial" w:hAnsi="Arial"/>
          <w:sz w:val="18"/>
          <w:szCs w:val="18"/>
          <w:color w:val="auto"/>
        </w:rPr>
        <w:t>Certain portions of the registrant’s definitive proxy statement, in connection with its 2024 annual meeting of stockholders, to be filed within 120 days after the end of fiscal year ended August 26, 2023, are incorporated by reference into Part III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7A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9A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9B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9C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16</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5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1"/>
          </w:tcPr>
          <w:p>
            <w:pPr>
              <w:jc w:val="center"/>
              <w:ind w:right="4160"/>
              <w:spacing w:after="0"/>
              <w:rPr>
                <w:sz w:val="20"/>
                <w:szCs w:val="20"/>
                <w:color w:val="auto"/>
              </w:rPr>
            </w:pPr>
            <w:r>
              <w:rPr>
                <w:rFonts w:ascii="Arial" w:cs="Arial" w:eastAsia="Arial" w:hAnsi="Arial"/>
                <w:sz w:val="18"/>
                <w:szCs w:val="18"/>
                <w:b w:val="1"/>
                <w:bCs w:val="1"/>
                <w:color w:val="0000FF"/>
                <w:w w:val="98"/>
              </w:rPr>
              <w:t>PART I</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2780" w:type="dxa"/>
            <w:vAlign w:val="bottom"/>
            <w:gridSpan w:val="15"/>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200" w:type="dxa"/>
            <w:vAlign w:val="bottom"/>
            <w:gridSpan w:val="9"/>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100" w:type="dxa"/>
            <w:vAlign w:val="bottom"/>
          </w:tcPr>
          <w:p>
            <w:pPr>
              <w:spacing w:after="0"/>
              <w:rPr>
                <w:sz w:val="20"/>
                <w:szCs w:val="20"/>
                <w:color w:val="auto"/>
              </w:rPr>
            </w:pPr>
          </w:p>
        </w:tc>
      </w:tr>
      <w:tr>
        <w:trPr>
          <w:trHeight w:val="237"/>
        </w:trPr>
        <w:tc>
          <w:tcPr>
            <w:tcW w:w="820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16</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Arial" w:cs="Arial" w:eastAsia="Arial" w:hAnsi="Arial"/>
                <w:sz w:val="18"/>
                <w:szCs w:val="18"/>
                <w:color w:val="0000FF"/>
              </w:rPr>
              <w:t>Unresolved Staff Comments</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32</w:t>
            </w:r>
          </w:p>
        </w:tc>
      </w:tr>
      <w:tr>
        <w:trPr>
          <w:trHeight w:val="236"/>
        </w:trPr>
        <w:tc>
          <w:tcPr>
            <w:tcW w:w="20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Cybersecurity</w:t>
            </w:r>
          </w:p>
        </w:tc>
        <w:tc>
          <w:tcPr>
            <w:tcW w:w="6160" w:type="dxa"/>
            <w:vAlign w:val="bottom"/>
            <w:gridSpan w:val="17"/>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0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Properties</w:t>
            </w:r>
          </w:p>
        </w:tc>
        <w:tc>
          <w:tcPr>
            <w:tcW w:w="7200" w:type="dxa"/>
            <w:vAlign w:val="bottom"/>
            <w:gridSpan w:val="21"/>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32</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6"/>
          </w:tcPr>
          <w:p>
            <w:pPr>
              <w:spacing w:after="0"/>
              <w:rPr>
                <w:sz w:val="20"/>
                <w:szCs w:val="20"/>
                <w:color w:val="auto"/>
              </w:rPr>
            </w:pPr>
            <w:r>
              <w:rPr>
                <w:rFonts w:ascii="Arial" w:cs="Arial" w:eastAsia="Arial" w:hAnsi="Arial"/>
                <w:sz w:val="18"/>
                <w:szCs w:val="18"/>
                <w:color w:val="0000FF"/>
                <w:w w:val="85"/>
              </w:rPr>
              <w:t>Legal Proceedings</w:t>
            </w:r>
          </w:p>
        </w:tc>
        <w:tc>
          <w:tcPr>
            <w:tcW w:w="6880" w:type="dxa"/>
            <w:vAlign w:val="bottom"/>
            <w:gridSpan w:val="20"/>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32</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32</w:t>
            </w:r>
          </w:p>
        </w:tc>
      </w:tr>
      <w:tr>
        <w:trPr>
          <w:trHeight w:val="412"/>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b w:val="1"/>
                <w:bCs w:val="1"/>
                <w:color w:val="0000FF"/>
              </w:rPr>
              <w:t>PART II</w:t>
            </w:r>
          </w:p>
        </w:tc>
        <w:tc>
          <w:tcPr>
            <w:tcW w:w="416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200" w:type="dxa"/>
            <w:vAlign w:val="bottom"/>
            <w:gridSpan w:val="26"/>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33</w:t>
            </w:r>
          </w:p>
        </w:tc>
      </w:tr>
      <w:tr>
        <w:trPr>
          <w:trHeight w:val="156"/>
        </w:trPr>
        <w:tc>
          <w:tcPr>
            <w:tcW w:w="732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Securities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88"/>
              </w:rPr>
              <w:t>Reserved</w:t>
            </w:r>
          </w:p>
        </w:tc>
        <w:tc>
          <w:tcPr>
            <w:tcW w:w="7480" w:type="dxa"/>
            <w:vAlign w:val="bottom"/>
            <w:gridSpan w:val="23"/>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34</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460" w:type="dxa"/>
            <w:vAlign w:val="bottom"/>
            <w:gridSpan w:val="2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35</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360" w:type="dxa"/>
            <w:vAlign w:val="bottom"/>
            <w:gridSpan w:val="20"/>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100" w:type="dxa"/>
            <w:vAlign w:val="bottom"/>
            <w:gridSpan w:val="3"/>
          </w:tcPr>
          <w:p>
            <w:pPr>
              <w:spacing w:after="0"/>
              <w:rPr>
                <w:sz w:val="20"/>
                <w:szCs w:val="20"/>
                <w:color w:val="auto"/>
              </w:rPr>
            </w:pP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45</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60" w:type="dxa"/>
            <w:vAlign w:val="bottom"/>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3840" w:type="dxa"/>
            <w:vAlign w:val="bottom"/>
            <w:gridSpan w:val="6"/>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46</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200" w:type="dxa"/>
            <w:vAlign w:val="bottom"/>
            <w:gridSpan w:val="26"/>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74</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6"/>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2"/>
          </w:tcPr>
          <w:p>
            <w:pPr>
              <w:spacing w:after="0"/>
              <w:rPr>
                <w:sz w:val="20"/>
                <w:szCs w:val="20"/>
                <w:color w:val="auto"/>
              </w:rPr>
            </w:pPr>
          </w:p>
        </w:tc>
        <w:tc>
          <w:tcPr>
            <w:tcW w:w="6440" w:type="dxa"/>
            <w:vAlign w:val="bottom"/>
            <w:gridSpan w:val="18"/>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76</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gridSpan w:val="21"/>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3300" w:type="dxa"/>
            <w:vAlign w:val="bottom"/>
            <w:gridSpan w:val="5"/>
          </w:tcPr>
          <w:p>
            <w:pPr>
              <w:spacing w:after="0"/>
              <w:rPr>
                <w:sz w:val="21"/>
                <w:szCs w:val="21"/>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76</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6"/>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82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0" w:type="dxa"/>
            <w:vAlign w:val="bottom"/>
            <w:gridSpan w:val="26"/>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77</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760" w:type="dxa"/>
            <w:vAlign w:val="bottom"/>
            <w:gridSpan w:val="8"/>
          </w:tcPr>
          <w:p>
            <w:pPr>
              <w:spacing w:after="0"/>
              <w:rPr>
                <w:sz w:val="20"/>
                <w:szCs w:val="20"/>
                <w:color w:val="auto"/>
              </w:rPr>
            </w:pPr>
            <w:r>
              <w:rPr>
                <w:rFonts w:ascii="Arial" w:cs="Arial" w:eastAsia="Arial" w:hAnsi="Arial"/>
                <w:sz w:val="18"/>
                <w:szCs w:val="18"/>
                <w:color w:val="0000FF"/>
                <w:w w:val="86"/>
              </w:rPr>
              <w:t>Executive Compensation</w:t>
            </w:r>
          </w:p>
        </w:tc>
        <w:tc>
          <w:tcPr>
            <w:tcW w:w="2320" w:type="dxa"/>
            <w:vAlign w:val="bottom"/>
            <w:gridSpan w:val="11"/>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77</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280" w:type="dxa"/>
            <w:vAlign w:val="bottom"/>
            <w:gridSpan w:val="24"/>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20" w:type="dxa"/>
            <w:vAlign w:val="bottom"/>
            <w:gridSpan w:val="2"/>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4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2760" w:type="dxa"/>
            <w:vAlign w:val="bottom"/>
            <w:gridSpan w:val="4"/>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77</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3"/>
          </w:tcPr>
          <w:p>
            <w:pPr>
              <w:jc w:val="center"/>
              <w:ind w:right="4140"/>
              <w:spacing w:after="0"/>
              <w:rPr>
                <w:sz w:val="20"/>
                <w:szCs w:val="20"/>
                <w:color w:val="auto"/>
              </w:rPr>
            </w:pPr>
            <w:r>
              <w:rPr>
                <w:rFonts w:ascii="Arial" w:cs="Arial" w:eastAsia="Arial" w:hAnsi="Arial"/>
                <w:sz w:val="18"/>
                <w:szCs w:val="18"/>
                <w:b w:val="1"/>
                <w:bCs w:val="1"/>
                <w:color w:val="0000FF"/>
              </w:rPr>
              <w:t>PART IV</w:t>
            </w: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gridSpan w:val="11"/>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200" w:type="dxa"/>
            <w:vAlign w:val="bottom"/>
            <w:gridSpan w:val="3"/>
          </w:tcPr>
          <w:p>
            <w:pPr>
              <w:spacing w:after="0"/>
              <w:rPr>
                <w:sz w:val="20"/>
                <w:szCs w:val="20"/>
                <w:color w:val="auto"/>
              </w:rPr>
            </w:pPr>
          </w:p>
        </w:tc>
        <w:tc>
          <w:tcPr>
            <w:tcW w:w="720" w:type="dxa"/>
            <w:vAlign w:val="bottom"/>
            <w:tcBorders>
              <w:top w:val="single" w:sz="8" w:color="0000FF"/>
            </w:tcBorders>
            <w:gridSpan w:val="5"/>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78</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040" w:type="dxa"/>
            <w:vAlign w:val="bottom"/>
            <w:gridSpan w:val="1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160" w:type="dxa"/>
            <w:vAlign w:val="bottom"/>
            <w:gridSpan w:val="11"/>
          </w:tcPr>
          <w:p>
            <w:pPr>
              <w:spacing w:after="0"/>
              <w:rPr>
                <w:sz w:val="20"/>
                <w:szCs w:val="20"/>
                <w:color w:val="auto"/>
              </w:rPr>
            </w:pPr>
            <w:r>
              <w:rPr>
                <w:rFonts w:ascii="Arial" w:cs="Arial" w:eastAsia="Arial" w:hAnsi="Arial"/>
                <w:sz w:val="18"/>
                <w:szCs w:val="18"/>
                <w:color w:val="0000FF"/>
              </w:rPr>
              <w:t>Form 10-K Summary</w:t>
            </w:r>
          </w:p>
        </w:tc>
        <w:tc>
          <w:tcPr>
            <w:tcW w:w="5040" w:type="dxa"/>
            <w:vAlign w:val="bottom"/>
            <w:gridSpan w:val="15"/>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0000FF"/>
                <w:w w:val="89"/>
              </w:rPr>
              <w:t>80</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00" w:space="180"/>
            <w:col w:w="8580"/>
          </w:cols>
          <w:pgMar w:left="960" w:top="931" w:right="10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5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forward-looking statements include, among other things, statements regarding our operations being dependent on changes in consumer preferences and purchasing habits regarding our products, a global supply chain and effects of supply chain constraints and inflationary pressure on us and our contract manufacturers, our ability to continue to operate at a profit or to maintain our margins, the effect pandemics or other global disruptions on our business, financial condition and results of operations,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management team, potential for increased costs and harm to our business resulting from unauthorized access of the information technology systems we use in our business, expansion of our wellness platform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except as required by applicable law,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right="20" w:firstLine="182"/>
        <w:spacing w:after="0" w:line="303" w:lineRule="auto"/>
        <w:rPr>
          <w:sz w:val="20"/>
          <w:szCs w:val="20"/>
          <w:color w:val="auto"/>
        </w:rPr>
      </w:pPr>
      <w:r>
        <w:rPr>
          <w:rFonts w:ascii="Arial" w:cs="Arial" w:eastAsia="Arial" w:hAnsi="Arial"/>
          <w:sz w:val="17"/>
          <w:szCs w:val="17"/>
          <w:color w:val="auto"/>
        </w:rPr>
        <w:t>Unless the context otherwise requires, the terms “we,” “us,” “our” the “Company” and “Simply Good Foods” refer to The Simply Good Foods Company and its subsidiaries. In context, “Quest” may also refer to the Quest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and “Atkins” may also refer to the Atkins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Item 1A “Risk Factors” of this Report, which are summarized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Changing consumer preferences, habits, perceptions and discretionary spending, which may negatively affect our brand loyalty and net sales.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global supply chain and effects of supply chain constraints and inflationary pressure on us or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increase prices or fail to implement our growth strategies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in the highly competitive nutritional snacking industry.</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continually enhance our brand recognition, increase distribution of our products, grow and maintain shelf space, attract new consumers to our brands and introduce new and innovative products, either on a timely basis or at all.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perception of our brands or organizational reputation are damaged, including as a result of negative information on social media.</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we must expend resources to maintain consumer awareness of our brands, build brand loyalty and generate interest in our products and the evolution of our marketing strategies and channels, and our programs may not be successful.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geographic focus, which makes us particularly vulnerable to economic and other events and trends in North America.</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Pandemics, epidemics or disease outbreaks, such as the novel coronavirus (“COVID-19”), which may disrupt our business, including, among other things, consumption and trade patterns, our supply chain and production processes.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Operating Model</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Ingredient and packaging costs are volatile and may rise significantly.</w:t>
      </w:r>
    </w:p>
    <w:p>
      <w:pPr>
        <w:spacing w:after="0" w:line="23"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Shortages or interruptions in the supply or delivery of our core ingredients, equipment, packaging and products as we rely on a limited number of third-party suppliers to supply our core ingredients and a limited number of contract manufacturers to manufacture our products.</w:t>
      </w: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sales to a limited number of retailers for a substantial portion of our net sales and we maintain “at will” contracts with these retailers, which do not require recurring or minimum purchase amounts of our products.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in, disruption of and lack of efficiency in our fulfillment network.</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Severe weather conditions, natural disasters, government regulations related to climate change, the effects of climate change and geopolitical events,which can all affect crop supplies and supply chain infrastructure.</w:t>
      </w: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intend to grow through mergers, acquisitions or joint ventures, and we may not successfully integrate, operate or realize the anticipated benefits of such business combinations.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insurance policies may not provide adequate levels of coverage against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our key executive officers or other personnel, or an inability to attract and retain such management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adequately protect our material intellectual property and other proprietary rights.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Litigation Risks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products must comply with regulations of the U.S. Food and Drug Administration and state and local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advertising is regulated for accuracy, and if our advertising is determined to be false or misleading, we may face fines or sanctions.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legal and regulatory environment could limit our business activities, increase our operating costs, reduce demand for our products or result in litigation.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or legal proceedings could expose us to significant liabilities and have a negative effect on our reputation.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Structure</w:t>
      </w:r>
    </w:p>
    <w:p>
      <w:pPr>
        <w:spacing w:after="0" w:line="252" w:lineRule="exact"/>
        <w:rPr>
          <w:sz w:val="20"/>
          <w:szCs w:val="20"/>
          <w:color w:val="auto"/>
        </w:rPr>
      </w:pPr>
    </w:p>
    <w:p>
      <w:pPr>
        <w:ind w:left="660" w:right="2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indebtedness could materially and adversely affect our financial condition and ability to operate our company, and we may incur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interest rates may adversely affect our earnings and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additional capital in the future, and it may not be available on acceptable terms or at all.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and will continue to incur significant costs because of operating as a public company.</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cannot maintain appropriate systems, procedures and controls, we may not be able to successfully procure, offer or ship our products, grow our business, account for transactions, accurately report our financial results in an appropriate and timely manner or prevent fraud.</w:t>
      </w:r>
    </w:p>
    <w:p>
      <w:pPr>
        <w:ind w:left="66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only significant asset is ownership of 100% of Atkins Intermediate Holdings, LLC which could limit our ability to pay any dividends on our common stock or satisfy our other financial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expect to declare any dividends in the foreseeable future.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contains anti-takeover provisions which could impair a takeover attempt.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stock price may be affected by future sales of common stock or other dilution.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experience risks associated with our international operations and exposure to the worldwide economy.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excludes certain of our Board members from the doctrine of “corporate opportunity.”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190"/>
        <w:spacing w:after="0" w:line="257" w:lineRule="auto"/>
        <w:rPr>
          <w:sz w:val="20"/>
          <w:szCs w:val="20"/>
          <w:color w:val="auto"/>
        </w:rPr>
      </w:pPr>
      <w:r>
        <w:rPr>
          <w:rFonts w:ascii="Arial" w:cs="Arial" w:eastAsia="Arial" w:hAnsi="Arial"/>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and Atkins® brand names. Simply Good Foods is poised to expand its wellness platform through innovation and organic growth along with acquisition opportunities in the nutritional snacking space.</w:t>
      </w:r>
    </w:p>
    <w:p>
      <w:pPr>
        <w:spacing w:after="0" w:line="215" w:lineRule="exact"/>
        <w:rPr>
          <w:sz w:val="20"/>
          <w:szCs w:val="20"/>
          <w:color w:val="auto"/>
        </w:rPr>
      </w:pPr>
    </w:p>
    <w:p>
      <w:pPr>
        <w:jc w:val="both"/>
        <w:ind w:firstLine="215"/>
        <w:spacing w:after="0" w:line="255" w:lineRule="auto"/>
        <w:rPr>
          <w:sz w:val="20"/>
          <w:szCs w:val="20"/>
          <w:color w:val="auto"/>
        </w:rPr>
      </w:pPr>
      <w:r>
        <w:rPr>
          <w:rFonts w:ascii="Arial" w:cs="Arial" w:eastAsia="Arial" w:hAnsi="Arial"/>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and Atkins for those following a low-carbohydrate lifestyle or seeking to manage weight or blood sugar levels.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snacking occasions have been on the rise in recent years as consumers continue to desire more convenient, healthy and delicious foods, snacks, and meal replacements. We believe our emphasis on product formats such as our protein bars, cookies, chips and salty snacks, and RTD shakes positions us to fill important needs for consumers. We believe a number of existing and emerging consumer trends within the U.S. food and beverage industry will continue to both drive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consumers’ movement toward limiting carbohydrate and sugar consumption, and the trend of consumers seeking to add convenient sources of protein and fiber to their diets.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our Quest brand, we strive to offer an attractive line up of protein bars, cookies, protein chips and salty snacks, RTD shakes, and confections, which target these existing and emerging consumer trends. With our Atkins brand, we strive to offer a compelling line of protein bars, RTD shakes, cookies, protein chips and salty snacks, and confections. Our sales, marketing, and research and development capabilities enable us to distribute products to a national customer base across a spectrum of retail channels, including the mass merchandise, grocery, drug, club stores, e-commerce, and small format retail such as convenience stores and gas stations.</w:t>
      </w:r>
    </w:p>
    <w:p>
      <w:pPr>
        <w:spacing w:after="0" w:line="215"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color w:val="auto"/>
        </w:rPr>
        <w:t>The Simply Good Foods Company (“Simply Good Foods”) was formed on March 30, 2017, to acquire NCP-ATK Holdings, Inc. (“Atkins”), on July 7, 2017. As part of Simply Good Foods’ strategy to become an industry leading snacking platform, in November 2019, we acquired Quest Nutrition, LLC (“Quest”). This transaction is referred to as the “Quest Acquisition.”</w:t>
      </w:r>
    </w:p>
    <w:p>
      <w:pPr>
        <w:spacing w:after="0" w:line="205"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8"/>
          <w:szCs w:val="18"/>
          <w:color w:val="auto"/>
        </w:rPr>
        <w:t>Our principal executive offices are located at 1225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Suite 1000, Denver, Colorado, 80202. Our telephone number is (303) 633-2840. We maintain a web site at </w:t>
      </w:r>
      <w:r>
        <w:rPr>
          <w:rFonts w:ascii="Arial" w:cs="Arial" w:eastAsia="Arial" w:hAnsi="Arial"/>
          <w:sz w:val="18"/>
          <w:szCs w:val="18"/>
          <w:i w:val="1"/>
          <w:iCs w:val="1"/>
          <w:u w:val="single" w:color="auto"/>
          <w:color w:val="auto"/>
        </w:rPr>
        <w:t>www.thesimplygoodfoodscompany.com</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 in Fiscal Year 2023</w:t>
      </w:r>
    </w:p>
    <w:p>
      <w:pPr>
        <w:spacing w:after="0" w:line="252"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Throughout fiscal year 2023, we continued to actively monitor the effects of the dynamic macroeconomic inflationary environment in the United States and elsewhere, elevated levels of supply chain costs, the level of consumer mobility, including the rate at which consumers return to working outside the home, and consumer behavior. Current or future governmental policies may increase the risk of inflation and possible economic recession, which could further increase the costs of ingredients, packaging and finished goods for our business as well as negatively affect consumer behavior and demand for our products.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fiscal year 2023, our business performance was affected by unfavorable raw material costs, higher co-manufacturing costs, and supply chain challenges, including supply chain disruptions resulting from labor shortages and disruptions in sourcing ingredients. The supply chain environment showed signs of improvement during fiscal year 2023 and we expect to see improvement during fiscal year 2024 in overall cost environment and in our gross margin. We continue to proactively engage with our retail customers, contract manufacturers, and logistics and transportation providers, to meet demand for our products and to remain informed of any challenges within our business operations.</w:t>
      </w:r>
    </w:p>
    <w:p>
      <w:pPr>
        <w:spacing w:after="0" w:line="203" w:lineRule="exact"/>
        <w:rPr>
          <w:sz w:val="20"/>
          <w:szCs w:val="20"/>
          <w:color w:val="auto"/>
        </w:rPr>
      </w:pPr>
    </w:p>
    <w:p>
      <w:pPr>
        <w:jc w:val="both"/>
        <w:ind w:firstLine="262"/>
        <w:spacing w:after="0" w:line="277" w:lineRule="auto"/>
        <w:rPr>
          <w:sz w:val="20"/>
          <w:szCs w:val="20"/>
          <w:color w:val="auto"/>
        </w:rPr>
      </w:pPr>
      <w:r>
        <w:rPr>
          <w:rFonts w:ascii="Arial" w:cs="Arial" w:eastAsia="Arial" w:hAnsi="Arial"/>
          <w:sz w:val="18"/>
          <w:szCs w:val="18"/>
          <w:color w:val="auto"/>
        </w:rPr>
        <w:t>For more information on the effects of supply chain cost increases on our profitability during fiscal year 2023, see “Management’s Discussion and Analysis of Financial Condition and Results of Operations” in this Form 10-K.</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Strengths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Powerful brands with strong consumer awareness and loyalty</w:t>
      </w:r>
      <w:r>
        <w:rPr>
          <w:rFonts w:ascii="Arial" w:cs="Arial" w:eastAsia="Arial" w:hAnsi="Arial"/>
          <w:sz w:val="16"/>
          <w:szCs w:val="16"/>
          <w:color w:val="auto"/>
        </w:rPr>
        <w:t>. We are a leader in the fast growing nutritional snacking category, and both the</w:t>
      </w:r>
      <w:r>
        <w:rPr>
          <w:rFonts w:ascii="Arial" w:cs="Arial" w:eastAsia="Arial" w:hAnsi="Arial"/>
          <w:sz w:val="16"/>
          <w:szCs w:val="16"/>
          <w:i w:val="1"/>
          <w:iCs w:val="1"/>
          <w:color w:val="auto"/>
        </w:rPr>
        <w:t xml:space="preserve"> </w:t>
      </w:r>
      <w:r>
        <w:rPr>
          <w:rFonts w:ascii="Arial" w:cs="Arial" w:eastAsia="Arial" w:hAnsi="Arial"/>
          <w:sz w:val="16"/>
          <w:szCs w:val="16"/>
          <w:color w:val="auto"/>
        </w:rPr>
        <w:t>Quest and Atkins brands are leading brands with combined scale in protein bars, protein chips, confections, cookies, and RTD shakes. Our highly focused snacking portfolio provides us with a leading position within retailers’ nutrition and wellness aisles, resulting in meaningful shelf space. Our brands can appeal to both consumers interested in an active lifestyle who are seeking protein-rich, low-carb snacking options as well as weight management program consumers, which makes our brands highly attractive and strategic for a diverse set of retailers across various distribution channels.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Aligned with consumer mega trends. </w:t>
      </w:r>
      <w:r>
        <w:rPr>
          <w:rFonts w:ascii="Arial" w:cs="Arial" w:eastAsia="Arial" w:hAnsi="Arial"/>
          <w:sz w:val="16"/>
          <w:szCs w:val="16"/>
          <w:color w:val="auto"/>
        </w:rPr>
        <w:t>Increasing global concern about growing rates of obesity and weight-related diseases and other health issues</w:t>
      </w:r>
      <w:r>
        <w:rPr>
          <w:rFonts w:ascii="Arial" w:cs="Arial" w:eastAsia="Arial" w:hAnsi="Arial"/>
          <w:sz w:val="16"/>
          <w:szCs w:val="16"/>
          <w:i w:val="1"/>
          <w:iCs w:val="1"/>
          <w:color w:val="auto"/>
        </w:rPr>
        <w:t xml:space="preserve"> </w:t>
      </w:r>
      <w:r>
        <w:rPr>
          <w:rFonts w:ascii="Arial" w:cs="Arial" w:eastAsia="Arial" w:hAnsi="Arial"/>
          <w:sz w:val="16"/>
          <w:szCs w:val="16"/>
          <w:color w:val="auto"/>
        </w:rPr>
        <w:t>has resulted in increased scientific, media and consumer focus on nutrition. Over 100 independent, peer reviewed, clinical studies show the benefits of controlling carbohydrates. We believe this focus is prompting consumers to rebalance their nutritional breakdown away from carbohydrates. Our brand attributes, “low-carb,” “low-sugar” and “protein-rich” nutrition, are well aligned with consumer mega trends. In addition, we believe consumers’ eating habits are gradually shifting towards increased convenience, snacking and meal replacement. We also believe our portfolio of convenient and nutritious products and our ongoing effort to meet consumer demands for convenient snacking options support their individual health, nutrition and lifestyle goals.</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Scalable snacking and food platform. </w:t>
      </w:r>
      <w:r>
        <w:rPr>
          <w:rFonts w:ascii="Arial" w:cs="Arial" w:eastAsia="Arial" w:hAnsi="Arial"/>
          <w:sz w:val="18"/>
          <w:szCs w:val="18"/>
          <w:color w:val="auto"/>
        </w:rPr>
        <w:t>We have been able to grow our product offerings for both of our nutritious snacking brands through our line</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and through acquisitions. Our in-house product development experience and our outsourced manufacturing model allow us to bring new products to market quickly. We pride ourselves on knowing our consumers and gleaning insights that lead to new products and ideas. We believe we can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Asset-light business with strong cash generation</w:t>
      </w:r>
      <w:r>
        <w:rPr>
          <w:rFonts w:ascii="Arial" w:cs="Arial" w:eastAsia="Arial" w:hAnsi="Arial"/>
          <w:sz w:val="17"/>
          <w:szCs w:val="17"/>
          <w:color w:val="auto"/>
        </w:rPr>
        <w:t>. We retain core in-house capabilities including sales, marketing, brand management,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product development, and supply-chain expertise, while collaborating with a diversified pool of contract manufacturers and distributors to execute manufacturing and distribution. Outsourcing these competencies allows us to focus our efforts on innovation, marketing, and sales to meet consumer demands. Our lean infrastructure allows for significant flexibility, speed-to-market, and minimal capital investment, which translates into relatively consistent and robust free cash flow generation over time, driven by strong gross margins.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Experienced leadership team</w:t>
      </w:r>
      <w:r>
        <w:rPr>
          <w:rFonts w:ascii="Arial" w:cs="Arial" w:eastAsia="Arial" w:hAnsi="Arial"/>
          <w:sz w:val="18"/>
          <w:szCs w:val="18"/>
          <w:color w:val="auto"/>
        </w:rPr>
        <w:t>. Simply Good Foods has an experienced team of industry veterans with extensive experience across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branded consumer products, food and nutrition categories. Our management team’s extensive experience is complemented by the significant industry expertise of our Board of Directors. Our management team’s deep expertise and proven record of accomplishment in managing brands and operating packaged food businesses is a key driver of our success and we believe positions Simply Good Foods as an attractive vehicle for future long-term growth within the nutritional snacking space.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Innovate and expand the portfolio of product offerings to meet consumer demand for higher protein products and new product forms. </w:t>
      </w:r>
      <w:r>
        <w:rPr>
          <w:rFonts w:ascii="Arial" w:cs="Arial" w:eastAsia="Arial" w:hAnsi="Arial"/>
          <w:sz w:val="17"/>
          <w:szCs w:val="17"/>
          <w:color w:val="auto"/>
        </w:rPr>
        <w:t>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enhance, strengthen and expand our product offerings with new and innovative flavors and forms and packaging alternatives, all while maintaining a commitment to delivering products that meet our targeted nutritional profile and provide the convenience and taste consumers crave. Our in-house research and development laboratories allow us to develop new products internally and bring them to market quickly through our contract manufacturing network without diverging from high standards of taste, nutritional content, quality, and safety. Additionally, we intend to satisfy developing and changing consumer preferences through the pursuit of merger and acquisition transactions.</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Leverage platform to expand in attractive food and snacking categories</w:t>
      </w:r>
      <w:r>
        <w:rPr>
          <w:rFonts w:ascii="Arial" w:cs="Arial" w:eastAsia="Arial" w:hAnsi="Arial"/>
          <w:sz w:val="16"/>
          <w:szCs w:val="16"/>
          <w:color w:val="auto"/>
        </w:rPr>
        <w:t>. We believe the fragmented snacking category presents an opportunity for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and the opportunity to build, through disciplined acquisitions, a leading platform in the nutritional snacking space. As a leader in nutritious snacking, we believe we have the unique capability to leverage our operating platform, product innovation expertise and customer relationships to expand beyond our current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192"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i w:val="1"/>
          <w:iCs w:val="1"/>
          <w:color w:val="auto"/>
        </w:rPr>
        <w:t xml:space="preserve">Expand distribution in white space opportunities. </w:t>
      </w:r>
      <w:r>
        <w:rPr>
          <w:rFonts w:ascii="Arial" w:cs="Arial" w:eastAsia="Arial" w:hAnsi="Arial"/>
          <w:sz w:val="18"/>
          <w:szCs w:val="18"/>
          <w:color w:val="auto"/>
        </w:rPr>
        <w:t>In the fifty-two weeks ended August 26, 2023, approximately 77% of Quest’s gross sales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and approximately 86% of Atkins’ gross sales in the U.S. were through the mass retailer, grocery and convenience store distribution channels. Our management believes there is opportunity for the brands to further penetrate those channels as well as other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distribution channels such as convenience and club stores. In addition, while shoppers have increased e-commerce purchases generally, approximately 21% of Quest’s gross sales for the fifty-two weeks ended August 26, 2023 were through its e-commerce channel and approximately 14% of Atkins’ gross sales for the same period were through its e-commerce channel. We intend to leverage our brand recognition to develop further the distribution channels through which we reach consumers, including through the continued expansion of the e-commerce channel.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Continue our marketing efforts and strategies to both increase household penetration and reach consumers beyond our core historic buyers.</w:t>
      </w:r>
    </w:p>
    <w:p>
      <w:pPr>
        <w:spacing w:after="0" w:line="2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intend to expand our marketing efforts to bring first-time buyers into the Quest and Atkins brand franchises. For our Quest brand, our historic consumer base has been individuals pursuing a performance-based active and athletic lifestyle and for our Atkins’ brand it has been people interested in weight management. As public opinion on the use of chronic weight management medication is shifting significantly as the popularity of clinical solutions grows and more medications are approved by the FDA, we are looking to communicate to consumers who have elected to use these medications what we believe are the complementary benefits of using our products to support achieving or maintaining their weight management goals.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both the Quest and Atkins brands, we have an active and growing digital and social presence, using a comprehensive approach of search, banner, and search engine optimization efforts. We are a leader in social media, with an evolving social media presence on major channels such as Facebook, Instagram, Pinterest, X (formerly known as Twitter) and YouTube. We also have a growing network of social influencers and content creators, who promote our products in their targeted social media posts. We believe that social media is a cost-effective way of continuing to attract and retain our consumers. We believe that our ongoing efforts to educate consumers about the benefits of our nutrition philosophy and lifestyle will further reinforce our brands. For our Quest brand, we have used a national, targeted broadcast ad campaign, and continue to leverage targeted streaming television ads and an extensive network of social media influencers and content creators who prompt both our Quest brand products through their online posts to motivate new buyers and product introductions. For our Atkins brand, we use targeted broadcast and streaming television and print ads with a celebrity-based campaign that attempts to (i) motivate potential programmatic weight loss consumers to try the Atkins approach to healthier eating and weight loss as these Atkins consumers are our most loyal, profitable and frequent purchasers and (ii) broaden the reach of the Atkins brand to appeal to those consumers generally interested in low carbohydrate, low sugar nutrition.</w:t>
      </w:r>
    </w:p>
    <w:p>
      <w:pPr>
        <w:spacing w:after="0" w:line="2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intend to continue to make focused changes to our approach to consumer outreach to attract consumers beyond our historic core buyers. For our Quest brand, we intend to enhance our marketing efforts to reach more consumers who are seeking products that are aligned with their choice to pursue a healthy and active lifestyle. For the Atkins brand, we intend to continue our marketing efforts to attract self-directed low-carbohydrate and health motivated eaters (those individuals not on a program diet) who buy and consume our Atkins products. We also note the Atkins brand has approximately 96% aided brand awareness with U.S. consumers and the Quest brand has approximately 76% aided brand awareness with U.S.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Vision and Mission</w:t>
      </w:r>
    </w:p>
    <w:p>
      <w:pPr>
        <w:spacing w:after="0" w:line="252" w:lineRule="exact"/>
        <w:rPr>
          <w:sz w:val="20"/>
          <w:szCs w:val="20"/>
          <w:color w:val="auto"/>
        </w:rPr>
      </w:pPr>
    </w:p>
    <w:p>
      <w:pPr>
        <w:jc w:val="both"/>
        <w:ind w:firstLine="227"/>
        <w:spacing w:after="0" w:line="308" w:lineRule="auto"/>
        <w:rPr>
          <w:sz w:val="20"/>
          <w:szCs w:val="20"/>
          <w:color w:val="auto"/>
        </w:rPr>
      </w:pPr>
      <w:r>
        <w:rPr>
          <w:rFonts w:ascii="Arial" w:cs="Arial" w:eastAsia="Arial" w:hAnsi="Arial"/>
          <w:sz w:val="17"/>
          <w:szCs w:val="17"/>
          <w:color w:val="auto"/>
        </w:rPr>
        <w:t>Our vision is to lead the nutritional snacking movement with trusted brands that offer a variety of convenient, innovative, great-tasting, better-for-you snacks and meal replacements and other product offerings. Our mission is to empower healthy lives through smart and satisfying nutrition.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Quest Products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core Quest brand products consist of protein bars, cookies, salty snacks and confections.</w:t>
      </w:r>
    </w:p>
    <w:p>
      <w:pPr>
        <w:spacing w:after="0" w:line="252" w:lineRule="exact"/>
        <w:rPr>
          <w:sz w:val="20"/>
          <w:szCs w:val="20"/>
          <w:color w:val="auto"/>
        </w:rPr>
      </w:pPr>
    </w:p>
    <w:p>
      <w:pPr>
        <w:jc w:val="both"/>
        <w:ind w:firstLine="220"/>
        <w:spacing w:after="0" w:line="263" w:lineRule="auto"/>
        <w:rPr>
          <w:sz w:val="20"/>
          <w:szCs w:val="20"/>
          <w:color w:val="auto"/>
        </w:rPr>
      </w:pPr>
      <w:r>
        <w:rPr>
          <w:rFonts w:ascii="Arial" w:cs="Arial" w:eastAsia="Arial" w:hAnsi="Arial"/>
          <w:sz w:val="18"/>
          <w:szCs w:val="18"/>
          <w:i w:val="1"/>
          <w:iCs w:val="1"/>
          <w:color w:val="auto"/>
        </w:rPr>
        <w:t xml:space="preserve">Protein Bars. </w:t>
      </w:r>
      <w:r>
        <w:rPr>
          <w:rFonts w:ascii="Arial" w:cs="Arial" w:eastAsia="Arial" w:hAnsi="Arial"/>
          <w:sz w:val="18"/>
          <w:szCs w:val="18"/>
          <w:color w:val="auto"/>
        </w:rPr>
        <w:t>To keep on-the-go consumers energized and fueled, our Quest bars offer a convenient and effective solution, providing consumers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protein, fiber and a delicious taste. The typical Quest bar profile contains about 20 grams of protein, 5 grams or less of net carbs and about 1 gram of sugar. Quest offers more than 25 different flavors of protein bars.</w:t>
      </w:r>
    </w:p>
    <w:p>
      <w:pPr>
        <w:spacing w:after="0" w:line="211"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i w:val="1"/>
          <w:iCs w:val="1"/>
          <w:color w:val="auto"/>
        </w:rPr>
        <w:t>Cookies</w:t>
      </w:r>
      <w:r>
        <w:rPr>
          <w:rFonts w:ascii="Arial" w:cs="Arial" w:eastAsia="Arial" w:hAnsi="Arial"/>
          <w:sz w:val="18"/>
          <w:szCs w:val="18"/>
          <w:color w:val="auto"/>
        </w:rPr>
        <w:t>. First launched in 2018, Quest’s cookie products are a convenient source of high-protein combined with low net carbs and low-sugar.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in a variety of flavors including Chocolate Chip, Peanut Butter, Oatmeal Raisin and Snickerdoodle, Quest’s cookies typically contain about 15 grams of protein, 4 grams or less of net carbs and less than 1 gram of sugar. Quest also offers soft baked frosted cookies containing about 5 grams of protein, 1 grams of net carbs and less than 1 gram of sugar.</w:t>
      </w:r>
    </w:p>
    <w:p>
      <w:pPr>
        <w:spacing w:after="0" w:line="2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8"/>
          <w:szCs w:val="18"/>
          <w:i w:val="1"/>
          <w:iCs w:val="1"/>
          <w:color w:val="auto"/>
        </w:rPr>
        <w:t>Salty Snacks</w:t>
      </w:r>
      <w:r>
        <w:rPr>
          <w:rFonts w:ascii="Arial" w:cs="Arial" w:eastAsia="Arial" w:hAnsi="Arial"/>
          <w:sz w:val="18"/>
          <w:szCs w:val="18"/>
          <w:color w:val="auto"/>
        </w:rPr>
        <w:t>. Quest’s protein chips, including the tortilla-style chips launched in spring 2018, quickly became a high-selling product offering an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attractive nutrition profile when compared to conventional chip products. Offered in flavors including nacho cheese, ranch, chili lime, BBQ, loaded taco and spicy sweet chili, Quest’s chips typically contain about 18 grams of protein, about 4 grams of net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carbs, and around 6 grams of fat compared to 2 grams of protein, 15 grams of net carbs and 8 grams of fat for a well-known leading conventional brand.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Quest’s cheddar cheese crackers launched during fiscal year 2023, contain 10 grams of protein, 5 grams of net carbs and 7 grams of fat.</w:t>
      </w:r>
    </w:p>
    <w:p>
      <w:pPr>
        <w:spacing w:after="0" w:line="238" w:lineRule="exact"/>
        <w:rPr>
          <w:sz w:val="20"/>
          <w:szCs w:val="20"/>
          <w:color w:val="auto"/>
        </w:rPr>
      </w:pPr>
    </w:p>
    <w:p>
      <w:pPr>
        <w:jc w:val="both"/>
        <w:ind w:firstLine="274"/>
        <w:spacing w:after="0" w:line="273" w:lineRule="auto"/>
        <w:rPr>
          <w:sz w:val="20"/>
          <w:szCs w:val="20"/>
          <w:color w:val="auto"/>
        </w:rPr>
      </w:pPr>
      <w:r>
        <w:rPr>
          <w:rFonts w:ascii="Arial" w:cs="Arial" w:eastAsia="Arial" w:hAnsi="Arial"/>
          <w:sz w:val="17"/>
          <w:szCs w:val="17"/>
          <w:i w:val="1"/>
          <w:iCs w:val="1"/>
          <w:color w:val="auto"/>
        </w:rPr>
        <w:t xml:space="preserve">Confections. </w:t>
      </w:r>
      <w:r>
        <w:rPr>
          <w:rFonts w:ascii="Arial" w:cs="Arial" w:eastAsia="Arial" w:hAnsi="Arial"/>
          <w:sz w:val="17"/>
          <w:szCs w:val="17"/>
          <w:color w:val="auto"/>
        </w:rPr>
        <w:t>Quest’s confections include full-size and mini peanut butter cups, “fudgey” brownie, “gooey” caramel candy bites, chocolatey coated</w:t>
      </w:r>
      <w:r>
        <w:rPr>
          <w:rFonts w:ascii="Arial" w:cs="Arial" w:eastAsia="Arial" w:hAnsi="Arial"/>
          <w:sz w:val="17"/>
          <w:szCs w:val="17"/>
          <w:i w:val="1"/>
          <w:iCs w:val="1"/>
          <w:color w:val="auto"/>
        </w:rPr>
        <w:t xml:space="preserve"> </w:t>
      </w:r>
      <w:r>
        <w:rPr>
          <w:rFonts w:ascii="Arial" w:cs="Arial" w:eastAsia="Arial" w:hAnsi="Arial"/>
          <w:sz w:val="17"/>
          <w:szCs w:val="17"/>
          <w:color w:val="auto"/>
        </w:rPr>
        <w:t>peanut candies and “coconutty” caramel candy bars sold in a variety of packaging. The full-size peanut butter cups feature a nutrition profile for two cups of 11 grams of protein, 1 gram of net carbs, less than 1 gram of sugar and 4 grams of fiber. The mini peanut butter cups feature a nutrition profile per serving of 8 grams of protein, 1 gram of net carbs, less than 1 gram of sugar and 3 grams of fiber. The candy bars feature a nutrition profile of 12 grams of protein, 3 to 4 grams of net carbs, about 1 gram of sugar and about 9 grams of fiber. The candy bites feature a nutrition profile of 5 grams of protein, 1 gram of net carbs, l to 3 grams of net carbs, about 1 gram of sugar and 4 to 9 grams of fiber.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Atkins Products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core Atkins brand products consist of protein bars, RTD shakes, confections, cookies, and chips.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Protein Bars. </w:t>
      </w:r>
      <w:r>
        <w:rPr>
          <w:rFonts w:ascii="Arial" w:cs="Arial" w:eastAsia="Arial" w:hAnsi="Arial"/>
          <w:sz w:val="18"/>
          <w:szCs w:val="18"/>
          <w:color w:val="auto"/>
        </w:rPr>
        <w:t>To keep on-the-go consumers energized and fueled, our Atkins bars offer a convenient and effective solution, providing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protein, fiber and a delicious taste. Atkins offers two main types of bars: Atkins Meal Bars and Atkins Snack Bars. Atkins Meal Bars contain 13 to 17 grams of protein and are available in more than 10 different flavors. Atkins Snack Bars contain 7 to 13 grams of protein, with 2 to 4 grams of net carbs, and are available in 15 different varieties.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RTD Shakes. </w:t>
      </w:r>
      <w:r>
        <w:rPr>
          <w:rFonts w:ascii="Arial" w:cs="Arial" w:eastAsia="Arial" w:hAnsi="Arial"/>
          <w:sz w:val="18"/>
          <w:szCs w:val="18"/>
          <w:color w:val="auto"/>
        </w:rPr>
        <w:t>Our rich and creamy Atkins RTD shakes contain 10 to 15 grams of protein, as well as other important vitamins and minerals.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a variety of flavors, including cookies and crème, café caramel and creamy chocolate, Atkins’ RTD shakes are made with high quality ingredients and are designed to provide energy balance through the day. Our Atkins’ Plus RTD shakes contain 30 grams of protein, for our consumers seeking higher protein content.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Confections. </w:t>
      </w:r>
      <w:r>
        <w:rPr>
          <w:rFonts w:ascii="Arial" w:cs="Arial" w:eastAsia="Arial" w:hAnsi="Arial"/>
          <w:sz w:val="18"/>
          <w:szCs w:val="18"/>
          <w:color w:val="auto"/>
        </w:rPr>
        <w:t>Our Atkins Endulge® line, which is designed to satisfy consumers’ sweet cravings, and which we call Treats, consists of delicious</w:t>
      </w:r>
      <w:r>
        <w:rPr>
          <w:rFonts w:ascii="Arial" w:cs="Arial" w:eastAsia="Arial" w:hAnsi="Arial"/>
          <w:sz w:val="18"/>
          <w:szCs w:val="18"/>
          <w:i w:val="1"/>
          <w:iCs w:val="1"/>
          <w:color w:val="auto"/>
        </w:rPr>
        <w:t xml:space="preserve"> </w:t>
      </w:r>
      <w:r>
        <w:rPr>
          <w:rFonts w:ascii="Arial" w:cs="Arial" w:eastAsia="Arial" w:hAnsi="Arial"/>
          <w:sz w:val="18"/>
          <w:szCs w:val="18"/>
          <w:color w:val="auto"/>
        </w:rPr>
        <w:t>desserts without all of the added sugar. Atkins offers a variety of different Treats, such as peanut butter cups and pecan caramel clusters, each with only 1 gram of sugar or less and low net carbs, providing consumers with the option to indulge.</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Cookies. </w:t>
      </w:r>
      <w:r>
        <w:rPr>
          <w:rFonts w:ascii="Arial" w:cs="Arial" w:eastAsia="Arial" w:hAnsi="Arial"/>
          <w:sz w:val="17"/>
          <w:szCs w:val="17"/>
          <w:color w:val="auto"/>
        </w:rPr>
        <w:t>First launched in fiscal year 2021, Atkins’ soft and chewy cookie products are a convenient source of high-protein combined with low</w:t>
      </w:r>
      <w:r>
        <w:rPr>
          <w:rFonts w:ascii="Arial" w:cs="Arial" w:eastAsia="Arial" w:hAnsi="Arial"/>
          <w:sz w:val="17"/>
          <w:szCs w:val="17"/>
          <w:i w:val="1"/>
          <w:iCs w:val="1"/>
          <w:color w:val="auto"/>
        </w:rPr>
        <w:t xml:space="preserve"> </w:t>
      </w:r>
      <w:r>
        <w:rPr>
          <w:rFonts w:ascii="Arial" w:cs="Arial" w:eastAsia="Arial" w:hAnsi="Arial"/>
          <w:sz w:val="17"/>
          <w:szCs w:val="17"/>
          <w:color w:val="auto"/>
        </w:rPr>
        <w:t>net carbs and low-sugar. These sweet tasting cookies are available in double chocolate chip, peanut butter and chocolate chip. Atkins’ cookies contain approximately 10 grams of protein, 3 grams of net carbs and approximately 1 gram of sugar or less depending on the flavor.</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Chips. </w:t>
      </w:r>
      <w:r>
        <w:rPr>
          <w:rFonts w:ascii="Arial" w:cs="Arial" w:eastAsia="Arial" w:hAnsi="Arial"/>
          <w:sz w:val="16"/>
          <w:szCs w:val="16"/>
          <w:color w:val="auto"/>
        </w:rPr>
        <w:t>First launched during fiscal year 2022, Atkins’s protein chips offer an attractive nutrition profile when compared to conventional chip</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Offered in nacho cheese, ranch, and chipotle BBQ flavors, Atkins’s chips typically contain about 13 grams of protein, about 4 grams of net carbs, and around 7 grams of fat compared to 2 grams of protein, 15 grams of net carbs and 8 grams of fat for a well-known leading conventional brand.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Recipes. </w:t>
      </w:r>
      <w:r>
        <w:rPr>
          <w:rFonts w:ascii="Arial" w:cs="Arial" w:eastAsia="Arial" w:hAnsi="Arial"/>
          <w:sz w:val="18"/>
          <w:szCs w:val="18"/>
          <w:color w:val="auto"/>
        </w:rPr>
        <w:t>While provided free of charge, we also offer over 1,600 protein-rich, low-carbohydrate and low-sugar recipes designed to help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and maintain a healthy lifestyle, while still enjoying delicious food.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Advertising and Consumer Outreach</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Our marketing efforts are designed to increase consumer awareness of and demand for our products. We employ a broad mix of marketing, including coupons, product sampling, consumer and trade events, advertising (television, online and print) and recipe and food plans, to target our consumers. We also use online resources, including social media sites, to communicate with consumers and build interest in our brands. Our advertising and use of online resources are aimed at increasing consumer preference and usage of our brands. Our trade promotions focus on obtaining retail feature and display support, achieving optimum retail product prices and securing retail shelf space. We use coupons (freestanding insert newspaper, store register, on-pack and online coupons) to help stimulate product trial and repeat purchases by providing consumers with economic incentives. The mix of these marketing activities varies between the Quest and Atkins brands.</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part of our advocacy on the advantages of a protein-rich, low-carbohydrate, and low-sugar dietary approach, we have devoted portions of our respective brand websites and social media to promote consumer education, engagement, and dialogue about the benefits of our nutritional approaches and how our products can fit within those approaches.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and the nutritional qualities of our products. We also provide access to consumer service representatives to answer questions and educate consumers on nutrition, new products and developments. As part of this approach, over time, for those consumers who have elected to use weight</w:t>
      </w:r>
    </w:p>
    <w:p>
      <w:pPr>
        <w:sectPr>
          <w:pgSz w:w="11900" w:h="16838" w:orient="portrait"/>
          <w:cols w:equalWidth="0" w:num="1">
            <w:col w:w="11240"/>
          </w:cols>
          <w:pgMar w:left="320" w:top="692" w:right="3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9" w:name="page10"/>
    <w:bookmarkEnd w:id="9"/>
    <w:p>
      <w:pPr>
        <w:jc w:val="both"/>
        <w:spacing w:after="0" w:line="248" w:lineRule="auto"/>
        <w:rPr>
          <w:sz w:val="20"/>
          <w:szCs w:val="20"/>
          <w:color w:val="auto"/>
        </w:rPr>
      </w:pPr>
      <w:r>
        <w:rPr>
          <w:rFonts w:ascii="Arial" w:cs="Arial" w:eastAsia="Arial" w:hAnsi="Arial"/>
          <w:sz w:val="18"/>
          <w:szCs w:val="18"/>
          <w:color w:val="auto"/>
        </w:rPr>
        <w:t>management medications to pursue their weight management goals we expect to develop and enhance our marketing messages regarding how we believe our products can be used to meet their snacking use occasions and be complementary to their use of medication for weight management to achieve and maintain their weight management goals.</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both brands, in order to facilitate awareness and knowledge of the health benefits of a low-carbohydrate, low-sugar and protein-rich eating approach, we have established a variety of marketing and advertising strategies to connect with consumers, including digital marketing and social media platforms, television broadcast and streaming advertising as well as celebrity and social media influencer endorsements.</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For both brands, we have built large consumer followings.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In the fifty-two weeks ended August 26, 2023, approximately 66% of </w:t>
      </w:r>
      <w:r>
        <w:rPr>
          <w:rFonts w:ascii="Arial" w:cs="Arial" w:eastAsia="Arial" w:hAnsi="Arial"/>
          <w:sz w:val="18"/>
          <w:szCs w:val="18"/>
          <w:i w:val="1"/>
          <w:iCs w:val="1"/>
          <w:color w:val="auto"/>
        </w:rPr>
        <w:t>Selling and marketing</w:t>
      </w:r>
      <w:r>
        <w:rPr>
          <w:rFonts w:ascii="Arial" w:cs="Arial" w:eastAsia="Arial" w:hAnsi="Arial"/>
          <w:sz w:val="18"/>
          <w:szCs w:val="18"/>
          <w:color w:val="auto"/>
        </w:rPr>
        <w:t xml:space="preserve"> expenses were spent on advertising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Innovation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ingredients to meet consumer demands for unique nutrition options.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an important component of meeting consumers’ nutritional needs is a focus on evolving current products. We are committed to continually finding new and innovative formulations for our products, as well as using “better-for-you” ingredients like nuts, fiber and whey protein, while continually improving taste and quality.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an in-house research and development team as well as market research and consumer insight capabilities. Through our research and development labs in El Segundo, California and Broomfield, Colorado, we control our brands’ innovations and product formulations from the ground up. By developing new products, prototypes and adjacencies in-house, we facilitate our core competencies in product innovation, and enhance our speed to market.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as part of our innovation process, we collaborate with nationally recognized third-party flavor providers and product development firms for new product development and then conduct our own proprietary consumer research to identify and improve upon new product concepts. We plan to continue conducting extensive consumer research to develop successful new products including product flavor and concept testing, marketing and trend analysis, and consumer prototype testing.</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believe the fragmented snacking category presents an opportunity for consolidation and the opportunity to build, through disciplined acquisitions, a leading platform in the nutritional snacking space. As a leader in nutritious snacking, we believe we have the unique capability to leverage our operating platform and customer relationships to expand beyond our current brands. Our experienced management team has deep expertise in brand building to expand the business into additional brands and products in the nutritional snacking segment.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own numerous domestic and international trademarks and other proprietary rights that are important to our business. Depending upon the jurisdiction, trademarks are valid if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for our products.</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compete primarily with nutritional snacking brands in large retail and e-commerce environments. The nutritional snacking industry is fragmented and highly competitive and includes a number of diverse competitors. Our identified branded competitors include, but are not limited to, CLIF Bar, KIND bars, Boost, Premier Protein, Core Power, Fairlife, Muscle Milk, ONE bar, Pure Protein, Slimfast, and think!. We believe that the principal competitive factors in the nutritional snacking industry are:</w:t>
      </w:r>
    </w:p>
    <w:p>
      <w:pPr>
        <w:spacing w:after="0" w:line="21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ingredients;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macronutrient profile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taste and texture;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convenience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variety, packaging and labeling;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retailer shelf space.</w:t>
      </w:r>
    </w:p>
    <w:p>
      <w:pPr>
        <w:spacing w:after="0" w:line="238" w:lineRule="exact"/>
        <w:rPr>
          <w:sz w:val="20"/>
          <w:szCs w:val="20"/>
          <w:color w:val="auto"/>
        </w:rPr>
      </w:pPr>
    </w:p>
    <w:p>
      <w:pPr>
        <w:jc w:val="both"/>
        <w:ind w:firstLine="248"/>
        <w:spacing w:after="0" w:line="311" w:lineRule="auto"/>
        <w:rPr>
          <w:sz w:val="20"/>
          <w:szCs w:val="20"/>
          <w:color w:val="auto"/>
        </w:rPr>
      </w:pPr>
      <w:r>
        <w:rPr>
          <w:rFonts w:ascii="Arial" w:cs="Arial" w:eastAsia="Arial" w:hAnsi="Arial"/>
          <w:sz w:val="16"/>
          <w:szCs w:val="16"/>
          <w:color w:val="auto"/>
        </w:rPr>
        <w:t>We believe that we currently compete effectively with respect to each of these factors. However, a number of companies in the nutritional snacking industry have greater financial resources, more comprehensive product lines, broader market presence, longer standing relationships with distributors and suppliers, longer operating histories, greater distribution capabilities, stronger brand recognition, and greater marketing resources than we have.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an asset-light business model. For the manufacture of our products, we contract with contract manufacturers, and as a result, our operations are highly flexible and require minimal capital expenditure. The supply chain for our international business also uses exclusively contract manufacturers.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U.S. Supply Chain</w:t>
      </w:r>
      <w:r>
        <w:rPr>
          <w:rFonts w:ascii="Arial" w:cs="Arial" w:eastAsia="Arial" w:hAnsi="Arial"/>
          <w:sz w:val="17"/>
          <w:szCs w:val="17"/>
          <w:color w:val="auto"/>
        </w:rPr>
        <w:t>. The majority of our products are shipped directly to one central warehouse, which is a leased warehouse managed by a third-party logistics provider. We also have a separate warehouse for a portion of our distribution needs. A substantial portion of our inventory is shipped directly to our retailers from the warehouse by the same third-party logistics provider. Most of our remaining customers pick-up their orders at our distribution centers and make their own arrangements for delivery to their fulfillment network. For certain customers, RTD shakes are shipped directly from the contract manufacturer to the customers’ locations. We believe our use of demand forecasting and vendor-managed inventory systems enables us to meet shipping demands, ensure timely delivery of orders and offer service levels to our customers.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Sourcing. </w:t>
      </w:r>
      <w:r>
        <w:rPr>
          <w:rFonts w:ascii="Arial" w:cs="Arial" w:eastAsia="Arial" w:hAnsi="Arial"/>
          <w:sz w:val="16"/>
          <w:szCs w:val="16"/>
          <w:color w:val="auto"/>
        </w:rPr>
        <w:t>The principal ingredients to manufacture our products include chocolate and other coatings, dairy, proteins, soy, and nuts. Our</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consists of flexible film, cartons, tetra paper, and corrugate. All of our core ingredients are purchased according to rigorous standards to assure food quality and safety. These core ingredients are generally available in adequate quantities from several suppliers. We competitively bid with major suppliers to source competitively priced, quality ingredients and packaging that meet our standards. For certain ingredients we establish direct purchasing agreements with suppliers, under which our contract manufacturers source ingredients to produce finished products. We also actively manage the cost of most of our packaging supplies, such as corrugate, film, and cartons. The cost of sourcing our ingredients and packaging has been affected by the current elevated levels of supply chain cost inflation in the United States and elsewhere. For more information, see “</w:t>
      </w:r>
      <w:r>
        <w:rPr>
          <w:rFonts w:ascii="Arial" w:cs="Arial" w:eastAsia="Arial" w:hAnsi="Arial"/>
          <w:sz w:val="16"/>
          <w:szCs w:val="16"/>
          <w:i w:val="1"/>
          <w:iCs w:val="1"/>
          <w:color w:val="auto"/>
        </w:rPr>
        <w:t>– Business Trends in Fiscal Year 2023</w:t>
      </w:r>
      <w:r>
        <w:rPr>
          <w:rFonts w:ascii="Arial" w:cs="Arial" w:eastAsia="Arial" w:hAnsi="Arial"/>
          <w:sz w:val="16"/>
          <w:szCs w:val="16"/>
          <w:color w:val="auto"/>
        </w:rPr>
        <w:t>,” above.</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Manufacturing. </w:t>
      </w:r>
      <w:r>
        <w:rPr>
          <w:rFonts w:ascii="Arial" w:cs="Arial" w:eastAsia="Arial" w:hAnsi="Arial"/>
          <w:sz w:val="16"/>
          <w:szCs w:val="16"/>
          <w:color w:val="auto"/>
        </w:rPr>
        <w:t>We rely on contract manufacturers to manufacture our products. The contract manufacturers schedule and receive ingredient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inventory according to parameters set in their contracts and forecasts we provide. As noted above, some ingredients and packaging are purchased by our contract manufacturers pursuant to framework contracts we have with the applicable suppliers. Our contract manufacturers are regularly audited by third parties and are required to follow rigorous food safety guidelines. We believe our contract manufacturers have capacity to meet our anticipated supply needs, although short-term high demand can cause disruptions. We monitor both near-term and long-term capacity as well as fulfillment rates and overall performance of our manufacturing partners and qualify alternate suppliers as needed. In general, we purchase finished products from our contract manufacturers, which includes all packaging and ingredients used, as well as an agreed-upon tolling charge for each item produced. These finished products are then shipped directly to our distribution centers, or shipped directly from the contract manufacturer to the customer.</w:t>
      </w:r>
    </w:p>
    <w:p>
      <w:pPr>
        <w:spacing w:after="0" w:line="192"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i w:val="1"/>
          <w:iCs w:val="1"/>
          <w:color w:val="auto"/>
        </w:rPr>
        <w:t xml:space="preserve">U.S. Storage. </w:t>
      </w:r>
      <w:r>
        <w:rPr>
          <w:rFonts w:ascii="Arial" w:cs="Arial" w:eastAsia="Arial" w:hAnsi="Arial"/>
          <w:sz w:val="18"/>
          <w:szCs w:val="18"/>
          <w:color w:val="auto"/>
        </w:rPr>
        <w:t>We lease two distribution centers, both in Greenfield, Indiana, referred to collectively as the Distribution Centers, where we store finished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We utilize over 1.29 million square feet of floor space among our Distribution Centers.</w:t>
      </w:r>
    </w:p>
    <w:p>
      <w:pPr>
        <w:spacing w:after="0" w:line="197" w:lineRule="exact"/>
        <w:rPr>
          <w:sz w:val="20"/>
          <w:szCs w:val="20"/>
          <w:color w:val="auto"/>
        </w:rPr>
      </w:pPr>
    </w:p>
    <w:p>
      <w:pPr>
        <w:jc w:val="both"/>
        <w:ind w:right="20" w:firstLine="193"/>
        <w:spacing w:after="0" w:line="277"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For the majority of our customers, our logistics provider distributes the finished goods via truckloads from our Distribution Centers,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first flow through regional terminals. At the terminals, our orders are consolidated with other companies’</w:t>
      </w:r>
    </w:p>
    <w:p>
      <w:pPr>
        <w:sectPr>
          <w:pgSz w:w="11900" w:h="16838" w:orient="portrait"/>
          <w:cols w:equalWidth="0" w:num="1">
            <w:col w:w="11240"/>
          </w:cols>
          <w:pgMar w:left="320" w:top="692"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products being shipped to the customer. The finished goods are then distributed to retailer distribution centers. The regular weekly shipments and consolidation have reduced our costs. For some products, we ship directly to customers from our contract manufacturer through a third-party logistics provider. In some instances, the customer will arrange to pick-up directly finished products from our Distribution Centers.</w:t>
      </w:r>
    </w:p>
    <w:p>
      <w:pPr>
        <w:spacing w:after="0" w:line="211"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have a wide variety of customers across the mass, food, club, drug, and e-commerce channels. A substantial majority of our sales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from a limited number of retailers. Sales to our largest retailer, Walmart, represented approximately 31% of consolidated sales in fiscal year 2023, of which approximately 24% is through their mass retail channel and approximately 7% is through their Sam’s club and e-commerce channels. Sales to our next largest retailer, Amazon, represented approximately 16% of consolidated sales in fiscal year 2023. No other customer represents more than 10% of sales. For additional information, please see the risk factor “</w:t>
      </w:r>
      <w:r>
        <w:rPr>
          <w:rFonts w:ascii="Arial" w:cs="Arial" w:eastAsia="Arial" w:hAnsi="Arial"/>
          <w:sz w:val="17"/>
          <w:szCs w:val="17"/>
          <w:i w:val="1"/>
          <w:iCs w:val="1"/>
          <w:color w:val="auto"/>
        </w:rPr>
        <w:t>We rely on sales to a limited number of retailers for a substantial majority of our net sales,</w:t>
      </w:r>
      <w:r>
        <w:rPr>
          <w:rFonts w:ascii="Arial" w:cs="Arial" w:eastAsia="Arial" w:hAnsi="Arial"/>
          <w:sz w:val="17"/>
          <w:szCs w:val="17"/>
          <w:color w:val="auto"/>
        </w:rPr>
        <w:t xml:space="preserve"> </w:t>
      </w:r>
      <w:r>
        <w:rPr>
          <w:rFonts w:ascii="Arial" w:cs="Arial" w:eastAsia="Arial" w:hAnsi="Arial"/>
          <w:sz w:val="17"/>
          <w:szCs w:val="17"/>
          <w:i w:val="1"/>
          <w:iCs w:val="1"/>
          <w:color w:val="auto"/>
        </w:rPr>
        <w:t>and losing one or more such retailers may materially harm our business. In addition, we maintain “at will” contracts with these retailers, which do not require recurring or minimum purchase amounts of our products.”</w:t>
      </w:r>
    </w:p>
    <w:p>
      <w:pPr>
        <w:spacing w:after="0" w:line="204"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i w:val="1"/>
          <w:iCs w:val="1"/>
          <w:color w:val="auto"/>
        </w:rPr>
        <w:t>E-Commerce</w:t>
      </w:r>
      <w:r>
        <w:rPr>
          <w:rFonts w:ascii="Arial" w:cs="Arial" w:eastAsia="Arial" w:hAnsi="Arial"/>
          <w:sz w:val="18"/>
          <w:szCs w:val="18"/>
          <w:color w:val="auto"/>
        </w:rPr>
        <w:t>. We aim to ensure that our consumers may access our brand in the way that best suits their lifestyles by offering online ordering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We sell our products on </w:t>
      </w:r>
      <w:r>
        <w:rPr>
          <w:rFonts w:ascii="Arial" w:cs="Arial" w:eastAsia="Arial" w:hAnsi="Arial"/>
          <w:sz w:val="18"/>
          <w:szCs w:val="18"/>
          <w:i w:val="1"/>
          <w:iCs w:val="1"/>
          <w:color w:val="auto"/>
        </w:rPr>
        <w:t>questnutrition.com, Atkins.com</w:t>
      </w:r>
      <w:r>
        <w:rPr>
          <w:rFonts w:ascii="Arial" w:cs="Arial" w:eastAsia="Arial" w:hAnsi="Arial"/>
          <w:sz w:val="18"/>
          <w:szCs w:val="18"/>
          <w:color w:val="auto"/>
        </w:rPr>
        <w:t xml:space="preserve">, </w:t>
      </w:r>
      <w:r>
        <w:rPr>
          <w:rFonts w:ascii="Arial" w:cs="Arial" w:eastAsia="Arial" w:hAnsi="Arial"/>
          <w:sz w:val="18"/>
          <w:szCs w:val="18"/>
          <w:i w:val="1"/>
          <w:iCs w:val="1"/>
          <w:color w:val="auto"/>
        </w:rPr>
        <w:t>Amazon.com</w:t>
      </w:r>
      <w:r>
        <w:rPr>
          <w:rFonts w:ascii="Arial" w:cs="Arial" w:eastAsia="Arial" w:hAnsi="Arial"/>
          <w:sz w:val="18"/>
          <w:szCs w:val="18"/>
          <w:color w:val="auto"/>
        </w:rPr>
        <w:t xml:space="preserve"> and e-commerce platforms of our brick-and-mortar customers, which all deliver our products directly to the location designated by the consumer.</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Food Safety and Quality. </w:t>
      </w:r>
      <w:r>
        <w:rPr>
          <w:rFonts w:ascii="Arial" w:cs="Arial" w:eastAsia="Arial" w:hAnsi="Arial"/>
          <w:sz w:val="18"/>
          <w:szCs w:val="18"/>
          <w:color w:val="auto"/>
        </w:rPr>
        <w:t>Food safety and quality is a top priority, and we dedicate substantial resources to ensure that consumers receive safe, high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 We hold an ISO 22000 certification for our U.S. operations, which we first obtained during fiscal year 2022.</w:t>
      </w:r>
    </w:p>
    <w:p>
      <w:pPr>
        <w:spacing w:after="0" w:line="2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Our products are also sold outside North America. Our top international sales are in Australia and New Zealand. For the fifty-two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August 26, 2023, international net sales represented approximately 2.7% of total net sales. Our international supply chain is run by a lean team solely focused on international operations. Similar to U.S. operations, international operations utilize contract manufacturers for products, and distributors for distribution and sales.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heavily on information systems for management of our supply chain, inventory, payment of obligations, collection of cash, human capital management, financial tools and other business processes and procedures. Our ability to manage our business functions efficiently and effectively depends significantly on the reliability and capacity of these systems. We have instituted controls, including information technology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increasingly rely on cloud computing and other technologies that result in third parties holding significant amounts of customer, consumer or employee information on our behalf.</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along with our third party service providers, including our licensees, contract manufacturers, e-commerce contractors and third-party sellers, collect information about consumers directly from them as well as automatically through their use of our websites. We collect information from consumers when they interact with our websites and the services we offer on those sites. The information we collect varies based on the consumer’s particular interaction with our websites. We may combine this information with other information that we collect. We and our third-party service providers may use cookies and other similar tracking technologies to track information about consumers’ use of our websites and the services we offer on those websites. The website operations of our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52" w:lineRule="exact"/>
        <w:rPr>
          <w:sz w:val="20"/>
          <w:szCs w:val="20"/>
          <w:color w:val="auto"/>
        </w:rPr>
      </w:pPr>
    </w:p>
    <w:p>
      <w:pPr>
        <w:jc w:val="both"/>
        <w:ind w:firstLine="227"/>
        <w:spacing w:after="0" w:line="275" w:lineRule="auto"/>
        <w:rPr>
          <w:sz w:val="20"/>
          <w:szCs w:val="20"/>
          <w:color w:val="auto"/>
        </w:rPr>
      </w:pPr>
      <w:r>
        <w:rPr>
          <w:rFonts w:ascii="Arial" w:cs="Arial" w:eastAsia="Arial" w:hAnsi="Arial"/>
          <w:sz w:val="17"/>
          <w:szCs w:val="17"/>
          <w:color w:val="auto"/>
        </w:rPr>
        <w:t>During the fifty-two weeks ended August 27, 2022, we substantially completed our efforts to fully integrate our operations and organization structure after the Quest Acquisition. We aligned the nature of our production processes and the methods used to distribute products to customers for the Atkins® and Quest® brands. We also designed our organizational structure to support entity-wide business functions across brands, products, customers, and geographic regions. Additionally, our chief operating decision maker reviews operating results and forecasts at the consolidated level. As a result, we determined our operations are appropriately still organized into one, consolidated operating segment and reportable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Compliance</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include, among others, the U.S. Federal Trade Commission (“FTC”), the U.S. Food and Drug Administration (“FDA”), the U.S. Environmental Protection Agency, and the Occupational Safety and Health Administration, in addition to similar state and local agencies. Under various statutes, these agencies prescribe the requirements and establish the standards for quality and safety and regulate marketing and advertising to consumers. In certain circumstances, these agencies must not only approve products, but also review the manufacturing processes and facilities used to produce these products before they can be marketed in the United States.</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Food-Related Regulations</w:t>
      </w:r>
    </w:p>
    <w:p>
      <w:pPr>
        <w:spacing w:after="0" w:line="252" w:lineRule="exact"/>
        <w:rPr>
          <w:sz w:val="20"/>
          <w:szCs w:val="20"/>
          <w:color w:val="auto"/>
        </w:rPr>
      </w:pPr>
    </w:p>
    <w:p>
      <w:pPr>
        <w:jc w:val="both"/>
        <w:ind w:firstLine="217"/>
        <w:spacing w:after="0" w:line="263" w:lineRule="auto"/>
        <w:rPr>
          <w:sz w:val="20"/>
          <w:szCs w:val="20"/>
          <w:color w:val="auto"/>
        </w:rPr>
      </w:pPr>
      <w:r>
        <w:rPr>
          <w:rFonts w:ascii="Arial" w:cs="Arial" w:eastAsia="Arial" w:hAnsi="Arial"/>
          <w:sz w:val="18"/>
          <w:szCs w:val="18"/>
          <w:color w:val="auto"/>
        </w:rPr>
        <w:t>As a manufacturer and distributor of food products, we are subject to several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regulates manufacturing practices for foods through its current good manufacturing practices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specifies the standards of identity for certain foods, including many of the products we sell;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regulates the advertising claims that can be made on food product labels;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prescribes the format and content of certain information required to appear on food product labels.</w:t>
      </w:r>
    </w:p>
    <w:p>
      <w:pPr>
        <w:spacing w:after="0" w:line="238" w:lineRule="exact"/>
        <w:rPr>
          <w:sz w:val="20"/>
          <w:szCs w:val="20"/>
          <w:color w:val="auto"/>
        </w:rPr>
      </w:pPr>
    </w:p>
    <w:p>
      <w:pPr>
        <w:jc w:val="both"/>
        <w:ind w:firstLine="190"/>
        <w:spacing w:after="0" w:line="279" w:lineRule="auto"/>
        <w:rPr>
          <w:sz w:val="20"/>
          <w:szCs w:val="20"/>
          <w:color w:val="auto"/>
        </w:rPr>
      </w:pPr>
      <w:r>
        <w:rPr>
          <w:rFonts w:ascii="Arial" w:cs="Arial" w:eastAsia="Arial" w:hAnsi="Arial"/>
          <w:sz w:val="17"/>
          <w:szCs w:val="17"/>
          <w:color w:val="auto"/>
        </w:rPr>
        <w:t>We are subject to the Food Safety Modernization Act,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 Governments may in the future implement new laws, regulations and directives aimed to meet certain climate change goals and objectives which could affect our business operations as they relate to ingredient and packaging procurement.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believe that we are in material compliance with existing environmental regulations applicable to our business. We do not expect the cost of our continued compliance with existing environmental regulations to have a material effect on our capital expenditures, earnings, cash flows or competitive position in the foreseeable future. In addition, any asset retirement obligations are not material.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Labeling Regulations</w:t>
      </w:r>
    </w:p>
    <w:p>
      <w:pPr>
        <w:spacing w:after="0" w:line="252"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8"/>
          <w:szCs w:val="18"/>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52"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color w:val="auto"/>
        </w:rPr>
        <w:t>As of August 26, 2023, our workforce consisted of 271 employees globally who were largely based in an office or in research and development (“R&amp;D”) lab locations. Of that total, approximately 94% of our employees were in the United States, and the rest were in Canada, Europe, Australia, and New Zealand. 116 employees were engaged in marketing and sales, 85 were engaged in R&amp;D, operations and quality, and 70 were engaged in administration. Of our United States employees, 23 employees were hourly and 233 were salaried. No employees were covered by a collective bargaining agreement.</w:t>
      </w:r>
    </w:p>
    <w:p>
      <w:pPr>
        <w:spacing w:after="0" w:line="184"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i w:val="1"/>
          <w:iCs w:val="1"/>
          <w:color w:val="auto"/>
        </w:rPr>
        <w:t xml:space="preserve">Mission, Vision and Values. </w:t>
      </w:r>
      <w:r>
        <w:rPr>
          <w:rFonts w:ascii="Arial" w:cs="Arial" w:eastAsia="Arial" w:hAnsi="Arial"/>
          <w:sz w:val="18"/>
          <w:szCs w:val="18"/>
          <w:color w:val="auto"/>
        </w:rPr>
        <w:t>Our mission is to empower healthy lives through smart and satisfying nutrition. Our vision is to lead the nutritious snacking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movement with trusted brands that offer a variety of convenient, innovative, great-tasting, better-for-you snacks and meal replacements. Our values, </w:t>
      </w:r>
      <w:r>
        <w:rPr>
          <w:rFonts w:ascii="Arial" w:cs="Arial" w:eastAsia="Arial" w:hAnsi="Arial"/>
          <w:sz w:val="18"/>
          <w:szCs w:val="18"/>
          <w:i w:val="1"/>
          <w:iCs w:val="1"/>
          <w:color w:val="auto"/>
        </w:rPr>
        <w:t>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Integrity, Lead with Innovation, Succeed through Interdependence, Be Empowered, </w:t>
      </w:r>
      <w:r>
        <w:rPr>
          <w:rFonts w:ascii="Arial" w:cs="Arial" w:eastAsia="Arial" w:hAnsi="Arial"/>
          <w:sz w:val="18"/>
          <w:szCs w:val="18"/>
          <w:color w:val="auto"/>
        </w:rPr>
        <w:t>and</w:t>
      </w:r>
      <w:r>
        <w:rPr>
          <w:rFonts w:ascii="Arial" w:cs="Arial" w:eastAsia="Arial" w:hAnsi="Arial"/>
          <w:sz w:val="18"/>
          <w:szCs w:val="18"/>
          <w:i w:val="1"/>
          <w:iCs w:val="1"/>
          <w:color w:val="auto"/>
        </w:rPr>
        <w:t xml:space="preserve"> Bring Passion Every Day, </w:t>
      </w:r>
      <w:r>
        <w:rPr>
          <w:rFonts w:ascii="Arial" w:cs="Arial" w:eastAsia="Arial" w:hAnsi="Arial"/>
          <w:sz w:val="18"/>
          <w:szCs w:val="18"/>
          <w:color w:val="auto"/>
        </w:rPr>
        <w:t>are critical to our success in</w:t>
      </w:r>
      <w:r>
        <w:rPr>
          <w:rFonts w:ascii="Arial" w:cs="Arial" w:eastAsia="Arial" w:hAnsi="Arial"/>
          <w:sz w:val="18"/>
          <w:szCs w:val="18"/>
          <w:i w:val="1"/>
          <w:iCs w:val="1"/>
          <w:color w:val="auto"/>
        </w:rPr>
        <w:t xml:space="preserve"> </w:t>
      </w:r>
      <w:r>
        <w:rPr>
          <w:rFonts w:ascii="Arial" w:cs="Arial" w:eastAsia="Arial" w:hAnsi="Arial"/>
          <w:sz w:val="18"/>
          <w:szCs w:val="18"/>
          <w:color w:val="auto"/>
        </w:rPr>
        <w:t>fulfilling our mission and vision.</w:t>
      </w:r>
    </w:p>
    <w:p>
      <w:pPr>
        <w:spacing w:after="0" w:line="214"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i w:val="1"/>
          <w:iCs w:val="1"/>
          <w:color w:val="auto"/>
        </w:rPr>
        <w:t>Training &amp; Development</w:t>
      </w:r>
      <w:r>
        <w:rPr>
          <w:rFonts w:ascii="Arial" w:cs="Arial" w:eastAsia="Arial" w:hAnsi="Arial"/>
          <w:sz w:val="18"/>
          <w:szCs w:val="18"/>
          <w:color w:val="auto"/>
        </w:rPr>
        <w:t>. Training and development is critical to our mission’s success, helps our employees grow their career, and is one way we</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motivate and retain our employees. We regularly host “Be Empowered” sessions for employees, which are educational classes and networking opportunities that teach our nutrition philosophy and our different business functions. To develop effective and empowered leaders, we host regular trainings and informational sessions.</w:t>
      </w:r>
    </w:p>
    <w:p>
      <w:pPr>
        <w:spacing w:after="0" w:line="214"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7"/>
          <w:szCs w:val="17"/>
          <w:color w:val="auto"/>
        </w:rPr>
        <w:t>In our normal performance review cycle, which took place in early fiscal year 2023, 99% of our employees held career discussions with their managers to identify opportunities for development and career progression. Our accelerated mentorship program pairs junior talent with executive leadership, which is designed to broaden talent networks, increases exposure to cross-functional problem solving and builds leadership competencies and impact. Because of these career discussions, the accelerated mentorship program and the talent review process conducted by our senior leadership, during fiscal year 2023, we promoted 8% of our workforce and provided associated compensation increases.</w:t>
      </w:r>
    </w:p>
    <w:p>
      <w:pPr>
        <w:spacing w:after="0" w:line="203" w:lineRule="exact"/>
        <w:rPr>
          <w:sz w:val="20"/>
          <w:szCs w:val="20"/>
          <w:color w:val="auto"/>
        </w:rPr>
      </w:pPr>
    </w:p>
    <w:p>
      <w:pPr>
        <w:jc w:val="both"/>
        <w:ind w:firstLine="301"/>
        <w:spacing w:after="0" w:line="259" w:lineRule="auto"/>
        <w:rPr>
          <w:sz w:val="20"/>
          <w:szCs w:val="20"/>
          <w:color w:val="auto"/>
        </w:rPr>
      </w:pPr>
      <w:r>
        <w:rPr>
          <w:rFonts w:ascii="Arial" w:cs="Arial" w:eastAsia="Arial" w:hAnsi="Arial"/>
          <w:sz w:val="18"/>
          <w:szCs w:val="18"/>
          <w:i w:val="1"/>
          <w:iCs w:val="1"/>
          <w:color w:val="auto"/>
        </w:rPr>
        <w:t>Our Commitment to Diversity, Equity &amp; Inclusion (“DE&amp;I”)</w:t>
      </w:r>
      <w:r>
        <w:rPr>
          <w:rFonts w:ascii="Arial" w:cs="Arial" w:eastAsia="Arial" w:hAnsi="Arial"/>
          <w:sz w:val="18"/>
          <w:szCs w:val="18"/>
          <w:color w:val="auto"/>
        </w:rPr>
        <w:t>. We recognize the importance of a diverse, equitable and inclusive culture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its effect on our ability to achieve our mission, so we have made commitments to track and improve our performance in each of these areas. Our Board of Directors created its Corporate Responsibility &amp; Sustainability committee that has been tasked with, among other things, overseeing human capital resources and all our DE&amp;I initiatives. These initiatives include the following, among others:</w:t>
      </w:r>
    </w:p>
    <w:p>
      <w:pPr>
        <w:spacing w:after="0" w:line="214" w:lineRule="exact"/>
        <w:rPr>
          <w:sz w:val="20"/>
          <w:szCs w:val="20"/>
          <w:color w:val="auto"/>
        </w:rPr>
      </w:pPr>
    </w:p>
    <w:p>
      <w:pPr>
        <w:jc w:val="both"/>
        <w:ind w:left="660" w:hanging="328"/>
        <w:spacing w:after="0" w:line="26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2022, we established a Diversity, Equity, Inclusion and Belonging Council consisting of mid-level and senior leaders so our DE&amp;I efforts are informed and led by a cross section of our leaders. Its mission is to foster a positive, open, and trusted culture of belonging where every person feels empowered to bring their unique selves to the workplace resulting in a competitive advantage through thought-leadership and talent growth that halos beyond our workforce to our partners and community, creating an inclusive ecosystem.</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complete a pay equity audit every fiscal year to evaluate equity in our pay practices and work to address any issues that may arise.</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post every open position or promotional opportunity in the United States that is not confidential, and we include the job’s pay range to provide transparency to candidates. This practice provides every qualified candidate an opportunity to apply with knowledge of the range of pay for the role.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social and governance (“ESG”) initiatives are included as part of the determination of the discretionary component of our annual short-term incentive program.</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employees are required to attend preventing discrimination and harassment training.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observe Juneteenth as a company-paid holiday every year in the United States as a day of reflection, education, and celebration.</w:t>
      </w:r>
    </w:p>
    <w:p>
      <w:pPr>
        <w:spacing w:after="0" w:line="238" w:lineRule="exact"/>
        <w:rPr>
          <w:sz w:val="20"/>
          <w:szCs w:val="20"/>
          <w:color w:val="auto"/>
        </w:rPr>
      </w:pPr>
    </w:p>
    <w:p>
      <w:pPr>
        <w:jc w:val="both"/>
        <w:ind w:firstLine="182"/>
        <w:spacing w:after="0" w:line="259" w:lineRule="auto"/>
        <w:rPr>
          <w:sz w:val="20"/>
          <w:szCs w:val="20"/>
          <w:color w:val="auto"/>
        </w:rPr>
      </w:pPr>
      <w:r>
        <w:rPr>
          <w:rFonts w:ascii="Arial" w:cs="Arial" w:eastAsia="Arial" w:hAnsi="Arial"/>
          <w:sz w:val="18"/>
          <w:szCs w:val="18"/>
          <w:color w:val="auto"/>
        </w:rPr>
        <w:t>The table below provides information as of August 26, 2023, the end of our fiscal year, about the representation of women and minorities as a percentage of our employees at various levels of management categories used by our Executive Leadership Team to manage our workforce. This information is also reviewed by our Board of Directors about the representation of women and minorities as a percentage of our employees at various levels of management and our Board of Directors, as of August 26,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Female and Minority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17780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7"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3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Female</w:t>
            </w:r>
          </w:p>
        </w:tc>
        <w:tc>
          <w:tcPr>
            <w:tcW w:w="1480" w:type="dxa"/>
            <w:vAlign w:val="bottom"/>
          </w:tcPr>
          <w:p>
            <w:pPr>
              <w:ind w:left="420"/>
              <w:spacing w:after="0"/>
              <w:rPr>
                <w:sz w:val="20"/>
                <w:szCs w:val="20"/>
                <w:color w:val="auto"/>
              </w:rPr>
            </w:pPr>
            <w:r>
              <w:rPr>
                <w:rFonts w:ascii="Arial" w:cs="Arial" w:eastAsia="Arial" w:hAnsi="Arial"/>
                <w:sz w:val="16"/>
                <w:szCs w:val="16"/>
                <w:color w:val="auto"/>
              </w:rPr>
              <w:t>Minority</w:t>
            </w:r>
            <w:r>
              <w:rPr>
                <w:rFonts w:ascii="Arial" w:cs="Arial" w:eastAsia="Arial" w:hAnsi="Arial"/>
                <w:sz w:val="21"/>
                <w:szCs w:val="21"/>
                <w:color w:val="auto"/>
                <w:vertAlign w:val="superscript"/>
              </w:rPr>
              <w:t>1</w:t>
            </w: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 Employees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56%</w:t>
            </w:r>
          </w:p>
        </w:tc>
        <w:tc>
          <w:tcPr>
            <w:tcW w:w="1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35%</w:t>
            </w:r>
          </w:p>
        </w:tc>
      </w:tr>
      <w:tr>
        <w:trPr>
          <w:trHeight w:val="267"/>
        </w:trPr>
        <w:tc>
          <w:tcPr>
            <w:tcW w:w="5340" w:type="dxa"/>
            <w:vAlign w:val="bottom"/>
          </w:tcPr>
          <w:p>
            <w:pPr>
              <w:ind w:left="20"/>
              <w:spacing w:after="0"/>
              <w:rPr>
                <w:sz w:val="20"/>
                <w:szCs w:val="20"/>
                <w:color w:val="auto"/>
              </w:rPr>
            </w:pPr>
            <w:r>
              <w:rPr>
                <w:rFonts w:ascii="Arial" w:cs="Arial" w:eastAsia="Arial" w:hAnsi="Arial"/>
                <w:sz w:val="16"/>
                <w:szCs w:val="16"/>
                <w:color w:val="auto"/>
              </w:rPr>
              <w:t>All People-leaders</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48%</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26%</w:t>
            </w:r>
          </w:p>
        </w:tc>
      </w:tr>
      <w:tr>
        <w:trPr>
          <w:trHeight w:val="273"/>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Director-level</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25%</w:t>
            </w:r>
          </w:p>
        </w:tc>
      </w:tr>
      <w:tr>
        <w:trPr>
          <w:trHeight w:val="267"/>
        </w:trPr>
        <w:tc>
          <w:tcPr>
            <w:tcW w:w="5340" w:type="dxa"/>
            <w:vAlign w:val="bottom"/>
          </w:tcPr>
          <w:p>
            <w:pPr>
              <w:ind w:left="20"/>
              <w:spacing w:after="0"/>
              <w:rPr>
                <w:sz w:val="20"/>
                <w:szCs w:val="20"/>
                <w:color w:val="auto"/>
              </w:rPr>
            </w:pPr>
            <w:r>
              <w:rPr>
                <w:rFonts w:ascii="Arial" w:cs="Arial" w:eastAsia="Arial" w:hAnsi="Arial"/>
                <w:sz w:val="16"/>
                <w:szCs w:val="16"/>
                <w:color w:val="auto"/>
              </w:rPr>
              <w:t>VP-level</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26%</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7"/>
              </w:rPr>
              <w:t>16%</w:t>
            </w:r>
          </w:p>
        </w:tc>
      </w:tr>
      <w:tr>
        <w:trPr>
          <w:trHeight w:val="273"/>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Leadership Team</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w:t>
            </w:r>
          </w:p>
        </w:tc>
      </w:tr>
      <w:tr>
        <w:trPr>
          <w:trHeight w:val="264"/>
        </w:trPr>
        <w:tc>
          <w:tcPr>
            <w:tcW w:w="5340" w:type="dxa"/>
            <w:vAlign w:val="bottom"/>
          </w:tcPr>
          <w:p>
            <w:pPr>
              <w:ind w:left="20"/>
              <w:spacing w:after="0"/>
              <w:rPr>
                <w:sz w:val="20"/>
                <w:szCs w:val="20"/>
                <w:color w:val="auto"/>
              </w:rPr>
            </w:pPr>
            <w:r>
              <w:rPr>
                <w:rFonts w:ascii="Arial" w:cs="Arial" w:eastAsia="Arial" w:hAnsi="Arial"/>
                <w:sz w:val="16"/>
                <w:szCs w:val="16"/>
                <w:color w:val="auto"/>
              </w:rPr>
              <w:t>Board of Directors</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18%</w:t>
            </w:r>
          </w:p>
        </w:tc>
        <w:tc>
          <w:tcPr>
            <w:tcW w:w="14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6"/>
              </w:rPr>
              <w:t>9%</w:t>
            </w:r>
          </w:p>
        </w:tc>
      </w:tr>
    </w:tbl>
    <w:p>
      <w:pPr>
        <w:spacing w:after="0" w:line="23" w:lineRule="exact"/>
        <w:rPr>
          <w:sz w:val="20"/>
          <w:szCs w:val="20"/>
          <w:color w:val="auto"/>
        </w:rPr>
      </w:pPr>
    </w:p>
    <w:p>
      <w:pPr>
        <w:ind w:left="1440" w:right="1680" w:hanging="10"/>
        <w:spacing w:after="0" w:line="223" w:lineRule="auto"/>
        <w:tabs>
          <w:tab w:leader="none" w:pos="153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Minority representation includes the percent of United States employees who identify as Black or African American, Asian, Hispanic, Native American, or two or more races.</w:t>
      </w:r>
    </w:p>
    <w:p>
      <w:pPr>
        <w:spacing w:after="0" w:line="3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Form 10-K for the fiscal year ended August 27, 2022, we provided a table of information for the period December 1, 2021 through December 15, 2021 from our 2021 EEO-1 report. Earlier this year, the U.S. Equal Employment and Opportunity Commission determined to delay the timeline for the submission of data to complete the 2022 EEO-1 report. Data submission for our 2022 EEO-1 report is now scheduled for the period from October 31, 2023, through December 5, 2023. As a result, updated information from our 2022 EEO-1 report is not available as of the filing date of this Form 10-K.</w:t>
      </w:r>
    </w:p>
    <w:p>
      <w:pPr>
        <w:spacing w:after="0" w:line="215"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i w:val="1"/>
          <w:iCs w:val="1"/>
          <w:color w:val="auto"/>
        </w:rPr>
        <w:t>Employee Culture</w:t>
      </w:r>
      <w:r>
        <w:rPr>
          <w:rFonts w:ascii="Arial" w:cs="Arial" w:eastAsia="Arial" w:hAnsi="Arial"/>
          <w:sz w:val="18"/>
          <w:szCs w:val="18"/>
          <w:color w:val="auto"/>
        </w:rPr>
        <w:t>. We regularly ask our employees to respond to engagement surveys to gather feedback on topics ranging from teamwork to, growth,</w:t>
      </w:r>
      <w:r>
        <w:rPr>
          <w:rFonts w:ascii="Arial" w:cs="Arial" w:eastAsia="Arial" w:hAnsi="Arial"/>
          <w:sz w:val="18"/>
          <w:szCs w:val="18"/>
          <w:i w:val="1"/>
          <w:iCs w:val="1"/>
          <w:color w:val="auto"/>
        </w:rPr>
        <w:t xml:space="preserve"> </w:t>
      </w:r>
      <w:r>
        <w:rPr>
          <w:rFonts w:ascii="Arial" w:cs="Arial" w:eastAsia="Arial" w:hAnsi="Arial"/>
          <w:sz w:val="18"/>
          <w:szCs w:val="18"/>
          <w:color w:val="auto"/>
        </w:rPr>
        <w:t>job satisfaction, engagement and inclusion. This encourages open communication with employees and management, and tracks employee engagement over time.</w:t>
      </w:r>
    </w:p>
    <w:p>
      <w:pPr>
        <w:spacing w:after="0" w:line="211"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i w:val="1"/>
          <w:iCs w:val="1"/>
          <w:color w:val="auto"/>
        </w:rPr>
        <w:t xml:space="preserve">Total Rewards. </w:t>
      </w:r>
      <w:r>
        <w:rPr>
          <w:rFonts w:ascii="Arial" w:cs="Arial" w:eastAsia="Arial" w:hAnsi="Arial"/>
          <w:sz w:val="18"/>
          <w:szCs w:val="18"/>
          <w:color w:val="auto"/>
        </w:rPr>
        <w:t>The health, satisfaction and security of our employees and their families are important to us and an important part of reaching our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goals. We offer total rewards packages that include valuable and competitive compensation and benefit plans. These programs reflect our commitment to attracting and retaining top talent and keeping our staff healthy and secure. Our compensation philosophy is to pay for performance, and we do so through a mix of base salary, annual short-term incentive and long-term incentive.</w:t>
      </w:r>
    </w:p>
    <w:p>
      <w:pPr>
        <w:spacing w:after="0" w:line="214" w:lineRule="exact"/>
        <w:rPr>
          <w:sz w:val="20"/>
          <w:szCs w:val="20"/>
          <w:color w:val="auto"/>
        </w:rPr>
      </w:pPr>
    </w:p>
    <w:p>
      <w:pPr>
        <w:jc w:val="both"/>
        <w:ind w:firstLine="212"/>
        <w:spacing w:after="0" w:line="259" w:lineRule="auto"/>
        <w:rPr>
          <w:sz w:val="20"/>
          <w:szCs w:val="20"/>
          <w:color w:val="auto"/>
        </w:rPr>
      </w:pPr>
      <w:r>
        <w:rPr>
          <w:rFonts w:ascii="Arial" w:cs="Arial" w:eastAsia="Arial" w:hAnsi="Arial"/>
          <w:sz w:val="18"/>
          <w:szCs w:val="18"/>
          <w:color w:val="auto"/>
        </w:rPr>
        <w:t>We understand that each employee's situation is unique, so we offer benefits that can be shaped and molded by each employee to fit their individual or family's needs. Our current benefits vary by region, but generally include medical, dental and vision insurance, 401(k) retirement plan, savings accounts, life and disability insurance coverage, free mental telehealth support, and other voluntary benefits. We also offer time-off benefits including vacation time, flexible vacation for exempt positions, sick leave, and paid parental leave.</w:t>
      </w:r>
    </w:p>
    <w:p>
      <w:pPr>
        <w:spacing w:after="0" w:line="214" w:lineRule="exact"/>
        <w:rPr>
          <w:sz w:val="20"/>
          <w:szCs w:val="20"/>
          <w:color w:val="auto"/>
        </w:rPr>
      </w:pPr>
    </w:p>
    <w:p>
      <w:pPr>
        <w:jc w:val="both"/>
        <w:ind w:firstLine="200"/>
        <w:spacing w:after="0" w:line="308" w:lineRule="auto"/>
        <w:rPr>
          <w:sz w:val="20"/>
          <w:szCs w:val="20"/>
          <w:color w:val="auto"/>
        </w:rPr>
      </w:pPr>
      <w:r>
        <w:rPr>
          <w:rFonts w:ascii="Arial" w:cs="Arial" w:eastAsia="Arial" w:hAnsi="Arial"/>
          <w:sz w:val="17"/>
          <w:szCs w:val="17"/>
          <w:color w:val="auto"/>
        </w:rPr>
        <w:t>We recognize the importance of balance in our employees’ lives to their overall wellbeing, so we offer our employees time off benefits described above to recharge, ten company-paid holidays per year, flexible remote workdays every Monday and Friday, and paid parental leave.</w:t>
      </w:r>
    </w:p>
    <w:p>
      <w:pPr>
        <w:spacing w:after="0" w:line="173" w:lineRule="exact"/>
        <w:rPr>
          <w:sz w:val="20"/>
          <w:szCs w:val="20"/>
          <w:color w:val="auto"/>
        </w:rPr>
      </w:pPr>
    </w:p>
    <w:p>
      <w:pPr>
        <w:jc w:val="both"/>
        <w:ind w:firstLine="247"/>
        <w:spacing w:after="0" w:line="263" w:lineRule="auto"/>
        <w:rPr>
          <w:sz w:val="20"/>
          <w:szCs w:val="20"/>
          <w:color w:val="auto"/>
        </w:rPr>
      </w:pPr>
      <w:r>
        <w:rPr>
          <w:rFonts w:ascii="Arial" w:cs="Arial" w:eastAsia="Arial" w:hAnsi="Arial"/>
          <w:sz w:val="18"/>
          <w:szCs w:val="18"/>
          <w:i w:val="1"/>
          <w:iCs w:val="1"/>
          <w:color w:val="auto"/>
        </w:rPr>
        <w:t xml:space="preserve">Advancing Health, Nutrition and Wellbeing. </w:t>
      </w:r>
      <w:r>
        <w:rPr>
          <w:rFonts w:ascii="Arial" w:cs="Arial" w:eastAsia="Arial" w:hAnsi="Arial"/>
          <w:sz w:val="18"/>
          <w:szCs w:val="18"/>
          <w:color w:val="auto"/>
        </w:rPr>
        <w:t>Our mission is to empower healthy lives through smart and satisfying nutrition. We believe we play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role in helping to improve nutrition and overall wellness in the United States through scientific research, education, advocacy and community engagement.</w:t>
      </w:r>
    </w:p>
    <w:p>
      <w:pPr>
        <w:spacing w:after="0" w:line="211" w:lineRule="exact"/>
        <w:rPr>
          <w:sz w:val="20"/>
          <w:szCs w:val="20"/>
          <w:color w:val="auto"/>
        </w:rPr>
      </w:pPr>
    </w:p>
    <w:p>
      <w:pPr>
        <w:jc w:val="both"/>
        <w:ind w:firstLine="211"/>
        <w:spacing w:after="0" w:line="291" w:lineRule="auto"/>
        <w:rPr>
          <w:sz w:val="20"/>
          <w:szCs w:val="20"/>
          <w:color w:val="auto"/>
        </w:rPr>
      </w:pPr>
      <w:r>
        <w:rPr>
          <w:rFonts w:ascii="Arial" w:cs="Arial" w:eastAsia="Arial" w:hAnsi="Arial"/>
          <w:sz w:val="16"/>
          <w:szCs w:val="16"/>
          <w:color w:val="auto"/>
        </w:rPr>
        <w:t>Since 2016, we have advocated with various branches of the U.S. federal government to encourage more inclusive guidance in the U.S. Department of Agriculture’s and U.S. Department of Health and Human Services’ Dietary Guidelines for Americans (the “Dietary Guidelines”), which is released every five years. Our goal is to expand the Dietary Guidelines to offer solutions for more Americans, including the more than half of the U.S. population suffering from negative metabolic-related conditions such as cardiovascular disease, prediabetes, diabetes and obesity. We also believe expanding the Dietary Guidelines would help to address health equity in many underserved populations in the United States who have higher rates of metabolic-related diseases. The advocacy work we have done is aligned with recent guidance issued by major health organizations such as the American Diabetes Association and the American Heart Association, both of which recommend a lower carbohydrate dietary approach as an option for those with diabetes.</w:t>
      </w:r>
    </w:p>
    <w:p>
      <w:pPr>
        <w:spacing w:after="0" w:line="193" w:lineRule="exact"/>
        <w:rPr>
          <w:sz w:val="20"/>
          <w:szCs w:val="20"/>
          <w:color w:val="auto"/>
        </w:rPr>
      </w:pPr>
    </w:p>
    <w:p>
      <w:pPr>
        <w:jc w:val="both"/>
        <w:ind w:firstLine="201"/>
        <w:spacing w:after="0" w:line="279" w:lineRule="auto"/>
        <w:rPr>
          <w:sz w:val="20"/>
          <w:szCs w:val="20"/>
          <w:color w:val="auto"/>
        </w:rPr>
      </w:pPr>
      <w:r>
        <w:rPr>
          <w:rFonts w:ascii="Arial" w:cs="Arial" w:eastAsia="Arial" w:hAnsi="Arial"/>
          <w:sz w:val="17"/>
          <w:szCs w:val="17"/>
          <w:color w:val="auto"/>
        </w:rPr>
        <w:t>Our public policy advocacy includes presenting significant scientific research comprised of several hundred, peer-reviewed clinical studies in numerous meetings with policymakers, congresspeople, and decision-makers in the U.S. Department of Agriculture and the U.S. Department of Health and Human Services. In addition, we have sponsored numerous continuing education courses for registered dieticians and other healthcare professionals, and we are a member of multiple collaborative groups focused on improving the nutritional quality of the U.S. food system.</w:t>
      </w:r>
    </w:p>
    <w:p>
      <w:pPr>
        <w:spacing w:after="0" w:line="198" w:lineRule="exact"/>
        <w:rPr>
          <w:sz w:val="20"/>
          <w:szCs w:val="20"/>
          <w:color w:val="auto"/>
        </w:rPr>
      </w:pPr>
    </w:p>
    <w:p>
      <w:pPr>
        <w:jc w:val="both"/>
        <w:ind w:firstLine="281"/>
        <w:spacing w:after="0" w:line="277" w:lineRule="auto"/>
        <w:rPr>
          <w:sz w:val="20"/>
          <w:szCs w:val="20"/>
          <w:color w:val="auto"/>
        </w:rPr>
      </w:pPr>
      <w:r>
        <w:rPr>
          <w:rFonts w:ascii="Arial" w:cs="Arial" w:eastAsia="Arial" w:hAnsi="Arial"/>
          <w:sz w:val="18"/>
          <w:szCs w:val="18"/>
          <w:color w:val="auto"/>
        </w:rPr>
        <w:t>As part of our advocacy on the advantages of a protein-rich, low-carbohydrate, and low-sugar dietary approach, we have devoted portions of our respective brand websites and social media to promote consumer education, engagement, and dialogue about the benefits of</w:t>
      </w:r>
    </w:p>
    <w:p>
      <w:pPr>
        <w:sectPr>
          <w:pgSz w:w="11900" w:h="16838" w:orient="portrait"/>
          <w:cols w:equalWidth="0" w:num="1">
            <w:col w:w="11240"/>
          </w:cols>
          <w:pgMar w:left="320" w:top="791"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type w:val="continuous"/>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our nutritional approaches and how our products can fit within those approaches. Through our websites and social media, we also share educational information to explain each brand’s approach to nutrition, teaching consumers how to make smarter food choices and the nutritional qualities of our approach and products. Our Atkins website also offers free of charge information regarding the Atkins protein-rich, low-carbohydrate and low-sugar approach to eating, several tools to assist consumers in pursuing the Atkins approach and over 1,600 recipes designed to help consumers achieve and maintain a healthy lifestyle, while still enjoying delicious food.</w:t>
      </w:r>
    </w:p>
    <w:p>
      <w:pPr>
        <w:spacing w:after="0" w:line="215" w:lineRule="exact"/>
        <w:rPr>
          <w:sz w:val="20"/>
          <w:szCs w:val="20"/>
          <w:color w:val="auto"/>
        </w:rPr>
      </w:pPr>
    </w:p>
    <w:p>
      <w:pPr>
        <w:jc w:val="both"/>
        <w:ind w:firstLine="222"/>
        <w:spacing w:after="0" w:line="293" w:lineRule="auto"/>
        <w:rPr>
          <w:sz w:val="20"/>
          <w:szCs w:val="20"/>
          <w:color w:val="auto"/>
        </w:rPr>
      </w:pPr>
      <w:r>
        <w:rPr>
          <w:rFonts w:ascii="Arial" w:cs="Arial" w:eastAsia="Arial" w:hAnsi="Arial"/>
          <w:sz w:val="16"/>
          <w:szCs w:val="16"/>
          <w:color w:val="auto"/>
        </w:rPr>
        <w:t>In late 2021, we launched Quest for Impact, formerly known as The Quest Challenge, a grant program for individuals who are making a difference in their community in support of health and wellness. In 2023, we provided four separate $20,000 grants. The Quest for Impact grants were awarded following a competitive process in which applicants expressed their current philanthropic work and what they aim to achieve if they received the grant. Recipients of this year’s grant have used this money to provide life enrichment skills for individuals with autism and special needs, empower and provide skills development for underserved individuals and communities, and support programs designed to develop student’s minds and prepare them for the complexities and demands of the world. We will continue to follow the progress of our past recipients and their effect on their communities.</w:t>
      </w:r>
    </w:p>
    <w:p>
      <w:pPr>
        <w:spacing w:after="0" w:line="191"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color w:val="auto"/>
        </w:rPr>
        <w:t>For the third year, we participated in Walmart’s “Fight Hunger. Spark Change.” campaign. For each purchase of participating Simply Good Foods’ Atkins and Quest products at Walmart during the campaign, we donated the monetary equivalent of at least one meal to Feeding America. Through this program, Simply Good Foods secured at least 500,000 meals for Feeding America. Additionally, we encourage and support our employees to give back to charities they are passionate about, and we match up to $100 of each employee’s donations.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2023 we sponsored a Community Impact Day for our employees to volunteer in their communities in support of our commitment to help improve nutrition and overall wellness in the United States through scientific research, education, advocacy, and community engagement. We partnered with five organizations in five cities where our employees have a presence: Denver, CO; El Segundo, CA; Minneapolis, MN; Bentonville, AR, and Cincinnati, OH. Over 110 Simply Good Foods employees volunteered, building awareness about nutrition security, and striving to help end hunger in the U.S. by centering this volunteer event around Community Gardens, a place where people come together to access affordable, healthy food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file annual, quarterly and current reports, proxy statements and other information with the SEC.</w:t>
      </w:r>
    </w:p>
    <w:p>
      <w:pPr>
        <w:spacing w:after="0" w:line="252" w:lineRule="exact"/>
        <w:rPr>
          <w:sz w:val="20"/>
          <w:szCs w:val="20"/>
          <w:color w:val="auto"/>
        </w:rPr>
      </w:pPr>
    </w:p>
    <w:p>
      <w:pPr>
        <w:jc w:val="both"/>
        <w:ind w:firstLine="247"/>
        <w:spacing w:after="0" w:line="263" w:lineRule="auto"/>
        <w:rPr>
          <w:sz w:val="20"/>
          <w:szCs w:val="20"/>
          <w:color w:val="auto"/>
        </w:rPr>
      </w:pPr>
      <w:r>
        <w:rPr>
          <w:rFonts w:ascii="Arial" w:cs="Arial" w:eastAsia="Arial" w:hAnsi="Arial"/>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which are available free of charge. The address of this Internet site is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firstLine="205"/>
        <w:spacing w:after="0" w:line="301" w:lineRule="auto"/>
        <w:rPr>
          <w:sz w:val="20"/>
          <w:szCs w:val="20"/>
          <w:color w:val="auto"/>
        </w:rPr>
      </w:pPr>
      <w:r>
        <w:rPr>
          <w:rFonts w:ascii="Arial" w:cs="Arial" w:eastAsia="Arial" w:hAnsi="Arial"/>
          <w:sz w:val="16"/>
          <w:szCs w:val="16"/>
          <w:color w:val="auto"/>
        </w:rPr>
        <w:t xml:space="preserve">We also make available free of charge through our website at </w:t>
      </w:r>
      <w:r>
        <w:rPr>
          <w:rFonts w:ascii="Arial" w:cs="Arial" w:eastAsia="Arial" w:hAnsi="Arial"/>
          <w:sz w:val="16"/>
          <w:szCs w:val="16"/>
          <w:i w:val="1"/>
          <w:iCs w:val="1"/>
          <w:u w:val="single" w:color="auto"/>
          <w:color w:val="auto"/>
        </w:rPr>
        <w:t>www.thesimplygoodfoodscompany.com</w:t>
      </w:r>
      <w:r>
        <w:rPr>
          <w:rFonts w:ascii="Arial" w:cs="Arial" w:eastAsia="Arial" w:hAnsi="Arial"/>
          <w:sz w:val="16"/>
          <w:szCs w:val="16"/>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36"/>
        <w:spacing w:after="0" w:line="259"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which could become material. The trading price of our securities could decline due to any of these risks, and, as a result, you may lose all or part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Changing consumer preferences, habits, perceptions of certain nutritional snacking products and discretionary spending may negatively affect our brand loyalty, purchase frequency rate and net sales, and materially and adversely affect our business, financial condition and results of operations.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focus on products we believe have positive effects on health and compete in a market that relies on innovation and evolving consumer preferences. The packaged food industry in general, and the nutritional snacking industry in particular, is subject to changing consumer trends, demands and preferences and emerging nutrition science is constantly evolving. Products, ingredients, or methods of eating once considered healthy may become disfavored by consumers, scientifically disproven or no longer be perceived as healthy.</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Trends within the food industry change over time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for a variety of reasons,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trends away from specific ingredients and processing in products and increasing awareness of the environmental and social effects of product production.</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Consumer perceptions of the nutritional profile of our products and related eating practices may shift. Consumers may also no longer perceive products with fewer carbohydrates, higher levels of protein, higher levels of fat, or additional fiber or which contain alternative sweeteners as healthy or needed to achieve personal weight management, wellness, or fitness goals. Adverse messaging in the media, including social media, or within certain influencer communities, relating to the marketing of nutritional snacking products or weight-related dietary programs may adversely affect the overall consumer impression of certain of our products, programs or brands, which may materially and adversely affect our business. Approaches regarding nutritional approaches and healthy lifestyles are the subject of numerous studies and publications, often with differentiating views and opinions, some of which may be adverse to us. Conflicting scientific information on what constitutes good nutrition, or the benefits of certain dietary approaches may also materially and adversely affect our business. Our success depends, in part, on our ability to advance sound nutrition research and to anticipate the tastes and dietary habits of consumers and other consumer trends and to offer products with marketing messaging that appeal to their needs and preferences on a timely and affordable basis. A change in consumer discretionary spending, due to inflationary pressures, economic downturn or other reasons may also materially and adversely affect our sales, and our business, financial condition and results of operations.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Our operations are dependent on a global supply chain and effects of supply chain constraints and inflationary pressure on us or our suppliers could adversely affect our operating results.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and the operations of our contract manufacturers have been, and may continue to be, affected by supply chain constraints and packaging, ingredient and labor challenges resulting in increased costs. The continuing uncertain economic environment, and macroeconomic and geopolitical events and trends may increase these risks. In addition, current or future governmental policies may increase the risk of further inflation, which could further increase the costs of ingredients, packaging and finished goods for our business. Similarly, if costs of goods and labor continue to increase, our suppliers may continue to seek price increases from us. These circumstances have resulted in negative effects on our results of operations. If we cannot mitigate the effect of supply chain constraints and inflationary pressure through price increases or cost saving measures, our results of operations and financial condition could be further negatively affected.</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can raise the prices of our products, consumers might react negatively to these price increases, which could have a material adverse effect on, among other things, our brands, reputation, and sales. During fiscal year 2023, our price increases may have caused some consumers to purchase fewer of our products than they have in the past. If our competitors maintain or lower their prices while we raise prices, we may lose customers or the purchase frequency of our products may slow, which would both adversely affect sales. Our profitability may be negatively affected by higher costs, inadequate pricing or a reduction in purchase frequencies of our products, which may negatively affect gross margins and sales. Even though we continue to work to alleviate supply chain constraints through various measures, we cannot predict the effect of these constraints on the timing of revenue and operating costs of our business in the near future. Supply chain challenges and supply chain constraints relating to ingredients, freight and packaging, including cost</w:t>
      </w:r>
    </w:p>
    <w:p>
      <w:pPr>
        <w:sectPr>
          <w:pgSz w:w="11900" w:h="16838" w:orient="portrait"/>
          <w:cols w:equalWidth="0" w:num="1">
            <w:col w:w="11240"/>
          </w:cols>
          <w:pgMar w:left="320" w:top="688"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inflation, have negatively affected our gross margins and profitability during fiscal year 2023 and may continue to have a negative effect on our future operating results and profitability. In addition, p</w:t>
      </w:r>
      <w:r>
        <w:rPr>
          <w:rFonts w:ascii="Arial" w:cs="Arial" w:eastAsia="Arial" w:hAnsi="Arial"/>
          <w:sz w:val="18"/>
          <w:szCs w:val="18"/>
          <w:color w:val="212529"/>
        </w:rPr>
        <w:t>rolonged unfavorable economic conditions, including because of recession or slowed economic growth, or</w:t>
      </w:r>
      <w:r>
        <w:rPr>
          <w:rFonts w:ascii="Arial" w:cs="Arial" w:eastAsia="Arial" w:hAnsi="Arial"/>
          <w:sz w:val="18"/>
          <w:szCs w:val="18"/>
          <w:color w:val="auto"/>
        </w:rPr>
        <w:t xml:space="preserve"> </w:t>
      </w:r>
      <w:r>
        <w:rPr>
          <w:rFonts w:ascii="Arial" w:cs="Arial" w:eastAsia="Arial" w:hAnsi="Arial"/>
          <w:sz w:val="18"/>
          <w:szCs w:val="18"/>
          <w:color w:val="212529"/>
        </w:rPr>
        <w:t>public health outbreaks, endemics or pandemics, may have an adverse effect on our sales and profitability.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or increase prices of our products to cover elevated input costs, our margins may decrease.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in part, on price increases to offset cost increases and maintain or improve the profitability of our business. Our ability to maintain prices or effectively implement price increases, may be affected by several factors, including competition, effectiveness of our marketing programs, the continuing strength of our brands, market demand and general economic conditions, including broader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we have announced or already implemented, whether through a change in list price or increased trade and promotional activity. If we cannot maintain or increase prices for our products or must increase trade and promotional activity, our margins may be adversely affected. For more information on the effects of supply chain cost increases on our profitability during fiscal year 2023, see “Management’s Discussion and Analysis of Financial Condition and Results of Operations” in this Form 10-K. Furthermore, price increases generally cause volume losses, as consumers tend to purchase fewer units at higher price points. If such losses are greater than expected or if we lose distribution due to price increases, our business, financial condition and results of operations may be materially and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the highly competitive nutritional snacking industry.</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committed to providing people a more nutritious way to eat. We compete in the nutritional snacking industry, which is included in the general snack foods industry. The nutritious snacking industry is large and intensely competitive. Competitive factors in the nutritional snacking industry include product quality, taste, brand awareness among consumers, nutritional content, simpler and less processed ingredients, innovation of “on-trend” snacks, variety of snacks offered, grocery aisle placement, access to retailer shelf space, price, advertising and promotion, product packaging and package design. We compete in this market against numerous multinational, regional and local companies principally based on our nutritional content, product taste and quality, our brand recognition and loyalty, marketing, advertising, price and the ability to satisfy specific consumer dietary needs. An increasing focus on healthy and simpler products in the marketplace will likely increase these competitive pressures within the category in future periods.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competitors in the nutritional snacking industry include companies selling meal replacement bars, shakes and nutritional supplements and through specific dietary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and consumer perceptions of the effectiveness of a low-carb, low-sugar and protein-rich eating approach, both our brands must continue to be viewed favorably, or our business and reputation may be materially and adversely affected. If other nutritional approaches become more popular, or are generally perceived to be more effective, we may not be able to compete effectively. In addition, public opinion on the use of chronic weight management medication is shifting significantly as the popularity of clinical solutions grows and more medications are approved by the FDA. Moreover, the growing acceptance and use of medication to manage weight could negatively affect the demand for many types of food in general and our products. If the use of weight management medication becomes more popular and more widely used and we are unable to communicate effectively to consumers how our products can support achieving or maintaining their weight management goals, of our business could be materially and adversely affected.</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Some of our competitors have resources substantially greater than we have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success depends, largely, on our ability to implement our growth strategies effectively. However, we may fail to accomplish this. We expect to continue focusing on nutritional snacking and intend to add additional brands to our product portfolio. Our ability to expand successfully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brands, enter into distribution and other strategic arrangements with third-party retailers and other potential distributors of our products, and compete with numerous other companies and products.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low carbohydrate eating lifestyle consumers of our products and those consumers using chronic weight management medication to support their weight loss goals may have different preferences and spending habits than the consumers of traditional weight loss products. We may also fail to adequately explain to consumers using chronic weight management medication how our products can support achieving and maintaining weight loss goals. We may fail in reaching and maintaining the loyalty or purchase frequency rate of new consumers to the same extent, or at all, as we have with our historical consumers. We may also not succeed in evolving our advertising and other efforts to appeal to our target consumers.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we cannot identify and capture new audiences and demographics for all our brands, our ability to integrate additional brands successfully will be adversely affected. We may also not succeed in evolving our advertising and other efforts to appeal to our target consumers. Accordingly, we may not be able to successfully implement our growth strategies, expand the number of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continually enhance our brand recognition, maintain or increase distribution of our products, attract new consumers to our brands and introduce new and innovative products, either on a timely basis or at all, our business may suffer.</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enhance our brand recognition amongst consumers, develop and market new and innovative products and extensions and effectively inform consumers of these new products. New product sales represent a growing and important portion of our net sales. To respond to new and evolving consumer demands, achieve market acceptance and keep pace with new nutritional, scientific, technological and other developments, we must constantly introduce new and innovative products into the market, some of which may not be accepted by consumers, may be sent to market prematurely, or may contravene our taste or texture standards. Accordingly, we may fail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growth may be limited if we cannot maintain or secure additional shelf or retail space for our products in brick-and-mortar retailers.</w:t>
      </w:r>
    </w:p>
    <w:p>
      <w:pPr>
        <w:spacing w:after="0" w:line="2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results depend on our ability to drive revenue growth, in part, by expanding the distribution channels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or adequate product visibility on, their platform to enable us to meet our growth objectives.</w:t>
      </w:r>
    </w:p>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Unattractive placement or pricing, including because of our recent price increases,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availability, quantity and quality of private label products in the product categories in which we compete could create more pressure for shelf space and placement for branded products within each such category, which could materially and adversely affect our sales.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we have built our reputation on the efficacy of our nutritional approach, and the high-quality flavor and nutritional content of our food. We must protect and expand on the value of our brands to continue to succeed in the future. Any incident that erodes consumer affinity for our brands or our business operations could significantly reduce our value and damage our business. For example, negative third-party research or media reports on our nutritional approach, use of ingredients or the quality of our food, whether accurate or not, may adversely affect consumer perceptions, which could cause the value of our brands to suffer and adversely affect our business. In addition, if we recall certain products, including licensed products over which we may not have full quality control, the public perception of the quality of our food may be diminished. We may also be adversely affected by news or other negative publicity, regardless of accuracy, regarding other aspects of our business, such as:</w:t>
      </w:r>
    </w:p>
    <w:p>
      <w:pPr>
        <w:spacing w:after="0" w:line="204"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health concerns, illness or safety;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perception of our environmental stewardship and the effects our business has on the environment;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of confidential consumer or employee information;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related claims relating to alleged employment discrimination, health care and benefit issues;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government or industry findings about or the financial stability of our retailers, distributors, manufacturers or others across our supply</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chain.</w:t>
      </w:r>
    </w:p>
    <w:p>
      <w:pPr>
        <w:spacing w:after="0" w:line="23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Negative information, including inaccurate information, about us on social media may harm our reputation and brands, which could have a material and adverse effect on our business, financial condition and results of operations.</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has been a marked increase in using social media platforms and similar channels that provide individuals with access to a broad audience of consumers and other interested persons. The availability of information on social media platforms is virtually immediate, as is its effect. Many social media platforms provide the content their subscribers and participants post, often without filters or checks on accuracy of the content posted. The opportunity for dissemination of information, including inaccurate information, is potentially limitless. Information about our business and/or products may be circulated on such platforms at any time. Negative views regarding our products and the efficacy of our eating approaches have been posted on various social media platforms, may continue to be posted in the future, and are out of our control. Regardless of their accuracy or authenticity, such information and views may be adverse to our interests and may harm our reputation and brands.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appropriately allocate resources to maintain consumer awareness of our brands, build brand loyalty and generate interest in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strategies and channels will evolve, and our programs may or may not be successful.</w:t>
      </w:r>
    </w:p>
    <w:p>
      <w:pPr>
        <w:spacing w:after="0" w:line="23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the market position of our brands or to introduce new products to the market. We along with participants in our industry are increasingly engaging with non-traditional and evolving media channels, including consumer outreach through social media and web-based communications, which may not prove successful. An increase in our marketing and advertising efforts may not maintain our current reputation or lead to increased awareness for our brands. Moreover, we may not maintain current awareness of our brands due to any potential fragmentation of our marketing efforts as we continue to focus primarily on a low-carb, low-sugar and protein-rich nutritional approach for everyday snacking consumers. In addition, as media becomes increasingly fragmented, with consumers viewing media more and more through a variety of different platforms, channels and devices such as mobile devices and online streaming and less from traditional broadcast and cable television outlets, our costs to reach a comparable number of target consumers for our advertising activities has increased.</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consistently evaluate our product lines to determine whether to discontinue certain products. Discontinuing products may increase our profitability but could reduce our sales and cause consumers to shop other brands. The discontinuation of product lines may have an adverse effect on our business, financial condition and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geographic focus makes us particularly vulnerable to economic and other events and trends in North America.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Pandemics, epidemics or disease outbreaks, such as COVID, have in the past and may in the future disrupt our business, including, among other things, consumption and trade patterns, our supply chain and production processes, each of which could materially affect our operations, liquidity, financial condition and results of operations.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actual or perceived effects of a disease outbreak, epidemic, pandemic or similar widespread public health concern, such as COVID-19, could negatively affect our operations, liquidity, financial condition and results of operations. The COVID-19 pandemic</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situation continues to remain dynamic and subject to rapid and possibly material change, including but not limited to changes that may materially affect the operations of our customers and supply chain partners in the future, which ultimately could cause material negative effects on our business and results of operations. For example, the operations of several of our contract manufacturers were affected at the height of the COVID-19 pandemic’s effect on the availability of labor.</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Pandemics, epidemics or disease outbreaks may affect demand for our products because quarantines or other government restrictions on movement may cause erratic consumer purchase behavior. Our business experienced these effects during fiscal year 2022. Future governmental or societal impositions of restrictions on public gatherings, especially if prolonged, may have adverse effects on consumption rates and in-person traffic to retail stores and, in turn, our business. Even the perceived risk of infection or health risk may adversely affect traffic to our store-based retail customers and, in turn, our business, liquidity, financial condition and results of operations, particularly if any mobility restrictions are in place for significant time.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spread of pandemics, epidemics or disease outbreaks such as COVID-19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For example, the operations of several of our contract manufacturers were affected by the COVID-19 pandemic’s effect on the availability of labor. Ports and other channels of entry may be closed or operate at only a portion of capacity, as workers may be prohibited or otherwise unable to report to work and means of transporting products within regions or countries may be limited for the same reason. Because of the COVID-19 pandemic, transport restrictions have been put in place and global supply was and may become again in the future constrained, each of which may cause and have caused price increases or shortages of certain ingredients and raw materials used in our products. In addition we may experience disruptions to our operations. Further, our contract manufacturers’ ability to manufacture our products was, and may again in the future be, impaired by disruption to their employee staffing, procurement, manufacturing, or warehousing capabilities because of COVID-19 or similar outbreaks.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pandemic or similar situations. Retailers may also alter their normal inventory receiving and product restocking practices during pandemics, epidemics or disease outbreaks such as COVID-19, which may negatively affect our business.</w:t>
      </w:r>
    </w:p>
    <w:p>
      <w:pPr>
        <w:spacing w:after="0" w:line="21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Workforce limitations and travel restrictions resulting from pandemics, epidemics or disease outbreaks such as COVID-19 and related government actions may affect many aspects of our business. If a significant percentage of our workforce cannot work or we cannot visit our contract manufacturers’ locations, including because of illness, travel or government restrictions related to pandemics or disease outbreaks, our operations may be negatively affected. In addition, pandemics or disease outbreaks could cause a widespread health crisis that could adversely affect the economies and financial markets of many countries where we offer products, resulting in an economic downturn that could affect customers’ and consumers’ demand for our products.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Adverse and uncertain economic conditions, such as decreases in per capita income and level of disposable income, increased unemployment or a decline in consumer confidence because of pandemic or similar situations, could have an adverse effect on distributor, retailer and consumer demand for our products. Consumers may shift purchases to lower-priced or other perceived value offerings during economic downturns.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the effects on consumer demand and shopping behavior because of the COVID-19 pandemic could continue, including because of new virus variants and the effect these variants have on consumer shopping patterns.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efforts to manage and mitigate these factors may be unsuccessful, and the effectiveness of these efforts depends on factors beyond our control, including the duration and severity of any pandemic, epidemic or disease outbreak, and third-party actions taken to contain its spread and mitigate public health effects.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Operating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affect the profitability of our business.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negotiate the prices for large quantities of core ingredients, such as nuts, protein, fiber and packaging materials. Several ingredients are farmed or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and agricultural programs and environmental regulations affecting the production or manufacturing of ingredients and packaging. Volatility in the prices of the core ingredients and other supplies we purchase increased in fiscal year 2023 and, while these</w:t>
      </w:r>
    </w:p>
    <w:p>
      <w:pPr>
        <w:sectPr>
          <w:pgSz w:w="11900" w:h="16838" w:orient="portrait"/>
          <w:cols w:equalWidth="0" w:num="1">
            <w:col w:w="11240"/>
          </w:cols>
          <w:pgMar w:left="320" w:top="692"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price increases have begun to moderate, these prices may remain elevated during fiscal year 2024. As a result, our cost of goods sold increased in fiscal year 2023, and our profitability was reduced.</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use hedges for availability of any core ingredients. Any material upward movement in core ingredient or packaging pricing could negatively affect our margins if we cannot find efficiencies or pass these costs on to our consumers, or our sales if we are forced to increase our prices.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 For more information on the effects of supply chain cost increases on our results of operations during fiscal year 2023, see “Management’s Discussion and Analysis of Financial Condition and Results of Operations” in this Form 10-K.</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core ingredient contracts have minimum volume commitments that could require purchases without matching revenue during weaker sales periods. Future core ingredient and packaging prices may be affected by new laws or regulations, tariffs, suppliers’ allocations to other purchasers, interruptions in production by suppliers, natural disasters, volatility in the price of crude oil and related petrochemical products and changes in exchange rates.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Shortages or interruptions in the supply or delivery of our core ingredients, packaging, products or equipment we purchase could materially and adversely affect our operating results as we rely on a limited number of third-party suppliers to supply our core ingredients and packaging and a limited number of contract manufacturers to manufacture our products.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core ingredients used in manufacturing our products include nuts, protein and fiber. We rely on a limited number of third-party suppliers to provide these core ingredients, a portion of which are international companies. There may be a limited market supply of any of these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sustainability concerns, evolving applicable environmental regulations, ability to import core ingredients, delays in imported core ingredients being processed through local customs, costs, production, insurance, reputation and weather conditions during growing, harvesting or shipping, including flood, drought, frost and earthquakes, man-made disasters or other catastrophic occurrences, and geopolitical events such as the continuing conflict between Ukraine and Russia.</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overall supply of required core ingredients, suppliers raising their prices, and increases in the cost of packaging and distributing core ingredients. Additionally, we may be adversely affected if suppliers stop selling to us or enter into arrangements that impair their abilities to provide us with core ingredients and packaging.</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rely on a limited number of contract manufacturers to manufacture our products. If any of these manufacturers:</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adverse effects on their businesses, including an inability to fulfill their labor or other human capital needs;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cannot continue manufacturing our products at required levels, on a timely basis, or at all;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choose to cancel or not renew our contract with them to manufacture our products;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 forced to seek other manufacturers.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 In addition, occasionally we determine to select new contract manufacturers to replace existing manufacturers to produce our products. If the transition to a new manufacturer is delayed or we experience product quality or other production issues during the transition to the new manufacturer, our business may be negatively affected until these issues are resolved.</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contract manufacturers also independently contract for and obtain certain ingredients and packaging for our products. If we or our contract manufactures cannot obtain certain ingredients or packaging in the required amounts or at all, their ability to manufacture our products could be adversely affected. It could take a significant period of time to locate and qualify such alternative production sources or alternative ingredients or packaging, which could materially and adversely affect our business.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having our products available for consumer purchase through our retail customers is disrupted because of an inability to obtain ingredients or packaging, labor challenges at our logistics providers or our contract manufacturers, or if our customers experience delays in stocking our products in their locations, we will experience a reduction in sales at retail and our results of operations could be material and adversely affected.</w:t>
      </w:r>
    </w:p>
    <w:p>
      <w:pPr>
        <w:sectPr>
          <w:pgSz w:w="11900" w:h="16838" w:orient="portrait"/>
          <w:cols w:equalWidth="0" w:num="1">
            <w:col w:w="11240"/>
          </w:cols>
          <w:pgMar w:left="320" w:top="692"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2" w:name="page23"/>
    <w:bookmarkEnd w:id="22"/>
    <w:p>
      <w:pPr>
        <w:jc w:val="both"/>
        <w:ind w:firstLine="648"/>
        <w:spacing w:after="0" w:line="289" w:lineRule="auto"/>
        <w:rPr>
          <w:sz w:val="20"/>
          <w:szCs w:val="20"/>
          <w:color w:val="auto"/>
        </w:rPr>
      </w:pPr>
      <w:r>
        <w:rPr>
          <w:rFonts w:ascii="Arial" w:cs="Arial" w:eastAsia="Arial" w:hAnsi="Arial"/>
          <w:sz w:val="16"/>
          <w:szCs w:val="16"/>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long-term.</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in large part on our third-party contract manufacturers to maintain the quality of our products. The failure or inability of contract manufacturers to comply with the specifications and requirements of our products could cause product recalls, which could materially and adversely affect our reputation and subject us to significant liability should the consumption of any of our products cause or be claimed to cause illness or injury. Our products implicate risks such as product contamination, spoilage, product tampering, other adulteration, mislabeling and misbranding. We also license certain products that contain our brands and logos, but which are produced and distributed exclusively by third parties of whom we have limited control. In addition, we do not own our warehouse facilities, but they are managed for us by a third party.</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certain circumstances, we may be required to, or may voluntarily, recall or withdraw products. A widespread recall or withdrawal of any of ours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be subject to claims or lawsuits, including class actions lawsuits (which could significantly increase any adverse settlements or rulings) or judgments, resulting in liability for actual or claimed injuries, illness or death. Any of these events could materially and adversely affect our business, financial condition and results of operations. Whether or not a claim or lawsuit is unsuccessful or is not fully pursued, the negative publicity surrounding any assertion that our products caused illness or injury could adversely affect our reputation with existing and potential consumers and our corporate and brand image. Moreover, claims or liabilities of this sort might not be covered by our insurance or by any rights of indemnity or contribution we may have against others. We maintain product liability insurance in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sales to a limited number of retailers for a substantial portion of our net sales and losing one or more such retailers may materially harm our business. In addition, we maintain “at-will” contracts with these retailers, which do not require recurring or minimum purchase amounts of our products.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substantial majority of our sales are generated from a limited number of retailers. Sales to our largest retailer, Walmart, represented approximately 31% of consolidated sales in fiscal year 2023, of which approximately 24% is through their mass retail channel and approximately 7% is through their Sam’s club and e-commerce channels. Sales to our next largest retailer, Amazon, represented approximately 16% of consolidated sales in fiscal year 2023. Although the composition of our significant retailers may vary from period-to-period, we expect most of our sales will continue to come from a relatively small number of retailers for the foreseeable future. These retailers may take actions that affect us for reasons we cannot anticipate or control, such as their financial condition, changes in their business strategy or operations, including their inability to meet their labor or other human capital needs, the perceived quality of their products and introducing competing products. There can be no assurance that Walmart or Amazon or our other significant customers will continue to purchase our products in the same quantities or on the same terms as in the past, particularly as increasingly powerful retailers continue to demand lower pricing.</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Conversely, occasionally, we may experience unanticipated increases in orders for our products from these retailers that can create supply chain problems and may cause unfilled orders. If we cannot meet increased demand for our products, our reputation with</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these retailers, and ultimately our consumers, may be harmed. Unanticipated fluctuations in product requirements could cause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our U.S. operations, we utilize distribution centers in Greenfield, Indiana. A substantial portion of our inventory is shipped directly to our retailers from these centers by a third-party logistics provider. Most of our other customers pick-up their orders at our distribution centers and arrange for delivery to their fulfillment network. A small percentage of our customers are shipped certain products directly from a co-manufacturing location. We rely significantly on the orderly operation of our distributions centers and logistics providers. If complications arise, a particular facility is damaged or destroyed or if either our third-party logistics partners or our customers who transport their own orders to their fulfillment network cannot meet their labor or other human capital needs for delivery drivers or other warehouse personnel or if trucking regulations affect current trucking norms (such as a shift to electric vehicles), our ability to deliver inventory timely or cost effectively could be significantly impaired, which could materially and adversely affect our business because of lost consumer purchases at retail thereby negatively affecting our operations.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rely on a single-sourced logistics provider for distribution and product shipments in the United States from our distribution centers. Our utilization of delivery services for shipments is subject to risks that may affect the ability to provide delivery services that adequately meet our shipping needs including increases in fuel prices, labor shortages, employee strikes and inclement weather. Occasionally, we may change third-party logistics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Disruptions at our distribution facilities or in our operations due to natural or man-made disasters, pandemics or other disease outbreaks, fire, flooding, terrorism or other catastrophic events, system failure, labor shortages or disagreements or shipping problems may cause delays in the delivery of products to retailers and could materially and adversely affect our results of operations.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Severe weather conditions, natural disasters such as fires, floods, droughts, hurricanes, earthquakes and tornadoes, government regulation related to climate change, and the effects of climate change and geopolitical events can affect crop supplies, and supply chain infrastructure, and negatively affect the operating results of our business.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Severe weather conditions and natural disasters, such as fires, floods, droughts, frosts, hurricanes, earthquakes, tornadoes, insect infestations and plant disease, and geopolitical events may affect the supply of core ingredients and packaging used to make and protect food products or may prevent the manufacturing or distribution of food products by third parties. In addition, a number of these weather conditions could become even more severe over time because of the effects of climate change. Competing manufacturers might be affected differently by weather conditions, natural disasters, and geopolitical events depending on the location of their sources of supplies and manufacturing or distribution facilities. If supplies of core ingredients and packaging available to us are reduced, we may not find enough supplemental supply sources on favorable terms, which could materially and adversely affect our business, financial condition and results of operations. In addition, because we rely on few contract manufacturers for most of our manufacturing needs and because our distribution warehouses are all in a similar geographic location, adverse weather conditions could affect the ability for those third-party operators to manufacture, store or move our products.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intend to grow through mergers and acquisitions or joint ventures, and we may not successfully integrate, operate or realize the anticipated benefits of such business combinations.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strategic initiatives, we intend to pursue mergers and acquisitions or joint ventures.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w:t>
      </w:r>
    </w:p>
    <w:p>
      <w:pPr>
        <w:sectPr>
          <w:pgSz w:w="11900" w:h="16838" w:orient="portrait"/>
          <w:cols w:equalWidth="0" w:num="1">
            <w:col w:w="11240"/>
          </w:cols>
          <w:pgMar w:left="320" w:top="692"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completing any transactions identified on sufficiently favorable terms and the need to obtain regulatory or other governmental approvals that may be necessary to complete acquisitions.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not provide adequate levels of coverage against claims.</w:t>
      </w:r>
    </w:p>
    <w:p>
      <w:pPr>
        <w:spacing w:after="0" w:line="252" w:lineRule="exact"/>
        <w:rPr>
          <w:sz w:val="20"/>
          <w:szCs w:val="20"/>
          <w:color w:val="auto"/>
        </w:rPr>
      </w:pPr>
    </w:p>
    <w:p>
      <w:pPr>
        <w:jc w:val="both"/>
        <w:ind w:firstLine="228"/>
        <w:spacing w:after="0" w:line="263" w:lineRule="auto"/>
        <w:rPr>
          <w:sz w:val="20"/>
          <w:szCs w:val="20"/>
          <w:color w:val="auto"/>
        </w:rPr>
      </w:pPr>
      <w:r>
        <w:rPr>
          <w:rFonts w:ascii="Arial" w:cs="Arial" w:eastAsia="Arial" w:hAnsi="Arial"/>
          <w:sz w:val="18"/>
          <w:szCs w:val="18"/>
          <w:color w:val="auto"/>
        </w:rPr>
        <w:t>We believe that we maintain insurance policies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future success depends to a significant degree on the skills, experience and efforts of our key executives and the strength of our talent positions throughout the organization. The sudden loss of key personnel or our failure to appropriately plan for any expected key executive succession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 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all our intellectual property licenses will remain in effect indefinitely. Termination or breaches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heavily on information systems for management of our supply chain, inventory, payment of obligations, collection of cash, human capital management, financial tools and other business processes and procedures. Our ability to efficiently and effectively manage our business functions depends significantly on the reliability and capacity of these systems. Our operations depend upon our ability to protect our computer equipment and systems against damage from physical theft, fire, power loss and outages, telecommunications failure or other catastrophic events and from internal and external security breaches, viruses and other disruptive problems. The failure of these systems to operate effectively, whether from maintenance problems, upgrading or transitioning to new</w:t>
      </w:r>
    </w:p>
    <w:p>
      <w:pPr>
        <w:sectPr>
          <w:pgSz w:w="11900" w:h="16838" w:orient="portrait"/>
          <w:cols w:equalWidth="0" w:num="1">
            <w:col w:w="11240"/>
          </w:cols>
          <w:pgMar w:left="320" w:top="692"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platforms, or a breach in security of these systems, could result in interruptions or delays in our operations, reduce efficiency or negatively affect our operations. If our information technology systems fail and our redundant systems or disaster recovery plans are not adequate to address such failures, or if our business interruption or cyber-security insurance does not sufficiently compensate us for any losses we may incur, our revenue and profits could be reduced, and the reputation of our brand and our business could be materially adversely affected. In addition, remediation of any problems with our systems could result in significant, unplanned expenses.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instituted controls, including information system governance controls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increasingly rely on cloud computing and other technologies that result in third parties holding significant amounts of customer, consumer or employee information on our behalf. There has been an increase over the past several years in the frequency and sophistication of attempts to compromise the security of these systems. If the security and information systems we or our outsourced third-party providers use to store or process such information are compromised or if we, or such third parties, otherwise fail to comply with applicable laws and regulations, we could face litigation and the imposition of penalties that could adversely affect our financial performance. Our reputation as a brand or as an employer could also be adversely affected by these types of security breaches or regulatory violations, which could impair our ability to attract and retain qualified employees.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Except for limited information voluntarily submitted by users of our website, we typically do not collect or store consumer data or personal information, although we do share information to third-party providers to provide consumer advertising.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or our third-party providers fail to maintain or protect our respective information technology systems and data integrity effectively, fail to implement new systems, update or expand existing systems, fail to provide necessary privacy law disclosures or fail to anticipate, plan for or manage significant disruptions to or compromises of systems involved in our operations, we could:</w:t>
      </w:r>
    </w:p>
    <w:p>
      <w:pPr>
        <w:spacing w:after="0" w:line="2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lose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difficulty preventing, detecting, and controlling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disputes with customers, suppliers, distributors or others;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regulatory sanctions, including sanctions stemming from violations of the Health Insurance Portability and Accountability Act of 1996 or other federal or state privacy laws;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suffer reputational harm,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incur unexpected costs to remediate any unauthorized access of our systems and implement protective measures against future attacks.</w:t>
      </w:r>
    </w:p>
    <w:p>
      <w:pPr>
        <w:spacing w:after="0" w:line="249" w:lineRule="exact"/>
        <w:rPr>
          <w:sz w:val="20"/>
          <w:szCs w:val="20"/>
          <w:color w:val="auto"/>
        </w:rPr>
      </w:pPr>
    </w:p>
    <w:p>
      <w:pPr>
        <w:jc w:val="both"/>
        <w:ind w:firstLine="256"/>
        <w:spacing w:after="0" w:line="263" w:lineRule="auto"/>
        <w:rPr>
          <w:sz w:val="20"/>
          <w:szCs w:val="20"/>
          <w:color w:val="auto"/>
        </w:rPr>
      </w:pPr>
      <w:r>
        <w:rPr>
          <w:rFonts w:ascii="Arial" w:cs="Arial" w:eastAsia="Arial" w:hAnsi="Arial"/>
          <w:sz w:val="18"/>
          <w:szCs w:val="18"/>
          <w:color w:val="auto"/>
        </w:rPr>
        <w:t>Because of these possible outcomes we could incur increases in operating expenses and our results of operations could be materially and adversely affected. While we maintain insurance against losses related to unauthorized access to our systems, there can be no assurance our level of coverage will be sufficient to address the losses we sustain.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Risks and Litigation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All of our products must comply with federal, state and local regulations. Any non-compliance with the FDA or other applicable regulations could harm our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648"/>
        <w:spacing w:after="0" w:line="289" w:lineRule="auto"/>
        <w:rPr>
          <w:sz w:val="20"/>
          <w:szCs w:val="20"/>
          <w:color w:val="auto"/>
        </w:rPr>
      </w:pPr>
      <w:r>
        <w:rPr>
          <w:rFonts w:ascii="Arial" w:cs="Arial" w:eastAsia="Arial" w:hAnsi="Arial"/>
          <w:sz w:val="16"/>
          <w:szCs w:val="16"/>
          <w:color w:val="auto"/>
        </w:rPr>
        <w:t>Our products must comply with various rules and regulations, including those regarding product manufacturing, food safety, required testing and appropriate labeling of our products. The FDA has not defined nutrient content claims regarding low-carbohydrates, but it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use the term “net carbohydrate” (or “net carbs”) on our existing product packaging. We determine the number of net carbs in a serving by subtracting fiber, and sugar alcohols if any, from the total carbohydrates listed on the NFP. It is possible that FDA regulations and/or their interpretations may materially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ability to sell our products to our customers and our results of operations.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of which we are unaware. Any non-compliance at the state or local level could materially and adversely affect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advertising is regulated for accuracy, and if our advertising is determined to be false or misleading, we may face fines or sanctions.</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 monitors national advertising and entertains inquiries and challenges from competing companies and consumers. Should our advertising be determined to be false or misleading, we may have to pay damages, revise or withdraw our campaign and possibly face fines or sanctions, which could have a material adverse effect on our sales and operating results.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core ingredients and packaging, may be made, manufactured or sold. These laws, regulations and interpretations thereof may change, sometimes dramatically, because of a variety of factors, including political, economic or social events. Such factors may include changes in:</w:t>
      </w:r>
    </w:p>
    <w:p>
      <w:pPr>
        <w:spacing w:after="0" w:line="1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food and drug laws (including FDA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related to product labeling, advertising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programs restricting the sale and advertising of certain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programs aimed at reducing, restricting or eliminating ingredients present in certain of our products;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programs aimed at reducing, restricting or eliminating ingredients or packaging present in certain of our products to meet government objectives to combat climate change or certain labor practices;</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programs aimed at discouraging the consumption of products or ingredients or altering the package or portion size of certain of our products;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consumer protection and disclosure laws;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taxation requirements, including the imposition or proposed imposition of new or increased taxes or other limitations on the sale of our products; competition laws;</w:t>
      </w: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anti-corruption laws, including the U.S. Foreign Corrupt Practices Act of 1977, as amended (the “FCPA”), and the UK Bribery Act of 2010 (the “Bribery Act”);</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sanctions and anti-boycott laws, including laws administered by the U.S. Department of Treasury, Office of Foreign Assets Control (“OFAC”) and the European Union (“EU”);</w:t>
      </w:r>
    </w:p>
    <w:p>
      <w:pPr>
        <w:sectPr>
          <w:pgSz w:w="11900" w:h="16838" w:orient="portrait"/>
          <w:cols w:equalWidth="0" w:num="1">
            <w:col w:w="11240"/>
          </w:cols>
          <w:pgMar w:left="320" w:top="692"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7" w:name="page28"/>
    <w:bookmarkEnd w:id="27"/>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relating to export, re-export, transfer, tariffs and import controls, including the Export Administration Regulations, the EU Dual Use Regulation and the customs and import laws administered by the U.S. Customs and Border Protection and other local governments where are contract manufacturers are located;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privacy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regulating the price we may charge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requirements from any required disclosures related to climate change;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farming, transportation and environmental laws.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effect on our reputation.</w:t>
      </w:r>
    </w:p>
    <w:p>
      <w:pPr>
        <w:spacing w:after="0" w:line="252" w:lineRule="exact"/>
        <w:rPr>
          <w:sz w:val="20"/>
          <w:szCs w:val="20"/>
          <w:color w:val="auto"/>
        </w:rPr>
      </w:pPr>
    </w:p>
    <w:p>
      <w:pPr>
        <w:jc w:val="both"/>
        <w:ind w:firstLine="304"/>
        <w:spacing w:after="0" w:line="259" w:lineRule="auto"/>
        <w:rPr>
          <w:sz w:val="20"/>
          <w:szCs w:val="20"/>
          <w:color w:val="auto"/>
        </w:rPr>
      </w:pPr>
      <w:r>
        <w:rPr>
          <w:rFonts w:ascii="Arial" w:cs="Arial" w:eastAsia="Arial" w:hAnsi="Arial"/>
          <w:sz w:val="18"/>
          <w:szCs w:val="18"/>
          <w:color w:val="auto"/>
        </w:rPr>
        <w:t>Occasionally, we may defend against various claims and litigation. We evaluate these claims and litigation, assess the likelihood of unfavorable outcomes, and estimate, if possible, potential losses when appropriate. We may establish reserves, as appropriate based on the information available to management at the time. These assessments and estimates involve a significant amount of management judgment and may differ materially from actual outcomes.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Capital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could materially and adversely affect our financial condition and ability to operate our company, and we may incur additional debt.</w:t>
      </w:r>
    </w:p>
    <w:p>
      <w:pPr>
        <w:spacing w:after="0" w:line="287" w:lineRule="exact"/>
        <w:rPr>
          <w:sz w:val="20"/>
          <w:szCs w:val="20"/>
          <w:color w:val="auto"/>
        </w:rPr>
      </w:pPr>
    </w:p>
    <w:p>
      <w:pPr>
        <w:jc w:val="both"/>
        <w:ind w:firstLine="204"/>
        <w:spacing w:after="0" w:line="257" w:lineRule="auto"/>
        <w:rPr>
          <w:sz w:val="20"/>
          <w:szCs w:val="20"/>
          <w:color w:val="auto"/>
        </w:rPr>
      </w:pPr>
      <w:r>
        <w:rPr>
          <w:rFonts w:ascii="Arial" w:cs="Arial" w:eastAsia="Arial" w:hAnsi="Arial"/>
          <w:sz w:val="18"/>
          <w:szCs w:val="18"/>
          <w:color w:val="auto"/>
        </w:rPr>
        <w:t>As of August 26, 2023, we had approximately $285 million in outstanding term loan indebtedness and a revolving credit facility with availability of up to $75 million with no amounts drawn on that revolving credit facility.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215" w:lineRule="exact"/>
        <w:rPr>
          <w:sz w:val="20"/>
          <w:szCs w:val="20"/>
          <w:color w:val="auto"/>
        </w:rPr>
      </w:pPr>
    </w:p>
    <w:p>
      <w:pPr>
        <w:jc w:val="both"/>
        <w:ind w:firstLine="193"/>
        <w:spacing w:after="0" w:line="286" w:lineRule="auto"/>
        <w:rPr>
          <w:sz w:val="20"/>
          <w:szCs w:val="20"/>
          <w:color w:val="auto"/>
        </w:rPr>
      </w:pPr>
      <w:r>
        <w:rPr>
          <w:rFonts w:ascii="Arial" w:cs="Arial" w:eastAsia="Arial" w:hAnsi="Arial"/>
          <w:sz w:val="17"/>
          <w:szCs w:val="17"/>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facilities governing our debt arrangements contain financial and other covenants.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facilities governing our existing debt arrangements contain certain financial and other covenants. Our revolving credit facility has a maximum total net leverage ratio equal to or less than 6.00:1.00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may adversely affect our earnings and cash flows.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indebtedness under our revolving credit facility bears interest at variable interest rates that use the Secured Overnight Financing Rate (“SOFR”) as a benchmark rate. SOFR is calculated based on short-term repurchase agreements, backed by Treasury securities. SOFR is observed and backward looking, which stands in contrast with the London Inter-Bank Offered Rate (“LIBOR”) under</w:t>
      </w:r>
    </w:p>
    <w:p>
      <w:pPr>
        <w:sectPr>
          <w:pgSz w:w="11900" w:h="16838" w:orient="portrait"/>
          <w:cols w:equalWidth="0" w:num="1">
            <w:col w:w="11240"/>
          </w:cols>
          <w:pgMar w:left="320" w:top="692"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8" w:name="page29"/>
    <w:bookmarkEnd w:id="28"/>
    <w:p>
      <w:pPr>
        <w:jc w:val="both"/>
        <w:spacing w:after="0" w:line="296" w:lineRule="auto"/>
        <w:rPr>
          <w:sz w:val="20"/>
          <w:szCs w:val="20"/>
          <w:color w:val="auto"/>
        </w:rPr>
      </w:pPr>
      <w:r>
        <w:rPr>
          <w:rFonts w:ascii="Arial" w:cs="Arial" w:eastAsia="Arial" w:hAnsi="Arial"/>
          <w:sz w:val="16"/>
          <w:szCs w:val="16"/>
          <w:color w:val="auto"/>
        </w:rPr>
        <w:t>the previous methodology, which is an estimated forward-looking rate and relies, to some degree, on the expert judgment of submitting panel members. Given that SOFR is a secured rate backed by government securities, it is a rate that does not take into account bank credit risk, as was the case with LIBOR. SOFR is therefore likely to be lower than LIBOR and is less likely to correlate with the funding costs of financial institutions. Because of these and other differences, there is no assurance that SOFR will perform in the same way as LIBOR would have performed at any time, and there is no guarantee that it is a comparable substitute for LIBOR. Whether or not SOFR attains market traction as a LIBOR replacement tool remains in question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this time, it is not possible to predict the effect of any establishment of alternative reference rates or any other reforms that may be enacted in the United Kingdom or elsewhere. Uncertainty as to the nature of such potential changes, alternative reference rates, including SOFR, or other reforms may adversely affect the trading market for LIBOR- or SOFR-based securities, including ours. As a result, our interest expense may increase, our ability to refinance some or all of our existing indebtedness may be affected, and our available cash flow may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and it may not be available on acceptable terms or at all.</w:t>
      </w:r>
    </w:p>
    <w:p>
      <w:pPr>
        <w:spacing w:after="0" w:line="252" w:lineRule="exact"/>
        <w:rPr>
          <w:sz w:val="20"/>
          <w:szCs w:val="20"/>
          <w:color w:val="auto"/>
        </w:rPr>
      </w:pPr>
    </w:p>
    <w:p>
      <w:pPr>
        <w:jc w:val="both"/>
        <w:ind w:firstLine="213"/>
        <w:spacing w:after="0" w:line="275" w:lineRule="auto"/>
        <w:rPr>
          <w:sz w:val="20"/>
          <w:szCs w:val="20"/>
          <w:color w:val="auto"/>
        </w:rPr>
      </w:pPr>
      <w:r>
        <w:rPr>
          <w:rFonts w:ascii="Arial" w:cs="Arial" w:eastAsia="Arial" w:hAnsi="Arial"/>
          <w:sz w:val="17"/>
          <w:szCs w:val="17"/>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because of operating as a public company, and our management has been and will continue to be required to devote substantial time to compliance efforts.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incurred and expect to continue to incur significant legal, accounting, insurance and other expenses because of being a public company. The Dodd-Frank Wall Street Reform and Customer Protection Act (the “Dodd-Frank Act”) and the Sarbanes-Oxley Act of 2002 (the “Sarbanes-Oxley Act”), and related rules implemented by the SEC and listing exchange rules and requirements,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 accounting costs, and make some activities more time-consuming and costly. We may be unable to hire, train or retain necessary staff and may be reliant on engaging outside consultants or professionals, which could adversely affect our business if our internal infrastructure is inadequate to fulfill our public company obligations. These laws, regulations and rules, including new compensation clawback rules,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more investors and other market professionals are expecting more detailed environmental, social and governance or ESG reporting from public companies of our size that are currently produced by public companies with human and financial resources that are greater than ours. Furthermore, the SEC has proposed rule changes that would require registrants to include certain climate-related disclosures, including greenhouse gas emission data with third-party attestation and climate-related financial statement metrics in a note to their audited financial statements. These SEC proposals related to the enhancement and standardization of climate-related disclosures may require us to change our accounting policies, to alter our operational policies and to implement new or enhance existing systems so that they reflect new or amended financial reporting standards, or to restate our published financial statements. Such changes may have an adverse effect on our business, financial position and operating results, or cause an adverse deviation from our revenue and operating profit targets, which may negatively affect our financial results.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we expect to incur additional expenses to meet these reporting expectations as well as any climate related reporting mandated in the future by government regulations.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implement appropriate systems, procedures and controls, we may not be able to successfully procure, offer or ship our products, grow our business and account for transactions in an appropriate and timely manner.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have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respond to current and future changes in our business. Failure to implement promptly appropriate internal systems, procedures and controls could materially and adversely affect our business, financial condition and results of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maintain effective internal control over financial reporting, we may not be able to accurately report our financial results in a timely manner or prevent fraud, which may adversely affect investor confidence in our financial reporting and adversely affect our business and operating results and the market price for our common stock.</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In May 2021 we identified a material weakness in our internal control over financial reporting. In the future, we may discover areas of our internal control over financial reporting that need improvement.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Effective internal controls are necessary for us to provide reliable financial reports and prevent fraud. Remediation measures may from time to time be time consuming and costly and there is no assurance that the remedial measures we have taken to date, or any remedial measures we may take in the future, will be sufficient to avoid potential future material weaknesses. A material weakness will not be considered remediated until a sustained period of time has passed to allow management to test the design and operational effectiveness of the corrective actions.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identify material weaknesses in the future, which could limit our ability to prevent or detect a material misstatement of our annual or interim financial statements. The occurrence of, or failure to remediate, any material weakness we have identified or any other material weakness could result in our failure to maintain compliance with legal requirements, including Section 404 of the Sarbanes-Oxley Act and rules regarding timely filing of periodic reports, in addition to applicable stock exchange listing requirements, could cause investors to lose confidence in our financial reporting and could have an adverse effect on our the market price of our common stock.</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historical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52" w:lineRule="exact"/>
        <w:rPr>
          <w:sz w:val="20"/>
          <w:szCs w:val="20"/>
          <w:color w:val="auto"/>
        </w:rPr>
      </w:pPr>
    </w:p>
    <w:p>
      <w:pPr>
        <w:jc w:val="both"/>
        <w:ind w:firstLine="184"/>
        <w:spacing w:after="0" w:line="263"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There may be future sales or other dilution of the Company’s equity, which may adversely affect the market price of our common stock.</w:t>
      </w: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not generally restricted from issuing additional shares of common stock, or any securities convertible into or exchangeable for, or that represent the right to receive, shares of common stock. Issuing any additional shares of common stock or preferred shares or securities convertible into, exchangeable for or that represent the right to receive shares of common stock or the exercise of such securities could be substantially dilutive to holders of our common stock.</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could decline because of sales of our common stock made in the future or the perception that such sales could occur. Because our decision to issue securities in any future offering will depend on market conditions and other factors beyond our control, we cannot predict or estimate the amount, timing or nature of future offerings, if any. Thus, our stockholders bear the risk of future offerings reducing the market price of our common stock and diluting their holdings in the Company.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second amended and restated bylaws, and provisions of Delaware law, could impair a takeover attempt.</w:t>
      </w:r>
    </w:p>
    <w:p>
      <w:pPr>
        <w:spacing w:after="0" w:line="197" w:lineRule="exact"/>
        <w:rPr>
          <w:sz w:val="20"/>
          <w:szCs w:val="20"/>
          <w:color w:val="auto"/>
        </w:rPr>
      </w:pPr>
    </w:p>
    <w:p>
      <w:pPr>
        <w:jc w:val="both"/>
        <w:ind w:firstLine="268"/>
        <w:spacing w:after="0" w:line="301" w:lineRule="auto"/>
        <w:rPr>
          <w:sz w:val="20"/>
          <w:szCs w:val="20"/>
          <w:color w:val="auto"/>
        </w:rPr>
      </w:pPr>
      <w:r>
        <w:rPr>
          <w:rFonts w:ascii="Arial" w:cs="Arial" w:eastAsia="Arial" w:hAnsi="Arial"/>
          <w:sz w:val="16"/>
          <w:szCs w:val="16"/>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directors may be removed prior to the expiration of their terms by stockholders only for cause and upon the affirmative vote of a majority of the voting power of all outstanding shares of the combined company; and,</w:t>
      </w:r>
    </w:p>
    <w:p>
      <w:pPr>
        <w:jc w:val="both"/>
        <w:ind w:left="660" w:hanging="328"/>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the worldwide economy may materially and adversely affect our business, financial condition and results of operations.</w:t>
      </w:r>
    </w:p>
    <w:p>
      <w:pPr>
        <w:spacing w:after="0" w:line="264"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6"/>
          <w:szCs w:val="16"/>
          <w:color w:val="auto"/>
        </w:rPr>
        <w:t>Adverse and uncertain economic conditions, such as those caused by the inflationary environment first experienced in fiscal year 2022 and which continued in fiscal year 2023, geopolitical events and COVID-19, have, in the past affected, and, in the future,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and periods of high inflation, making it more difficult to sell our premium products. Due to the relative costs of our products, during economic downturns and periods of high inflation, it may be more difficult to convince consumers to switch to or continue to use our brands or convince new users to choose our brands without expensive sampling programs and price promotions.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 provide products that appeal to</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consumers at prices they are willing and able to pay. Prolonged unfavorable economic conditions may have an adverse effect on our sales and profitability.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expose us to regulatory, economic, political and social risks in the countries in which we operate.</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nutritional approaches and perceptions of our brands and business operations than U.S. consumers. Our international business is small compared to our U.S. business, and as a result, our operations are more spread out which 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export controls and economic sanctions programs, including those administered by the OFAC.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continued expansion outside the United States, including in developing countries, and our development of new partnerships and joint venture relationships worldwide, could increase the risk of FCPA, OFAC or other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our business could be negatively affected by changes in the U.S. and Canadian political environments, in particular. We operate primarily in the U.S. and Canada and we ship a large number of products between the U.S. and Canada. Adverse changes to trade agreements, import or export regulations, customs duties or tariffs by either or both governments may have a negative effect on our business, financial conditions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expose us to fluctuations in exchange rates, which may materially and adversely affect our operating results.</w:t>
      </w:r>
    </w:p>
    <w:p>
      <w:pPr>
        <w:spacing w:after="0" w:line="264" w:lineRule="exact"/>
        <w:rPr>
          <w:sz w:val="20"/>
          <w:szCs w:val="20"/>
          <w:color w:val="auto"/>
        </w:rPr>
      </w:pPr>
    </w:p>
    <w:p>
      <w:pPr>
        <w:jc w:val="both"/>
        <w:ind w:firstLine="253"/>
        <w:spacing w:after="0" w:line="259" w:lineRule="auto"/>
        <w:rPr>
          <w:sz w:val="20"/>
          <w:szCs w:val="20"/>
          <w:color w:val="auto"/>
        </w:rPr>
      </w:pPr>
      <w:r>
        <w:rPr>
          <w:rFonts w:ascii="Arial" w:cs="Arial" w:eastAsia="Arial" w:hAnsi="Arial"/>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substantial portion of our third-party manufacturing is completed in Canada. Any U.S. dollar weakness may therefore materially and adversely affect revenue and cash flows while also increasing supply and manufacturing costs.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Centerview Capital Holdings LLC (“Centerview Capital”) and Centerview Partners and their respective affiliates, excepted as provided below.</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Centerview Capital, Centerview Partners, our original sponsor,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know of, or be able to pursue, transactions that could potentially be beneficial to us. Accordingly, we may lose a corporate opportunity or suffer competitive harm, which could negatively affect our business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1" w:lineRule="exact"/>
        <w:rPr>
          <w:sz w:val="20"/>
          <w:szCs w:val="20"/>
          <w:color w:val="auto"/>
        </w:rPr>
      </w:pPr>
    </w:p>
    <w:p>
      <w:pPr>
        <w:jc w:val="both"/>
        <w:ind w:firstLine="204"/>
        <w:spacing w:after="0" w:line="239" w:lineRule="auto"/>
        <w:rPr>
          <w:sz w:val="20"/>
          <w:szCs w:val="20"/>
          <w:color w:val="auto"/>
        </w:rPr>
      </w:pPr>
      <w:r>
        <w:rPr>
          <w:rFonts w:ascii="Arial" w:cs="Arial" w:eastAsia="Arial" w:hAnsi="Arial"/>
          <w:sz w:val="18"/>
          <w:szCs w:val="18"/>
          <w:color w:val="auto"/>
        </w:rPr>
        <w:t>Our corporate headquarters is located at 1225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Suite 1000, Denver, CO 80202. We lease this property, which occupies approximately 27,600 square feet. In addition, we lease or otherwise have rights to use office space and storage space in El Segundo, California, Broomfield, Colorado, Bentonville metro-area, Arkansas, and Naples, Florida. We also lease two distribution centers in Greenfield, Indiana. We utilize over 1.29 million square feet of floor space among our distribution centers.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269"/>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common stock is currently quoted on the Nasdaq Capital Market under the symbol “SMPL.”</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October 18, 2023, there were 99,603,880 shares outstanding and 13 record holders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196"/>
        <w:spacing w:after="0" w:line="257" w:lineRule="auto"/>
        <w:rPr>
          <w:sz w:val="20"/>
          <w:szCs w:val="20"/>
          <w:color w:val="auto"/>
        </w:rPr>
      </w:pPr>
      <w:r>
        <w:rPr>
          <w:rFonts w:ascii="Arial" w:cs="Arial" w:eastAsia="Arial" w:hAnsi="Arial"/>
          <w:sz w:val="18"/>
          <w:szCs w:val="18"/>
          <w:color w:val="auto"/>
        </w:rPr>
        <w:t>We currently do not pay dividends and have not paid any cash dividends on our common stock to date. We currently intend to retain our future earnings to finance the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adopted a $50.0 million stock repurchase program on November 13, 2018. On April 13, 2022 and October 21, 2022, we announced that our Board of Directors had approved the addition of $50.0 million and $50.0 million, respectively, to our stock repurchase program, resulting in authorized stock repurchases of up to an aggregate of $150.0 million. We did not repurchase any shares of our common stock under our stock repurchase program during the quarter ended August 26, 2023. As of August 26, 2023, approximately $71.5 million remained available under the stock repurchase program. Under the stock repurchase program, we may repurchase shares from time to time in the open market or in privately negotiated transactions. The stock repurchase program does not obligate us to acquire any specific number of shares or acquire shares over any specific period of time. We may suspend or discontinue the stock repurchase program at any time, and the stock repurchase program does not have an expiration date.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ind w:firstLine="219"/>
        <w:spacing w:after="0" w:line="286" w:lineRule="auto"/>
        <w:rPr>
          <w:sz w:val="20"/>
          <w:szCs w:val="20"/>
          <w:color w:val="auto"/>
        </w:rPr>
      </w:pPr>
      <w:r>
        <w:rPr>
          <w:rFonts w:ascii="Arial" w:cs="Arial" w:eastAsia="Arial" w:hAnsi="Arial"/>
          <w:sz w:val="17"/>
          <w:szCs w:val="17"/>
          <w:color w:val="auto"/>
        </w:rPr>
        <w:t>The following stock performance graph compares the cumulative total stockholder return over the last five fiscal years for (i) the Company’s common stock, (ii) the Standard &amp; Poor’s 500 Index, and (iii) the Standard &amp; Poor’s 500 Packaged Foods &amp; Meats Index. The graph assumes the value of the investment in our common stock and each index was $100.00 on August 25, 2018 and assumes reinvestment of any dividends.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377940" cy="3566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79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60" w:type="dxa"/>
        <w:tblCellMar>
          <w:top w:w="0" w:type="dxa"/>
          <w:left w:w="0" w:type="dxa"/>
          <w:bottom w:w="0" w:type="dxa"/>
          <w:right w:w="0" w:type="dxa"/>
        </w:tblCellMar>
      </w:tblPr>
      <w:tr>
        <w:trPr>
          <w:trHeight w:val="182"/>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color w:val="auto"/>
              </w:rPr>
              <w:t>Annual Return Percentage</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Fiscal Years Ending</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360" w:type="dxa"/>
            <w:vAlign w:val="bottom"/>
            <w:gridSpan w:val="3"/>
            <w:vMerge w:val="restart"/>
          </w:tcPr>
          <w:p>
            <w:pPr>
              <w:ind w:left="20"/>
              <w:spacing w:after="0"/>
              <w:rPr>
                <w:sz w:val="20"/>
                <w:szCs w:val="20"/>
                <w:color w:val="auto"/>
              </w:rPr>
            </w:pPr>
            <w:r>
              <w:rPr>
                <w:rFonts w:ascii="Arial" w:cs="Arial" w:eastAsia="Arial" w:hAnsi="Arial"/>
                <w:sz w:val="14"/>
                <w:szCs w:val="14"/>
                <w:color w:val="auto"/>
              </w:rPr>
              <w:t>Company Name / Index</w:t>
            </w: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August 25, 2018</w:t>
            </w: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August 31, 2019</w:t>
            </w: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August 29, 2020</w:t>
            </w: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August 28, 2021</w:t>
            </w: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August 27, 2022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w w:val="98"/>
              </w:rPr>
              <w:t>August 26, 2023</w:t>
            </w:r>
          </w:p>
        </w:tc>
        <w:tc>
          <w:tcPr>
            <w:tcW w:w="0" w:type="dxa"/>
            <w:vAlign w:val="bottom"/>
          </w:tcPr>
          <w:p>
            <w:pPr>
              <w:spacing w:after="0"/>
              <w:rPr>
                <w:sz w:val="1"/>
                <w:szCs w:val="1"/>
                <w:color w:val="auto"/>
              </w:rPr>
            </w:pPr>
          </w:p>
        </w:tc>
      </w:tr>
      <w:tr>
        <w:trPr>
          <w:trHeight w:val="81"/>
        </w:trPr>
        <w:tc>
          <w:tcPr>
            <w:tcW w:w="236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The Simply Good Foods Company</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164.79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141.21</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196.61</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175.25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191.66</w:t>
            </w:r>
          </w:p>
        </w:tc>
        <w:tc>
          <w:tcPr>
            <w:tcW w:w="0" w:type="dxa"/>
            <w:vAlign w:val="bottom"/>
          </w:tcPr>
          <w:p>
            <w:pPr>
              <w:spacing w:after="0"/>
              <w:rPr>
                <w:sz w:val="1"/>
                <w:szCs w:val="1"/>
                <w:color w:val="auto"/>
              </w:rPr>
            </w:pPr>
          </w:p>
        </w:tc>
      </w:tr>
      <w:tr>
        <w:trPr>
          <w:trHeight w:val="245"/>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S&amp;P 500 Index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101.80</w:t>
            </w:r>
          </w:p>
        </w:tc>
        <w:tc>
          <w:tcPr>
            <w:tcW w:w="14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122.03</w:t>
            </w:r>
          </w:p>
        </w:tc>
        <w:tc>
          <w:tcPr>
            <w:tcW w:w="140" w:type="dxa"/>
            <w:vAlign w:val="bottom"/>
          </w:tcPr>
          <w:p>
            <w:pPr>
              <w:spacing w:after="0"/>
              <w:rPr>
                <w:sz w:val="21"/>
                <w:szCs w:val="21"/>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156.86</w:t>
            </w:r>
          </w:p>
        </w:tc>
        <w:tc>
          <w:tcPr>
            <w:tcW w:w="14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141.15</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153.26</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3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rPr>
              <w:t>S&amp;P 500 Packaged Foods &amp; Meats</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107.49</w:t>
            </w:r>
          </w:p>
        </w:tc>
        <w:tc>
          <w:tcPr>
            <w:tcW w:w="14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116.37</w:t>
            </w: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7"/>
              </w:rPr>
              <w:t>116.07</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129.17</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123.53</w:t>
            </w:r>
          </w:p>
        </w:tc>
        <w:tc>
          <w:tcPr>
            <w:tcW w:w="0" w:type="dxa"/>
            <w:vAlign w:val="bottom"/>
          </w:tcPr>
          <w:p>
            <w:pPr>
              <w:spacing w:after="0"/>
              <w:rPr>
                <w:sz w:val="1"/>
                <w:szCs w:val="1"/>
                <w:color w:val="auto"/>
              </w:rPr>
            </w:pPr>
          </w:p>
        </w:tc>
      </w:tr>
      <w:tr>
        <w:trPr>
          <w:trHeight w:val="194"/>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Index</w:t>
            </w:r>
          </w:p>
        </w:tc>
        <w:tc>
          <w:tcPr>
            <w:tcW w:w="3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204" w:lineRule="exact"/>
        <w:rPr>
          <w:sz w:val="20"/>
          <w:szCs w:val="20"/>
          <w:color w:val="auto"/>
        </w:rPr>
      </w:pPr>
    </w:p>
    <w:p>
      <w:pPr>
        <w:jc w:val="both"/>
        <w:ind w:firstLine="193"/>
        <w:spacing w:after="0" w:line="301" w:lineRule="auto"/>
        <w:rPr>
          <w:sz w:val="20"/>
          <w:szCs w:val="20"/>
          <w:color w:val="auto"/>
        </w:rPr>
      </w:pPr>
      <w:r>
        <w:rPr>
          <w:rFonts w:ascii="Arial" w:cs="Arial" w:eastAsia="Arial" w:hAnsi="Arial"/>
          <w:sz w:val="16"/>
          <w:szCs w:val="16"/>
          <w:i w:val="1"/>
          <w:iCs w:val="1"/>
          <w:color w:val="auto"/>
        </w:rPr>
        <w:t>Our fiscal year ends the last Saturday in August. Our fiscal years 2023, 2022, and 2021 ended August 26, 2023, August 27, 2022, and August 28, 2021, respectively, and were each fifty-two week periods. Our fiscal quarters are comprised of thirteen weeks each, except for fifty-three week fiscal periods for the which the fourth quarter is comprised of fourteen weeks, and end on the thirteenth Saturday of each quarter (fourteenth Saturday of the fourth quarter, when applicable). Our fiscal quarters for fiscal 2023 ended on November 26, 2022, February 25, 2023, May 27, 2023 and August 26, 2023.</w:t>
      </w:r>
    </w:p>
    <w:p>
      <w:pPr>
        <w:spacing w:after="0" w:line="184"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90"/>
        <w:spacing w:after="0" w:line="275" w:lineRule="auto"/>
        <w:rPr>
          <w:sz w:val="20"/>
          <w:szCs w:val="20"/>
          <w:color w:val="auto"/>
        </w:rPr>
      </w:pPr>
      <w:r>
        <w:rPr>
          <w:rFonts w:ascii="Arial" w:cs="Arial" w:eastAsia="Arial" w:hAnsi="Arial"/>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as well as other product offerings. The product portfolio we develop, market and sell consists primarily of protein bars, ready-to-drink (“RTD”) shakes, sweet and salty snacks and confectionery products marketed under the Atkins® and Quest® brand names. We believe Simply Good Foods is poised to expand its wellness platform through innovation and organic growth along with acquisition opportunities in the nutritional snacking space.</w:t>
      </w:r>
    </w:p>
    <w:p>
      <w:pPr>
        <w:spacing w:after="0" w:line="203" w:lineRule="exact"/>
        <w:rPr>
          <w:sz w:val="20"/>
          <w:szCs w:val="20"/>
          <w:color w:val="auto"/>
        </w:rPr>
      </w:pPr>
    </w:p>
    <w:p>
      <w:pPr>
        <w:jc w:val="both"/>
        <w:ind w:firstLine="215"/>
        <w:spacing w:after="0" w:line="275" w:lineRule="auto"/>
        <w:rPr>
          <w:sz w:val="20"/>
          <w:szCs w:val="20"/>
          <w:color w:val="auto"/>
        </w:rPr>
      </w:pPr>
      <w:r>
        <w:rPr>
          <w:rFonts w:ascii="Arial" w:cs="Arial" w:eastAsia="Arial" w:hAnsi="Arial"/>
          <w:sz w:val="17"/>
          <w:szCs w:val="17"/>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256"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7"/>
          <w:szCs w:val="17"/>
          <w:color w:val="auto"/>
        </w:rPr>
        <w:t>Our consolidated results of operations for the fiscal year ended August 26, 2023 improved from the end of fiscal year 2022, driven by net sales growth, while navigating a challenging supply chain environment, inflation, and macroeconomic uncertainty. We continue to actively monitor the dynamic macroeconomic inflationary environment in the United States and elsewhere, elevated levels of supply chain costs, and consumer behavior. Current or future governmental policies may increase the risk of inflation and possible economic recession, which could further increase the costs of ingredients, packaging, logistics and finished goods for our business as well as negatively effect consumer behavior and demand for our products.</w:t>
      </w:r>
    </w:p>
    <w:p>
      <w:pPr>
        <w:spacing w:after="0" w:line="203"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color w:val="auto"/>
        </w:rPr>
        <w:t>Our business performance for the fiscal year ended August 26, 2023 was affected by unfavorable raw material costs, higher co-manufacturing costs, and supply chain challenges, including supply chain disruptions resulting from labor shortages and disruptions in sourcing ingredients. The supply chain environment showed signs of improvement during the year and we expect to see improvement during fiscal year 2024 in the overall cost environment and in our gross margin.</w:t>
      </w:r>
    </w:p>
    <w:p>
      <w:pPr>
        <w:spacing w:after="0" w:line="214" w:lineRule="exact"/>
        <w:rPr>
          <w:sz w:val="20"/>
          <w:szCs w:val="20"/>
          <w:color w:val="auto"/>
        </w:rPr>
      </w:pPr>
    </w:p>
    <w:p>
      <w:pPr>
        <w:jc w:val="both"/>
        <w:ind w:firstLine="213"/>
        <w:spacing w:after="0" w:line="259" w:lineRule="auto"/>
        <w:rPr>
          <w:sz w:val="20"/>
          <w:szCs w:val="20"/>
          <w:color w:val="auto"/>
        </w:rPr>
      </w:pPr>
      <w:r>
        <w:rPr>
          <w:rFonts w:ascii="Arial" w:cs="Arial" w:eastAsia="Arial" w:hAnsi="Arial"/>
          <w:sz w:val="18"/>
          <w:szCs w:val="18"/>
          <w:color w:val="auto"/>
        </w:rPr>
        <w:t>We have continued to proactively engage with our retail customers, contract manufacturers, and logistics and transportation providers, to meet demand for our products and to remain informed of any challenges within our business operations. Additionally, we instituted price increases effective in the first and fourth quarters of fiscal year 2022. Management believes these price increases and additional cost savings initiatives have partially offset the unfavorable supply chain cost pressures discussed above.</w:t>
      </w:r>
    </w:p>
    <w:p>
      <w:pPr>
        <w:spacing w:after="0" w:line="214" w:lineRule="exact"/>
        <w:rPr>
          <w:sz w:val="20"/>
          <w:szCs w:val="20"/>
          <w:color w:val="auto"/>
        </w:rPr>
      </w:pPr>
    </w:p>
    <w:p>
      <w:pPr>
        <w:jc w:val="both"/>
        <w:ind w:firstLine="204"/>
        <w:spacing w:after="0" w:line="259" w:lineRule="auto"/>
        <w:rPr>
          <w:sz w:val="20"/>
          <w:szCs w:val="20"/>
          <w:color w:val="auto"/>
        </w:rPr>
      </w:pPr>
      <w:r>
        <w:rPr>
          <w:rFonts w:ascii="Arial" w:cs="Arial" w:eastAsia="Arial" w:hAnsi="Arial"/>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firstLine="189"/>
        <w:spacing w:after="0" w:line="277" w:lineRule="auto"/>
        <w:rPr>
          <w:sz w:val="20"/>
          <w:szCs w:val="20"/>
          <w:color w:val="auto"/>
        </w:rPr>
      </w:pPr>
      <w:r>
        <w:rPr>
          <w:rFonts w:ascii="Arial" w:cs="Arial" w:eastAsia="Arial" w:hAnsi="Arial"/>
          <w:sz w:val="18"/>
          <w:szCs w:val="18"/>
          <w:color w:val="auto"/>
        </w:rPr>
        <w:t>Please also see the information under Item 1A. “Risk Factors” for additional information regarding the risks of inflation, higher raw material, packaging, co-manufacturing, and logistics costs, and supply chain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56" w:lineRule="exact"/>
        <w:rPr>
          <w:sz w:val="20"/>
          <w:szCs w:val="20"/>
          <w:color w:val="auto"/>
        </w:rPr>
      </w:pPr>
    </w:p>
    <w:p>
      <w:pPr>
        <w:ind w:firstLine="280"/>
        <w:spacing w:after="0" w:line="277" w:lineRule="auto"/>
        <w:rPr>
          <w:sz w:val="20"/>
          <w:szCs w:val="20"/>
          <w:color w:val="auto"/>
        </w:rPr>
      </w:pPr>
      <w:r>
        <w:rPr>
          <w:rFonts w:ascii="Arial" w:cs="Arial" w:eastAsia="Arial" w:hAnsi="Arial"/>
          <w:sz w:val="18"/>
          <w:szCs w:val="18"/>
          <w:color w:val="auto"/>
        </w:rPr>
        <w:t>For each of the fifty-two weeks ended August 26, 2023 and August 27, 2022, we determined our operations are organized into one, consolidated operating segment and reportable segment based on the following:</w:t>
      </w:r>
    </w:p>
    <w:p>
      <w:pPr>
        <w:spacing w:after="0" w:line="62"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Atkins® and Quest® brands are closely aligned in the nature of our production processes, the brands’ product offerings, and the methods used to distribute our products to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organizational structure is designed to support entity-wide business functions across brands, products, customers, and geographic regions;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chief operating decision maker reviews operating results and forecasts at the consolidated level.</w:t>
      </w:r>
    </w:p>
    <w:p>
      <w:pPr>
        <w:spacing w:after="0" w:line="252" w:lineRule="exact"/>
        <w:rPr>
          <w:sz w:val="20"/>
          <w:szCs w:val="20"/>
          <w:color w:val="auto"/>
        </w:rPr>
      </w:pPr>
    </w:p>
    <w:p>
      <w:pPr>
        <w:jc w:val="both"/>
        <w:ind w:firstLine="258"/>
        <w:spacing w:after="0" w:line="277" w:lineRule="auto"/>
        <w:rPr>
          <w:sz w:val="20"/>
          <w:szCs w:val="20"/>
          <w:color w:val="auto"/>
        </w:rPr>
      </w:pPr>
      <w:r>
        <w:rPr>
          <w:rFonts w:ascii="Arial" w:cs="Arial" w:eastAsia="Arial" w:hAnsi="Arial"/>
          <w:sz w:val="18"/>
          <w:szCs w:val="18"/>
          <w:color w:val="auto"/>
        </w:rPr>
        <w:t>Previously, during the fifty-two weeks ended August 28, 2021, we had two operating segments, Atkins and Quest, which were aggregated into one reporting segment due to similar financial, economic and operating characteristics.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52" w:lineRule="exact"/>
        <w:rPr>
          <w:sz w:val="20"/>
          <w:szCs w:val="20"/>
          <w:color w:val="auto"/>
        </w:rPr>
      </w:pPr>
    </w:p>
    <w:p>
      <w:pPr>
        <w:jc w:val="both"/>
        <w:ind w:firstLine="261"/>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0"/>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7" w:lineRule="exact"/>
        <w:rPr>
          <w:sz w:val="20"/>
          <w:szCs w:val="20"/>
          <w:color w:val="auto"/>
        </w:rPr>
      </w:pPr>
    </w:p>
    <w:p>
      <w:pPr>
        <w:jc w:val="both"/>
        <w:ind w:right="20" w:firstLine="261"/>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and 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The following is a brief description of the components of operating expenses:</w:t>
      </w:r>
    </w:p>
    <w:p>
      <w:pPr>
        <w:spacing w:after="0" w:line="5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comprise broker commissions, customer marketing, media and other marketing costs.</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comprise expenses associated with corporate and administrative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business, including employee compensation, stock-based compensation, professional services, integration costs, restructuring costs, insurance and other general corporate expenses.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188"/>
        <w:spacing w:after="0" w:line="275" w:lineRule="auto"/>
        <w:rPr>
          <w:sz w:val="20"/>
          <w:szCs w:val="20"/>
          <w:color w:val="auto"/>
        </w:rPr>
      </w:pPr>
      <w:r>
        <w:rPr>
          <w:rFonts w:ascii="Arial" w:cs="Arial" w:eastAsia="Arial" w:hAnsi="Arial"/>
          <w:sz w:val="17"/>
          <w:szCs w:val="17"/>
          <w:color w:val="auto"/>
        </w:rPr>
        <w:t>During the fifty-two weeks ended August 26, 2023, our net sales increased $74.0 million, or 6.3%, to $1,242.7 million compared to net sales of $1,168.7 million for the fifty-two weeks ended August 27, 2022. Unfavorable raw material, packaging, and co-manufacturing costs and supply chain challenges in the fifty-two weeks ended August 26, 2023 resulted in decreased gross profit margin as compared to the fifty-two weeks ended August 27, 2022. As previously discussed above in “Business Trends,” while we expect inflationary cost pressures and supply chain challenges will continue, we do expect to see improvement during fiscal year 2024 in the overall cost environment and in our gross margin.</w:t>
      </w:r>
    </w:p>
    <w:p>
      <w:pPr>
        <w:spacing w:after="0" w:line="203" w:lineRule="exact"/>
        <w:rPr>
          <w:sz w:val="20"/>
          <w:szCs w:val="20"/>
          <w:color w:val="auto"/>
        </w:rPr>
      </w:pPr>
    </w:p>
    <w:p>
      <w:pPr>
        <w:jc w:val="both"/>
        <w:ind w:firstLine="259"/>
        <w:spacing w:after="0" w:line="279" w:lineRule="auto"/>
        <w:rPr>
          <w:sz w:val="20"/>
          <w:szCs w:val="20"/>
          <w:color w:val="auto"/>
        </w:rPr>
      </w:pPr>
      <w:r>
        <w:rPr>
          <w:rFonts w:ascii="Arial" w:cs="Arial" w:eastAsia="Arial" w:hAnsi="Arial"/>
          <w:sz w:val="17"/>
          <w:szCs w:val="17"/>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198"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18"/>
          <w:szCs w:val="18"/>
          <w:color w:val="auto"/>
        </w:rPr>
        <w:t>A discussion regarding our financial condition and results of operations for the fifty-two weeks ended August 26, 2023 compared to the fifty-two weeks ended August 27, 2022 is presented below. A discussion regarding our financial condition and results of operations for the fifty-two weeks ended August 27, 2022 compared to the fifty-two weeks ended August 28, 2021 can be found under Item 7 of our Annual Report on Form 10-K for the fiscal year ended August 27, 2022, filed with the SEC on October 21, 2022.</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Comparison of Results for the Fifty-Two Weeks Ended August 26, 2023 and the Fifty-Two Weeks Ended August 27, 2022</w:t>
      </w:r>
    </w:p>
    <w:p>
      <w:pPr>
        <w:spacing w:after="0" w:line="252" w:lineRule="exact"/>
        <w:rPr>
          <w:sz w:val="20"/>
          <w:szCs w:val="20"/>
          <w:color w:val="auto"/>
        </w:rPr>
      </w:pPr>
    </w:p>
    <w:p>
      <w:pPr>
        <w:ind w:firstLine="187"/>
        <w:spacing w:after="0" w:line="277" w:lineRule="auto"/>
        <w:rPr>
          <w:sz w:val="20"/>
          <w:szCs w:val="20"/>
          <w:color w:val="auto"/>
        </w:rPr>
      </w:pPr>
      <w:r>
        <w:rPr>
          <w:rFonts w:ascii="Arial" w:cs="Arial" w:eastAsia="Arial" w:hAnsi="Arial"/>
          <w:sz w:val="18"/>
          <w:szCs w:val="18"/>
          <w:color w:val="auto"/>
        </w:rPr>
        <w:t>The following table presents, for the periods indicated, selected information from our consolidated financial results, including information presented as a percentage of net sales:</w:t>
      </w:r>
    </w:p>
    <w:p>
      <w:pPr>
        <w:spacing w:after="0" w:line="148"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 of Net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 of Net</w:t>
            </w:r>
          </w:p>
        </w:tc>
        <w:tc>
          <w:tcPr>
            <w:tcW w:w="0" w:type="dxa"/>
            <w:vAlign w:val="bottom"/>
          </w:tcPr>
          <w:p>
            <w:pPr>
              <w:spacing w:after="0"/>
              <w:rPr>
                <w:sz w:val="1"/>
                <w:szCs w:val="1"/>
                <w:color w:val="auto"/>
              </w:rPr>
            </w:pPr>
          </w:p>
        </w:tc>
      </w:tr>
      <w:tr>
        <w:trPr>
          <w:trHeight w:val="206"/>
        </w:trPr>
        <w:tc>
          <w:tcPr>
            <w:tcW w:w="4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restart"/>
          </w:tcPr>
          <w:p>
            <w:pPr>
              <w:jc w:val="right"/>
              <w:ind w:right="119"/>
              <w:spacing w:after="0"/>
              <w:rPr>
                <w:sz w:val="20"/>
                <w:szCs w:val="20"/>
                <w:color w:val="auto"/>
              </w:rPr>
            </w:pPr>
            <w:r>
              <w:rPr>
                <w:rFonts w:ascii="Arial" w:cs="Arial" w:eastAsia="Arial" w:hAnsi="Arial"/>
                <w:sz w:val="16"/>
                <w:szCs w:val="16"/>
                <w:color w:val="auto"/>
                <w:w w:val="96"/>
              </w:rPr>
              <w:t>August 26, 2023</w:t>
            </w:r>
          </w:p>
        </w:tc>
        <w:tc>
          <w:tcPr>
            <w:tcW w:w="120" w:type="dxa"/>
            <w:vAlign w:val="bottom"/>
            <w:vMerge w:val="restart"/>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Sales</w:t>
            </w:r>
          </w:p>
        </w:tc>
        <w:tc>
          <w:tcPr>
            <w:tcW w:w="160" w:type="dxa"/>
            <w:vAlign w:val="bottom"/>
          </w:tcPr>
          <w:p>
            <w:pPr>
              <w:spacing w:after="0"/>
              <w:rPr>
                <w:sz w:val="17"/>
                <w:szCs w:val="17"/>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w w:val="94"/>
              </w:rPr>
              <w:t>August 27, 2022</w:t>
            </w:r>
          </w:p>
        </w:tc>
        <w:tc>
          <w:tcPr>
            <w:tcW w:w="140" w:type="dxa"/>
            <w:vAlign w:val="bottom"/>
            <w:vMerge w:val="restart"/>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Sales</w:t>
            </w:r>
          </w:p>
        </w:tc>
        <w:tc>
          <w:tcPr>
            <w:tcW w:w="0" w:type="dxa"/>
            <w:vAlign w:val="bottom"/>
          </w:tcPr>
          <w:p>
            <w:pPr>
              <w:spacing w:after="0"/>
              <w:rPr>
                <w:sz w:val="1"/>
                <w:szCs w:val="1"/>
                <w:color w:val="auto"/>
              </w:rPr>
            </w:pPr>
          </w:p>
        </w:tc>
      </w:tr>
      <w:tr>
        <w:trPr>
          <w:trHeight w:val="84"/>
        </w:trPr>
        <w:tc>
          <w:tcPr>
            <w:tcW w:w="47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1,242,672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1,168,678</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3"/>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789,252</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723,117</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61.9 %</w:t>
            </w:r>
          </w:p>
        </w:tc>
        <w:tc>
          <w:tcPr>
            <w:tcW w:w="0" w:type="dxa"/>
            <w:vAlign w:val="bottom"/>
          </w:tcPr>
          <w:p>
            <w:pPr>
              <w:spacing w:after="0"/>
              <w:rPr>
                <w:sz w:val="1"/>
                <w:szCs w:val="1"/>
                <w:color w:val="auto"/>
              </w:rPr>
            </w:pPr>
          </w:p>
        </w:tc>
      </w:tr>
      <w:tr>
        <w:trPr>
          <w:trHeight w:val="240"/>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453,420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445,561</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119,489</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121,685</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5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111,566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103,832</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17,416</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17,285</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248,471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242,802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204,949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202,759</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4"/>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Loss in fair value change of warrant liability</w:t>
            </w:r>
          </w:p>
        </w:tc>
        <w:tc>
          <w:tcPr>
            <w:tcW w:w="14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(30,062)</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gain on foreign currency transactions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4"/>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(453)</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w:t>
            </w: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(52,190)</w:t>
            </w:r>
          </w:p>
        </w:tc>
        <w:tc>
          <w:tcPr>
            <w:tcW w:w="1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175,692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150,569</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53"/>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42,117</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41,995</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133,575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108,574</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245,555</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234,043</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00" w:hanging="330"/>
        <w:spacing w:after="0" w:line="230" w:lineRule="auto"/>
        <w:tabs>
          <w:tab w:leader="none" w:pos="496"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Adjusted EBITDA is a non-GAAP financial metric. See “Reconciliation of EBITDA and Adjusted EBITDA” below for a reconciliation of net income to EBITDA and Adjusted EBITDA for each applicable period.</w:t>
      </w:r>
    </w:p>
    <w:p>
      <w:pPr>
        <w:spacing w:after="0" w:line="222" w:lineRule="exact"/>
        <w:rPr>
          <w:sz w:val="20"/>
          <w:szCs w:val="20"/>
          <w:color w:val="auto"/>
        </w:rPr>
      </w:pPr>
    </w:p>
    <w:p>
      <w:pPr>
        <w:jc w:val="both"/>
        <w:ind w:firstLine="207"/>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of $1,242.7 million represented an increase of $74.0 million, or 6.3%, for the fifty-two weeks ended August 26, 2023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fifty-two weeks ended August 27, 2022. The increase was primarily attributable to the price increase effective in the fourth quarter of fiscal year 2022, which drove growth of 6.6% in North America net sales for the fifty-two weeks ended August 26, 2023 compared to the fifty-two weeks ended August 27, 2022. The increase in North America net sales was partially offset by a 3.8% decline in our international business and a 0.6% headwind to net sales growth related to our shift from direct sales to licensing the Quest® frozen pizza business in the third quarter of fiscal year 2022.</w:t>
      </w:r>
    </w:p>
    <w:p>
      <w:pPr>
        <w:spacing w:after="0" w:line="188" w:lineRule="exact"/>
        <w:rPr>
          <w:sz w:val="20"/>
          <w:szCs w:val="20"/>
          <w:color w:val="auto"/>
        </w:rPr>
      </w:pPr>
    </w:p>
    <w:p>
      <w:pPr>
        <w:jc w:val="both"/>
        <w:ind w:firstLine="180"/>
        <w:spacing w:after="0" w:line="308" w:lineRule="auto"/>
        <w:rPr>
          <w:sz w:val="20"/>
          <w:szCs w:val="20"/>
          <w:color w:val="auto"/>
        </w:rPr>
      </w:pPr>
      <w:r>
        <w:rPr>
          <w:rFonts w:ascii="Arial" w:cs="Arial" w:eastAsia="Arial" w:hAnsi="Arial"/>
          <w:sz w:val="17"/>
          <w:szCs w:val="17"/>
          <w:b w:val="1"/>
          <w:bCs w:val="1"/>
          <w:i w:val="1"/>
          <w:iCs w:val="1"/>
          <w:color w:val="auto"/>
        </w:rPr>
        <w:t xml:space="preserve">Cost of goods sold. </w:t>
      </w:r>
      <w:r>
        <w:rPr>
          <w:rFonts w:ascii="Arial" w:cs="Arial" w:eastAsia="Arial" w:hAnsi="Arial"/>
          <w:sz w:val="17"/>
          <w:szCs w:val="17"/>
          <w:color w:val="auto"/>
        </w:rPr>
        <w:t>Cost of goods sold increased $66.1 million, or 9.1%, for the fifty-two weeks ended August 26, 2023 compared to the fifty-two weeks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August 27, 2022. The cost of goods sold increase was primarily driven by higher raw material, packaging and logistics costs.</w:t>
      </w:r>
    </w:p>
    <w:p>
      <w:pPr>
        <w:spacing w:after="0" w:line="173" w:lineRule="exact"/>
        <w:rPr>
          <w:sz w:val="20"/>
          <w:szCs w:val="20"/>
          <w:color w:val="auto"/>
        </w:rPr>
      </w:pPr>
    </w:p>
    <w:p>
      <w:pPr>
        <w:jc w:val="both"/>
        <w:ind w:firstLine="207"/>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of $453.4 million increased $7.9 million, or 1.8%, for the fifty-two weeks ended August 26, 2023 compared to the fifty-two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August 27, 2022. Gross profit as a percentage of net sales was 36.5% for the fifty-two weeks ended August 26, 2023, a decrease of 160 basis points from 38.1% of net sales for the fifty-two weeks ended August 27, 2022. This decrease in gross profit margin was primarily driven by unfavorable raw material, packaging, and co-manufacturing costs and supply chain challenges, partially offset by the price increase effective in the fourth quarter of fiscal year 2022.</w:t>
      </w:r>
    </w:p>
    <w:p>
      <w:pPr>
        <w:spacing w:after="0" w:line="215"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Operating expenses increased $5.7 million, or 2.3%, for the fifty-two weeks ended August 26, 2023 compared to the fifty-two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August 27, 2022 due to the following:</w:t>
      </w:r>
    </w:p>
    <w:p>
      <w:pPr>
        <w:sectPr>
          <w:pgSz w:w="11900" w:h="16838" w:orient="portrait"/>
          <w:cols w:equalWidth="0" w:num="1">
            <w:col w:w="11240"/>
          </w:cols>
          <w:pgMar w:left="320" w:top="692"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8" w:name="page39"/>
    <w:bookmarkEnd w:id="38"/>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decreased $2.2 million, or 1.8%, for the fifty-two weeks ended August 26,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fifty-two weeks ended August 27, 2022, primarily related to a reduction in marketing spend.</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$7.7 million, or 7.4%, for the fifty-two weeks ended August 26,</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fifty-two weeks ended August 27, 2022. The increase was primarily attributable to $2.4 million of fees related to the extension of the Term Loan (as defined below), $3.4 million of executive officer transition costs, and an increase of $2.8 million in stock-based compensation expense in the fifty-two weeks ended August 26, 2023. These increases were partially offset by the discontinuation of costs related to business integration activities and restructuring charges of $0.6 million and a reduction in employee-related expenses in the fifty-two weeks ended August 26, 2023.</w:t>
      </w:r>
    </w:p>
    <w:p>
      <w:pPr>
        <w:spacing w:after="0" w:line="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were $17.4 million and $17.3 million for the fifty-two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26, 2023 compared to the fifty-two weeks ended August 27, 2022, respectively.</w:t>
      </w:r>
    </w:p>
    <w:p>
      <w:pPr>
        <w:spacing w:after="0" w:line="211"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was $1.1 million for the fifty-two weeks ended August 26, 2023 compared to an immaterial amount of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fifty-two weeks ended August 27, 2022, primarily due to the increase in interest rates.</w:t>
      </w:r>
    </w:p>
    <w:p>
      <w:pPr>
        <w:spacing w:after="0" w:line="197"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$8.2 million for the fifty-two weeks ended August 26, 2023 compared to the fifty-two weeks ended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 2022 primarily due to the increase in interest rates on our Term Facility (as defined below) to 7.9% as of August 26, 2023 from 6.2% as of August 27, 2022. Additionally, interest expense related to the amortization of deferred financing costs and debt discount increased $0.2 million for the fifty-two weeks ended August 26, 2023 compared to the fifty-two weeks ended August 27, 2022.</w:t>
      </w:r>
    </w:p>
    <w:p>
      <w:pPr>
        <w:spacing w:after="0" w:line="214" w:lineRule="exact"/>
        <w:rPr>
          <w:sz w:val="20"/>
          <w:szCs w:val="20"/>
          <w:color w:val="auto"/>
        </w:rPr>
      </w:pPr>
    </w:p>
    <w:p>
      <w:pPr>
        <w:jc w:val="both"/>
        <w:ind w:firstLine="261"/>
        <w:spacing w:after="0" w:line="301" w:lineRule="auto"/>
        <w:rPr>
          <w:sz w:val="20"/>
          <w:szCs w:val="20"/>
          <w:color w:val="auto"/>
        </w:rPr>
      </w:pPr>
      <w:r>
        <w:rPr>
          <w:rFonts w:ascii="Arial" w:cs="Arial" w:eastAsia="Arial" w:hAnsi="Arial"/>
          <w:sz w:val="16"/>
          <w:szCs w:val="16"/>
          <w:b w:val="1"/>
          <w:bCs w:val="1"/>
          <w:i w:val="1"/>
          <w:iCs w:val="1"/>
          <w:color w:val="auto"/>
        </w:rPr>
        <w:t>Loss in fair value change of warrant liability</w:t>
      </w:r>
      <w:r>
        <w:rPr>
          <w:rFonts w:ascii="Arial" w:cs="Arial" w:eastAsia="Arial" w:hAnsi="Arial"/>
          <w:sz w:val="16"/>
          <w:szCs w:val="16"/>
          <w:color w:val="auto"/>
        </w:rPr>
        <w:t>. There were no outstanding liability-classified warrants issued through a private placement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during the fifty-two weeks ended August 26, 2023. During the fifty-two weeks ended August 27, 2022, we recorded a non-cash loss of $30.1 million related to changes in valuation of our liability-classified Private Warrants, which was primarily driven by movements in our stock price. On January 7, 2022, the Private Warrants were exercised on a cashless basis, resulting in a net issuance of 4,830,761 shares of our common stock.</w:t>
      </w:r>
    </w:p>
    <w:p>
      <w:pPr>
        <w:spacing w:after="0" w:line="184" w:lineRule="exact"/>
        <w:rPr>
          <w:sz w:val="20"/>
          <w:szCs w:val="20"/>
          <w:color w:val="auto"/>
        </w:rPr>
      </w:pPr>
    </w:p>
    <w:p>
      <w:pPr>
        <w:jc w:val="both"/>
        <w:ind w:firstLine="247"/>
        <w:spacing w:after="0" w:line="259" w:lineRule="auto"/>
        <w:rPr>
          <w:sz w:val="20"/>
          <w:szCs w:val="20"/>
          <w:color w:val="auto"/>
        </w:rPr>
      </w:pPr>
      <w:r>
        <w:rPr>
          <w:rFonts w:ascii="Arial" w:cs="Arial" w:eastAsia="Arial" w:hAnsi="Arial"/>
          <w:sz w:val="18"/>
          <w:szCs w:val="18"/>
          <w:b w:val="1"/>
          <w:bCs w:val="1"/>
          <w:i w:val="1"/>
          <w:iCs w:val="1"/>
          <w:color w:val="auto"/>
        </w:rPr>
        <w:t xml:space="preserve">(Loss) gain on foreign currency transactions. </w:t>
      </w:r>
      <w:r>
        <w:rPr>
          <w:rFonts w:ascii="Arial" w:cs="Arial" w:eastAsia="Arial" w:hAnsi="Arial"/>
          <w:sz w:val="18"/>
          <w:szCs w:val="18"/>
          <w:color w:val="auto"/>
        </w:rPr>
        <w:t>Foreign currency transactions resulted in an immaterial loss and an immaterial gain for the fifty-two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August 26, 2023 and August 27, 2022, respectively. During the fifty-two weeks ended August 27, 2022, we recognized a foreign currency translation gain of $1.1 million related to the liquidation of a foreign subsidiary. The remaining variance is attributable to changes in foreign currency rates related to our international operations.</w:t>
      </w:r>
    </w:p>
    <w:p>
      <w:pPr>
        <w:spacing w:after="0" w:line="214" w:lineRule="exact"/>
        <w:rPr>
          <w:sz w:val="20"/>
          <w:szCs w:val="20"/>
          <w:color w:val="auto"/>
        </w:rPr>
      </w:pPr>
    </w:p>
    <w:p>
      <w:pPr>
        <w:jc w:val="both"/>
        <w:ind w:firstLine="193"/>
        <w:spacing w:after="0" w:line="34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$0.1 million for the fifty-two weeks ended August 26, 2023 compared to the fifty-two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27, 2022. The increase in our income tax expense is primarily driven by higher income from operations and changes in permanent differences.</w:t>
      </w:r>
    </w:p>
    <w:p>
      <w:pPr>
        <w:spacing w:after="0" w:line="151"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was $133.6 million for the fifty-two weeks ended August 26, 2023, an increase of $25.0 million, compared to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$108.6 million for the fifty-two weeks ended August 27, 2022. The increase was primarily driven by the $30.1 million non-cash fair value loss incurred in the fifty-two weeks ended August 27, 2022 related to the measurement of our liability-classified Private Warrants which did not repeat in fiscal year 2023, and growth in net sales.</w:t>
      </w:r>
    </w:p>
    <w:p>
      <w:pPr>
        <w:spacing w:after="0" w:line="214"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$11.5 million, or 4.9%, for the fifty-two weeks ended August 26, 2023 compared to the fifty-two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August 27, 2022, driven primarily by net sales growth due to the price increase effective in the fourth quarter of fiscal year 2022, partially offset by unfavorable raw material, packaging, and co-manufacturing costs and supply chain challenges in the fifty-two weeks ended August 26, 2023 as previously discussed.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Reconciliation of EBITDA and Adjusted EBITDA</w:t>
      </w:r>
    </w:p>
    <w:p>
      <w:pPr>
        <w:spacing w:after="0" w:line="239"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7"/>
          <w:szCs w:val="17"/>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stock-based compensation expense, executive transition costs, term loan transaction fees, integration costs, restructuring costs, loss in fair value change of warrant liability, and other non-core expenses. We believe that EBITDA and Adjusted EBITDA, when used in conjunction with net income, are useful to provide additional information to investors. Management uses EBITDA and Adjusted EBITDA to supplement net income because these measures reflect operating results of the on-going operations, eliminate items that are not directly attributable to our underlying operating performance, enhance the overall understanding of past financial performance and future prospects, and allow for greater transparency with respect to the key metrics management uses in its financial and operational decision making. We also believe that EBITDA and Adjusted EBITDA are frequently used by securities analysts, investors and other interested parties in the evaluation of companies in our industry. EBITDA and Adjusted EBITDA may not be comparable to other similarly titled captions of other companies due to differences in the non-GAAP calculation.</w:t>
      </w:r>
    </w:p>
    <w:p>
      <w:pPr>
        <w:spacing w:after="0" w:line="220" w:lineRule="exact"/>
        <w:rPr>
          <w:sz w:val="20"/>
          <w:szCs w:val="20"/>
          <w:color w:val="auto"/>
        </w:rPr>
      </w:pPr>
    </w:p>
    <w:p>
      <w:pPr>
        <w:jc w:val="both"/>
        <w:ind w:right="20" w:firstLine="184"/>
        <w:spacing w:after="0" w:line="277" w:lineRule="auto"/>
        <w:rPr>
          <w:sz w:val="20"/>
          <w:szCs w:val="20"/>
          <w:color w:val="auto"/>
        </w:rPr>
      </w:pPr>
      <w:r>
        <w:rPr>
          <w:rFonts w:ascii="Arial" w:cs="Arial" w:eastAsia="Arial" w:hAnsi="Arial"/>
          <w:sz w:val="18"/>
          <w:szCs w:val="18"/>
          <w:color w:val="auto"/>
        </w:rPr>
        <w:t>The following unaudited table provides a reconciliation of EBITDA and Adjusted EBITDA to its most directly comparable GAAP measure, which is net income, for the fifty-two weeks ended August 26, 2023 and August 27, 2022:</w:t>
      </w:r>
    </w:p>
    <w:p>
      <w:pPr>
        <w:spacing w:after="0" w:line="121" w:lineRule="exact"/>
        <w:rPr>
          <w:sz w:val="20"/>
          <w:szCs w:val="20"/>
          <w:color w:val="auto"/>
        </w:rPr>
      </w:pPr>
    </w:p>
    <w:tbl>
      <w:tblPr>
        <w:tblLayout w:type="fixed"/>
        <w:tblInd w:w="1420"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w w:val="92"/>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26, 2023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August 27, 2022</w:t>
            </w:r>
          </w:p>
        </w:tc>
      </w:tr>
      <w:tr>
        <w:trPr>
          <w:trHeight w:val="25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133,575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108,574</w:t>
            </w:r>
          </w:p>
        </w:tc>
      </w:tr>
      <w:tr>
        <w:trPr>
          <w:trHeight w:val="267"/>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21,881</w:t>
            </w:r>
          </w:p>
        </w:tc>
      </w:tr>
      <w:tr>
        <w:trPr>
          <w:trHeight w:val="267"/>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42,117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41,995</w:t>
            </w:r>
          </w:p>
        </w:tc>
      </w:tr>
      <w:tr>
        <w:trPr>
          <w:trHeight w:val="27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19,299</w:t>
            </w:r>
          </w:p>
        </w:tc>
      </w:tr>
      <w:tr>
        <w:trPr>
          <w:trHeight w:val="25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224,869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191,734</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11,697</w:t>
            </w:r>
          </w:p>
        </w:tc>
      </w:tr>
      <w:tr>
        <w:trPr>
          <w:trHeight w:val="267"/>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Executive transition costs</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3,390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Term loan transaction fees</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Integration of Quest</w:t>
            </w:r>
          </w:p>
        </w:tc>
        <w:tc>
          <w:tcPr>
            <w:tcW w:w="16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67"/>
        </w:trPr>
        <w:tc>
          <w:tcPr>
            <w:tcW w:w="5240" w:type="dxa"/>
            <w:vAlign w:val="bottom"/>
            <w:gridSpan w:val="2"/>
          </w:tcPr>
          <w:p>
            <w:pPr>
              <w:ind w:left="120"/>
              <w:spacing w:after="0"/>
              <w:rPr>
                <w:sz w:val="20"/>
                <w:szCs w:val="20"/>
                <w:color w:val="auto"/>
              </w:rPr>
            </w:pPr>
            <w:r>
              <w:rPr>
                <w:rFonts w:ascii="Arial" w:cs="Arial" w:eastAsia="Arial" w:hAnsi="Arial"/>
                <w:sz w:val="16"/>
                <w:szCs w:val="16"/>
                <w:color w:val="auto"/>
              </w:rPr>
              <w:t>Loss in fair value change of warrant liability</w:t>
            </w:r>
          </w:p>
        </w:tc>
        <w:tc>
          <w:tcPr>
            <w:tcW w:w="16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30,062</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245,555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234,043</w:t>
            </w: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1580" w:hanging="150"/>
        <w:spacing w:after="0"/>
        <w:tabs>
          <w:tab w:leader="none" w:pos="158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Other items consist principally of exchange impact of foreign currency transactions and other expenses.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66"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9" w:lineRule="exact"/>
        <w:rPr>
          <w:sz w:val="20"/>
          <w:szCs w:val="20"/>
          <w:color w:val="auto"/>
        </w:rPr>
      </w:pPr>
    </w:p>
    <w:p>
      <w:pPr>
        <w:jc w:val="both"/>
        <w:ind w:firstLine="199"/>
        <w:spacing w:after="0" w:line="291" w:lineRule="auto"/>
        <w:rPr>
          <w:sz w:val="20"/>
          <w:szCs w:val="20"/>
          <w:color w:val="auto"/>
        </w:rPr>
      </w:pPr>
      <w:r>
        <w:rPr>
          <w:rFonts w:ascii="Arial" w:cs="Arial" w:eastAsia="Arial" w:hAnsi="Arial"/>
          <w:sz w:val="17"/>
          <w:szCs w:val="17"/>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87"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We had $87.7 million in cash as of August 26, 2023.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14"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6, Long-Term Debt and Line of Credit, and Note 9, Leases, of the Consolidated Financial Statements included in Item 8 of this Report for additional information related to the expected timing and amount of payments related to our contractual and other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84"/>
        <w:spacing w:after="0" w:line="257" w:lineRule="auto"/>
        <w:rPr>
          <w:sz w:val="20"/>
          <w:szCs w:val="20"/>
          <w:color w:val="auto"/>
        </w:rPr>
      </w:pPr>
      <w:r>
        <w:rPr>
          <w:rFonts w:ascii="Arial" w:cs="Arial" w:eastAsia="Arial" w:hAnsi="Arial"/>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5" w:lineRule="exact"/>
        <w:rPr>
          <w:sz w:val="20"/>
          <w:szCs w:val="20"/>
          <w:color w:val="auto"/>
        </w:rPr>
      </w:pPr>
    </w:p>
    <w:p>
      <w:pPr>
        <w:jc w:val="both"/>
        <w:ind w:firstLine="204"/>
        <w:spacing w:after="0" w:line="301" w:lineRule="auto"/>
        <w:rPr>
          <w:sz w:val="20"/>
          <w:szCs w:val="20"/>
          <w:color w:val="auto"/>
        </w:rPr>
      </w:pPr>
      <w:r>
        <w:rPr>
          <w:rFonts w:ascii="Arial" w:cs="Arial" w:eastAsia="Arial" w:hAnsi="Arial"/>
          <w:sz w:val="16"/>
          <w:szCs w:val="16"/>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84" w:lineRule="exact"/>
        <w:rPr>
          <w:sz w:val="20"/>
          <w:szCs w:val="20"/>
          <w:color w:val="auto"/>
        </w:rPr>
      </w:pPr>
    </w:p>
    <w:p>
      <w:pPr>
        <w:jc w:val="both"/>
        <w:ind w:firstLine="310"/>
        <w:spacing w:after="0" w:line="311" w:lineRule="auto"/>
        <w:rPr>
          <w:sz w:val="20"/>
          <w:szCs w:val="20"/>
          <w:color w:val="auto"/>
        </w:rPr>
      </w:pPr>
      <w:r>
        <w:rPr>
          <w:rFonts w:ascii="Arial" w:cs="Arial" w:eastAsia="Arial" w:hAnsi="Arial"/>
          <w:sz w:val="16"/>
          <w:szCs w:val="16"/>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January 21, 2022, we entered into the “2022 Repricing Amendment” to the Credit Agreement. The 2022 Repricing Amendment, among other things,</w:t>
      </w:r>
    </w:p>
    <w:p>
      <w:pPr>
        <w:spacing w:after="0" w:line="46" w:lineRule="exact"/>
        <w:rPr>
          <w:sz w:val="20"/>
          <w:szCs w:val="20"/>
          <w:color w:val="auto"/>
        </w:rPr>
      </w:pPr>
    </w:p>
    <w:p>
      <w:pPr>
        <w:jc w:val="both"/>
        <w:ind w:firstLine="8"/>
        <w:spacing w:after="0" w:line="253"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25, 2023, we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2023 Repricing Amendment did not change the interest rate on the Revolving Credit Facility, which continues to bear interest based upon our consolidated net leverage ratio as of the end of the fiscal quarter for which consolidated financial statements are delivered to the Administrative Agent under the Credit Agreement. No additional debt was incurred, or any proceeds received by us in connection with the 2023 Repricing Amendment. No amounts under the Term Facility were repaid as a result of the execution of the 2023 Repricing Amendment.</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as of the 2023 Repricing Amendment, the interest rate per annum for the Initial Term Loans is based on either:</w:t>
      </w:r>
    </w:p>
    <w:p>
      <w:pPr>
        <w:spacing w:after="0" w:line="117" w:lineRule="exact"/>
        <w:rPr>
          <w:sz w:val="20"/>
          <w:szCs w:val="20"/>
          <w:color w:val="auto"/>
        </w:rPr>
      </w:pPr>
    </w:p>
    <w:p>
      <w:pPr>
        <w:jc w:val="both"/>
        <w:ind w:left="660" w:hanging="328"/>
        <w:spacing w:after="0" w:line="263" w:lineRule="auto"/>
        <w:tabs>
          <w:tab w:leader="none" w:pos="6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ectPr>
          <w:pgSz w:w="11900" w:h="16838" w:orient="portrait"/>
          <w:cols w:equalWidth="0" w:num="1">
            <w:col w:w="11240"/>
          </w:cols>
          <w:pgMar w:left="320" w:top="688" w:right="3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1" w:name="page42"/>
    <w:bookmarkEnd w:id="41"/>
    <w:p>
      <w:pPr>
        <w:jc w:val="both"/>
        <w:ind w:firstLine="204"/>
        <w:spacing w:after="0" w:line="277" w:lineRule="auto"/>
        <w:rPr>
          <w:sz w:val="20"/>
          <w:szCs w:val="20"/>
          <w:color w:val="auto"/>
        </w:rPr>
      </w:pPr>
      <w:r>
        <w:rPr>
          <w:rFonts w:ascii="Arial" w:cs="Arial" w:eastAsia="Arial" w:hAnsi="Arial"/>
          <w:sz w:val="18"/>
          <w:szCs w:val="18"/>
          <w:color w:val="auto"/>
        </w:rPr>
        <w:t>In connection with the closing of the 2023 Repricing Amendment, we expensed $2.4 million primarily for third-party fees and capitalized an additional $2.7 million primarily for the payment of upfront lender fees (original issue discount).</w:t>
      </w:r>
    </w:p>
    <w:p>
      <w:pPr>
        <w:spacing w:after="0" w:line="197" w:lineRule="exact"/>
        <w:rPr>
          <w:sz w:val="20"/>
          <w:szCs w:val="20"/>
          <w:color w:val="auto"/>
        </w:rPr>
      </w:pPr>
    </w:p>
    <w:p>
      <w:pPr>
        <w:jc w:val="both"/>
        <w:ind w:firstLine="236"/>
        <w:spacing w:after="0" w:line="273" w:lineRule="auto"/>
        <w:rPr>
          <w:sz w:val="20"/>
          <w:szCs w:val="20"/>
          <w:color w:val="auto"/>
        </w:rPr>
      </w:pPr>
      <w:r>
        <w:rPr>
          <w:rFonts w:ascii="Arial" w:cs="Arial" w:eastAsia="Arial" w:hAnsi="Arial"/>
          <w:sz w:val="17"/>
          <w:szCs w:val="17"/>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5" w:lineRule="exact"/>
        <w:rPr>
          <w:sz w:val="20"/>
          <w:szCs w:val="20"/>
          <w:color w:val="auto"/>
        </w:rPr>
      </w:pPr>
    </w:p>
    <w:p>
      <w:pPr>
        <w:jc w:val="both"/>
        <w:ind w:firstLine="199"/>
        <w:spacing w:after="0" w:line="272"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August 26, 2023 and August 27, 2022, respectively.</w:t>
      </w:r>
    </w:p>
    <w:p>
      <w:pPr>
        <w:spacing w:after="0" w:line="204"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auto"/>
        </w:rPr>
        <w:t>As of August 26, 2023, the outstanding balance of the Term Facility was $285.0 million. We are not required to make principal payments on the Term Facility over the twelve months following the period ended August 26, 2023. The outstanding balance of the Term Facility is due upon its maturity in March 2027. As of August 26, 2023, there were no amounts drawn against the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On October 21, 2022, we announced that our Board of Directors had approved the addition of $50.0 million to our stock repurchase program, resulting in authorized stock repurchases of up to an aggregate of $150.0 million. During the fifty-two weeks ended August 26, 2023, we repurchased 546,346 shares of common stock for $16.4 million, averaging a purchase price per share of $30.11. During the fifty-two weeks ended August 27, 2022, we repurchased 1,720,520 shares of common stock for $59.9 million, averaging a purchase price per share of $34.79. We did not repurchase any shares of common stock during the fifty-two weeks ended August 28, 2021.</w:t>
      </w:r>
    </w:p>
    <w:p>
      <w:pPr>
        <w:spacing w:after="0" w:line="215" w:lineRule="exact"/>
        <w:rPr>
          <w:sz w:val="20"/>
          <w:szCs w:val="20"/>
          <w:color w:val="auto"/>
        </w:rPr>
      </w:pPr>
    </w:p>
    <w:p>
      <w:pPr>
        <w:jc w:val="both"/>
        <w:ind w:right="20" w:firstLine="227"/>
        <w:spacing w:after="0" w:line="263" w:lineRule="auto"/>
        <w:rPr>
          <w:sz w:val="20"/>
          <w:szCs w:val="20"/>
          <w:color w:val="auto"/>
        </w:rPr>
      </w:pPr>
      <w:r>
        <w:rPr>
          <w:rFonts w:ascii="Arial" w:cs="Arial" w:eastAsia="Arial" w:hAnsi="Arial"/>
          <w:sz w:val="18"/>
          <w:szCs w:val="18"/>
          <w:color w:val="auto"/>
        </w:rPr>
        <w:t>As of August 26, 2023, approximately $71.5 million remained available for repurchases under our $150.0 million stock repurchase program. Refer to Note 11, Stockholders’ Equity of the Consolidated Financial Statements included in Item 8 of this Report for additional information related to our stock repurchase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ind w:firstLine="236"/>
        <w:spacing w:after="0" w:line="263" w:lineRule="auto"/>
        <w:rPr>
          <w:sz w:val="20"/>
          <w:szCs w:val="20"/>
          <w:color w:val="auto"/>
        </w:rPr>
      </w:pPr>
      <w:r>
        <w:rPr>
          <w:rFonts w:ascii="Arial" w:cs="Arial" w:eastAsia="Arial" w:hAnsi="Arial"/>
          <w:sz w:val="18"/>
          <w:szCs w:val="18"/>
          <w:color w:val="auto"/>
        </w:rPr>
        <w:t>The following table sets forth the major sources and uses of cash for the fifty-two weeks ended August 26, 2023 and August 27, 2022. A discussion regarding the major sources and uses of cash for the fifty-two weeks ended August 28, 2021 can be found under Item 7 of our Annual Report on Form 10-K for the fiscal year ended August 27, 2022, filed with the SEC on October 21, 2022.</w:t>
      </w:r>
    </w:p>
    <w:p>
      <w:pPr>
        <w:spacing w:after="0" w:line="283" w:lineRule="exact"/>
        <w:rPr>
          <w:sz w:val="20"/>
          <w:szCs w:val="20"/>
          <w:color w:val="auto"/>
        </w:rPr>
      </w:pPr>
    </w:p>
    <w:tbl>
      <w:tblPr>
        <w:tblLayout w:type="fixed"/>
        <w:tblInd w:w="1420"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w w:val="92"/>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August 26, 2023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August 27, 2022</w:t>
            </w:r>
          </w:p>
        </w:tc>
      </w:tr>
      <w:tr>
        <w:trPr>
          <w:trHeight w:val="25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171,117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110,639</w:t>
            </w:r>
          </w:p>
        </w:tc>
      </w:tr>
      <w:tr>
        <w:trPr>
          <w:trHeight w:val="26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(12,188)</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(8,156)</w:t>
            </w:r>
          </w:p>
        </w:tc>
      </w:tr>
      <w:tr>
        <w:trPr>
          <w:trHeight w:val="27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(138,532)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jc w:val="both"/>
        <w:ind w:firstLine="220"/>
        <w:spacing w:after="0" w:line="25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net cash provided by operating activities increased $60.5 million to $171.1 million for the fifty-two weeks ended August 26,</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$110.6 million for the fifty-two weeks ended August 27, 2022. Changes in operating activity cash was primarily attributable to an improvement in working capital, comprised of changes in accounts receivable, net, inventories, prepaid expenses, accounts payable, and accrued expenses and other current liabilities, which are driven by the timing of payments and receipts and seasonal building of inventory. Changes in working capital consumed cash of $21.2 million, an improvement of $42.6 million, in the fifty-two weeks ended August 26, 2023 compared to $63.8 million of cash consumed in the fifty-two weeks ended August 27, 2022. Additionally, cash paid for interest was $25.5 million in the fifty-two weeks ended August 26, 2023, which was a increase of $6.3 million as compared to the $19.2 million paid for interest in the fifty-two weeks ended August 27, 2022. This cash consumption offset income from operations, which increased by $2.1 million to $204.9 million for the fifty-two weeks ended August 26, 2023 as compared to $202.8 million for the fifty-two weeks ended August 27, 2022, primarily attributable to net sales growth in North America. In addition, cash paid for taxes decreased $21.8 million to $27.4 million for the fifty-two weeks ended August 26, 2023 as compared to $49.2 million for the fifty-two weeks ended August 27, 2022.</w:t>
      </w:r>
    </w:p>
    <w:p>
      <w:pPr>
        <w:spacing w:after="0" w:line="219" w:lineRule="exact"/>
        <w:rPr>
          <w:sz w:val="20"/>
          <w:szCs w:val="20"/>
          <w:color w:val="auto"/>
        </w:rPr>
      </w:pPr>
    </w:p>
    <w:p>
      <w:pPr>
        <w:jc w:val="both"/>
        <w:ind w:firstLine="193"/>
        <w:spacing w:after="0" w:line="30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net cash used in investing activities was $12.2 million for the fifty-two weeks ended August 26, 2023 compared to $8.2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fifty-two weeks ended August 27, 2022. Our net cash used in investing activities for the fifty-two weeks ended August 26, 2023 primarily comprised $11.6 million of purchases of property and equipment. The $8.2 million of net cash used in investing activities for the fifty-two weeks ended August 27, 2022 primarily comprised the $5.2 million purchases of property and equipment and the issuance of a $2.4 million note receivable.</w:t>
      </w:r>
    </w:p>
    <w:p>
      <w:pPr>
        <w:spacing w:after="0" w:line="184"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net cash used in financing activities was $138.5 million for the fifty-two weeks ended August 26, 2023 compared to $110.0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fifty-two weeks ended August 27, 2022. Net cash used in financing activities for the fifty-two weeks ended August 26, 2023 primarily consisted of $121.5 million in principal payments on the Term Facility and $16.4 million in repurchases in common stock. Net cash used in financing activities for the fifty-two weeks ended August 27, 2022 primarily consisted of $50.0 million in principal payments on the Term Facility and $59.9 million in repurchases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196"/>
        <w:spacing w:after="0" w:line="253"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U.S. While the majority of our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2, Summary of Significant Accounting Policies, of our Consolidated Financial Statements in this filing; however, the following discussion pertains to accounting policies we believe are most critical to the portrayal of its financial condition and results of operations and that require significant, difficult, subjective or complex judgments. Other companies in similar businesses may use different estimation policies and methodologies, which may affect the comparability of our financial condition, results of operations and cash flows to those of other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We recognize revenue when performance obligations under the terms of a contract with our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pacing w:after="0" w:line="214" w:lineRule="exact"/>
        <w:rPr>
          <w:sz w:val="20"/>
          <w:szCs w:val="20"/>
          <w:color w:val="auto"/>
        </w:rPr>
      </w:pPr>
    </w:p>
    <w:p>
      <w:pPr>
        <w:jc w:val="both"/>
        <w:ind w:firstLine="234"/>
        <w:spacing w:after="0" w:line="270" w:lineRule="auto"/>
        <w:rPr>
          <w:sz w:val="20"/>
          <w:szCs w:val="20"/>
          <w:color w:val="auto"/>
        </w:rPr>
      </w:pPr>
      <w:r>
        <w:rPr>
          <w:rFonts w:ascii="Arial" w:cs="Arial" w:eastAsia="Arial" w:hAnsi="Arial"/>
          <w:sz w:val="17"/>
          <w:szCs w:val="17"/>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IRI,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makes revisions as necessary. Uncertainties related to the estimate of variable consideration are resolved in a short time frame and do not require any additional constraint on variable consideration. Adjustments to variable consideration have historically been insignificant.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right="20" w:firstLine="272"/>
        <w:spacing w:after="0" w:line="277" w:lineRule="auto"/>
        <w:rPr>
          <w:sz w:val="20"/>
          <w:szCs w:val="20"/>
          <w:color w:val="auto"/>
        </w:rPr>
      </w:pPr>
      <w:r>
        <w:rPr>
          <w:rFonts w:ascii="Arial" w:cs="Arial" w:eastAsia="Arial" w:hAnsi="Arial"/>
          <w:sz w:val="18"/>
          <w:szCs w:val="18"/>
          <w:color w:val="auto"/>
        </w:rPr>
        <w:t>Although some payment terms may be longer, the majority of our payment terms are less than 60 days. As a result, we do not have any material significant payments terms as payment is received shortly after the time of sale.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While our revenue recognition does not involve significant judgment, it represents a key accounting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Promotions</w:t>
      </w:r>
    </w:p>
    <w:p>
      <w:pPr>
        <w:spacing w:after="0" w:line="252" w:lineRule="exact"/>
        <w:rPr>
          <w:sz w:val="20"/>
          <w:szCs w:val="20"/>
          <w:color w:val="auto"/>
        </w:rPr>
      </w:pPr>
    </w:p>
    <w:p>
      <w:pPr>
        <w:jc w:val="both"/>
        <w:ind w:firstLine="281"/>
        <w:spacing w:after="0" w:line="273" w:lineRule="auto"/>
        <w:rPr>
          <w:sz w:val="20"/>
          <w:szCs w:val="20"/>
          <w:color w:val="auto"/>
        </w:rPr>
      </w:pPr>
      <w:r>
        <w:rPr>
          <w:rFonts w:ascii="Arial" w:cs="Arial" w:eastAsia="Arial" w:hAnsi="Arial"/>
          <w:sz w:val="17"/>
          <w:szCs w:val="17"/>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performance of similar trade promotional activities, market data from IRI, and the Company’s best estimates of current activity. Our consolidated financial statements could be materially affected if the actual promotion rates are different from the estimated rates.</w:t>
      </w:r>
    </w:p>
    <w:p>
      <w:pPr>
        <w:spacing w:after="0" w:line="205" w:lineRule="exact"/>
        <w:rPr>
          <w:sz w:val="20"/>
          <w:szCs w:val="20"/>
          <w:color w:val="auto"/>
        </w:rPr>
      </w:pPr>
    </w:p>
    <w:p>
      <w:pPr>
        <w:jc w:val="both"/>
        <w:ind w:firstLine="192"/>
        <w:spacing w:after="0" w:line="263" w:lineRule="auto"/>
        <w:rPr>
          <w:sz w:val="20"/>
          <w:szCs w:val="20"/>
          <w:color w:val="auto"/>
        </w:rPr>
      </w:pPr>
      <w:r>
        <w:rPr>
          <w:rFonts w:ascii="Arial" w:cs="Arial" w:eastAsia="Arial" w:hAnsi="Arial"/>
          <w:sz w:val="18"/>
          <w:szCs w:val="18"/>
          <w:color w:val="auto"/>
        </w:rPr>
        <w:t>As of August 26, 2023 and August 27, 2022, the allowance for trade promotions was $28.8 million and $23.9 million, respectively. Differences between estimated expense and actual redemptions are recognized as a change in management estimate in a subsequent period. These differences have historically been insignificant.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ind w:firstLine="211"/>
        <w:spacing w:after="0" w:line="259" w:lineRule="auto"/>
        <w:rPr>
          <w:sz w:val="20"/>
          <w:szCs w:val="20"/>
          <w:color w:val="auto"/>
        </w:rPr>
      </w:pPr>
      <w:r>
        <w:rPr>
          <w:rFonts w:ascii="Arial" w:cs="Arial" w:eastAsia="Arial" w:hAnsi="Arial"/>
          <w:sz w:val="18"/>
          <w:szCs w:val="18"/>
          <w:color w:val="auto"/>
        </w:rPr>
        <w:t>Goodwill and indefinite-lived intangible assets, comprising our brands and trademarks, are not amortized, but instead are tested for impairment at least annually, or more frequently if indicators of impairment exist. We conduct our annual impairment tests at the beginning of the fourth fiscal quarter. We perform our goodwill impairment assessment for each reporting unit that has goodwill. The process of evaluating goodwill and indefinite-lived intangibles for impairment is subjective and requires significant judgment at many points during the analysis.</w:t>
      </w:r>
    </w:p>
    <w:p>
      <w:pPr>
        <w:spacing w:after="0" w:line="214"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For each of the fifty-two weeks ended August 26, 2023 and August 27, 2022, we determined our operations are organized into one, consolidated operating segment and reportable segment based on the following:</w:t>
      </w:r>
    </w:p>
    <w:p>
      <w:pPr>
        <w:spacing w:after="0" w:line="62"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Atkins® and Quest® brands are closely aligned in the nature of our production processes, the brands’ product offerings, and the methods used to distribute our products to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organizational structure is designed to support entity-wide business functions across brands, products, customers, and geographic regions;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chief operating decision maker reviews operating results and forecasts at the consolidated level.</w:t>
      </w:r>
    </w:p>
    <w:p>
      <w:pPr>
        <w:spacing w:after="0" w:line="252" w:lineRule="exact"/>
        <w:rPr>
          <w:sz w:val="20"/>
          <w:szCs w:val="20"/>
          <w:color w:val="auto"/>
        </w:rPr>
      </w:pPr>
    </w:p>
    <w:p>
      <w:pPr>
        <w:jc w:val="both"/>
        <w:ind w:firstLine="258"/>
        <w:spacing w:after="0" w:line="277" w:lineRule="auto"/>
        <w:rPr>
          <w:sz w:val="20"/>
          <w:szCs w:val="20"/>
          <w:color w:val="auto"/>
        </w:rPr>
      </w:pPr>
      <w:r>
        <w:rPr>
          <w:rFonts w:ascii="Arial" w:cs="Arial" w:eastAsia="Arial" w:hAnsi="Arial"/>
          <w:sz w:val="18"/>
          <w:szCs w:val="18"/>
          <w:color w:val="auto"/>
        </w:rPr>
        <w:t>Previously, during the fifty-two weeks ended August 28, 2021, we had two operating segments, Atkins and Quest, which were aggregated into one reporting segment due to similar financial, economic and operating characteristics.</w:t>
      </w:r>
    </w:p>
    <w:p>
      <w:pPr>
        <w:spacing w:after="0" w:line="197" w:lineRule="exact"/>
        <w:rPr>
          <w:sz w:val="20"/>
          <w:szCs w:val="20"/>
          <w:color w:val="auto"/>
        </w:rPr>
      </w:pPr>
    </w:p>
    <w:p>
      <w:pPr>
        <w:jc w:val="both"/>
        <w:ind w:firstLine="217"/>
        <w:spacing w:after="0" w:line="269" w:lineRule="auto"/>
        <w:rPr>
          <w:sz w:val="20"/>
          <w:szCs w:val="20"/>
          <w:color w:val="auto"/>
        </w:rPr>
      </w:pPr>
      <w:r>
        <w:rPr>
          <w:rFonts w:ascii="Arial" w:cs="Arial" w:eastAsia="Arial" w:hAnsi="Arial"/>
          <w:sz w:val="17"/>
          <w:szCs w:val="17"/>
          <w:color w:val="auto"/>
        </w:rPr>
        <w:t>We assess goodwill and indefinite-lived intangible assets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 considerable management judgment regarding matters that are uncertain and susceptible to change. Impairment is indicated if the estimated fair value of the reporting unit or indefinite-lived intangible asset is less than the carrying amount, and an impairment charge is recognized for the differential.</w:t>
      </w:r>
    </w:p>
    <w:p>
      <w:pPr>
        <w:spacing w:after="0" w:line="212" w:lineRule="exact"/>
        <w:rPr>
          <w:sz w:val="20"/>
          <w:szCs w:val="20"/>
          <w:color w:val="auto"/>
        </w:rPr>
      </w:pPr>
    </w:p>
    <w:p>
      <w:pPr>
        <w:jc w:val="both"/>
        <w:ind w:firstLine="342"/>
        <w:spacing w:after="0" w:line="275" w:lineRule="auto"/>
        <w:rPr>
          <w:sz w:val="20"/>
          <w:szCs w:val="20"/>
          <w:color w:val="auto"/>
        </w:rPr>
      </w:pPr>
      <w:r>
        <w:rPr>
          <w:rFonts w:ascii="Arial" w:cs="Arial" w:eastAsia="Arial" w:hAnsi="Arial"/>
          <w:sz w:val="17"/>
          <w:szCs w:val="17"/>
          <w:color w:val="auto"/>
        </w:rPr>
        <w:t>For fiscal year 2023, 2022 and 2021, we performed qualitative assessments of goodwill and indefinite-lived intangible assets. The qualitative assessments did not identify indicators of impairment, and it was determined that it was more likely than not each reporting unit and indefinite-lived intangible had fair values in excess of their carrying values. Accordingly, no further impairment assessment was necessary, and no impairment charges related to goodwill or indefinite-lived intangibles were recognized in the fifty-two weeks ended August 26, 2023, August 27, 2022, or August 28, 2021. Additionally, we determined there was not a material risk of impairments as of the date of the most recent assessment.</w:t>
      </w:r>
    </w:p>
    <w:p>
      <w:pPr>
        <w:spacing w:after="0" w:line="203" w:lineRule="exact"/>
        <w:rPr>
          <w:sz w:val="20"/>
          <w:szCs w:val="20"/>
          <w:color w:val="auto"/>
        </w:rPr>
      </w:pPr>
    </w:p>
    <w:p>
      <w:pPr>
        <w:jc w:val="both"/>
        <w:ind w:firstLine="258"/>
        <w:spacing w:after="0" w:line="277" w:lineRule="auto"/>
        <w:rPr>
          <w:sz w:val="20"/>
          <w:szCs w:val="20"/>
          <w:color w:val="auto"/>
        </w:rPr>
      </w:pPr>
      <w:r>
        <w:rPr>
          <w:rFonts w:ascii="Arial" w:cs="Arial" w:eastAsia="Arial" w:hAnsi="Arial"/>
          <w:sz w:val="18"/>
          <w:szCs w:val="18"/>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w:t>
      </w:r>
    </w:p>
    <w:p>
      <w:pPr>
        <w:sectPr>
          <w:pgSz w:w="11900" w:h="16838" w:orient="portrait"/>
          <w:cols w:equalWidth="0" w:num="1">
            <w:col w:w="11240"/>
          </w:cols>
          <w:pgMar w:left="320" w:top="692"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amortized on a straight-line basis over their estimated useful lives. Finite-lived intangible assets are tested for impairment when events or circumstances indicated that the carrying amount may not be recoverable. For the fifty-two weeks ended August 26, 2023, August 27, 2022 and August 28, 2021, we did not identify indicators of impairment related to our finite-lived intangible assets, and as such there were no impairments recorded related to finite-lived intangible assets. We also determined that there was no material risk of intangible impairments related to our finite-lived intangible assets as of the date of the most recent assessments.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207"/>
        <w:spacing w:after="0" w:line="277" w:lineRule="auto"/>
        <w:rPr>
          <w:sz w:val="20"/>
          <w:szCs w:val="20"/>
          <w:color w:val="auto"/>
        </w:rPr>
      </w:pPr>
      <w:r>
        <w:rPr>
          <w:rFonts w:ascii="Arial" w:cs="Arial" w:eastAsia="Arial" w:hAnsi="Arial"/>
          <w:sz w:val="18"/>
          <w:szCs w:val="18"/>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97" w:lineRule="exact"/>
        <w:rPr>
          <w:sz w:val="20"/>
          <w:szCs w:val="20"/>
          <w:color w:val="auto"/>
        </w:rPr>
      </w:pPr>
    </w:p>
    <w:p>
      <w:pPr>
        <w:jc w:val="both"/>
        <w:ind w:firstLine="281"/>
        <w:spacing w:after="0" w:line="273" w:lineRule="auto"/>
        <w:rPr>
          <w:sz w:val="20"/>
          <w:szCs w:val="20"/>
          <w:color w:val="auto"/>
        </w:rPr>
      </w:pPr>
      <w:r>
        <w:rPr>
          <w:rFonts w:ascii="Arial" w:cs="Arial" w:eastAsia="Arial" w:hAnsi="Arial"/>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2" w:lineRule="exact"/>
        <w:rPr>
          <w:sz w:val="20"/>
          <w:szCs w:val="20"/>
          <w:color w:val="auto"/>
        </w:rPr>
      </w:pPr>
    </w:p>
    <w:p>
      <w:pPr>
        <w:jc w:val="both"/>
        <w:ind w:firstLine="297"/>
        <w:spacing w:after="0" w:line="275" w:lineRule="auto"/>
        <w:rPr>
          <w:sz w:val="20"/>
          <w:szCs w:val="20"/>
          <w:color w:val="auto"/>
        </w:rPr>
      </w:pPr>
      <w:r>
        <w:rPr>
          <w:rFonts w:ascii="Arial" w:cs="Arial" w:eastAsia="Arial" w:hAnsi="Arial"/>
          <w:sz w:val="17"/>
          <w:szCs w:val="17"/>
          <w:color w:val="auto"/>
        </w:rPr>
        <w:t>During the fifty-two weeks ended August 27, 2022 and August 28, 2021, we had outstanding Private Warrants that allowed holders to purchase 6,700,000 shares of our common stock. Such Private Warrants were held by Conyers Park Sponsor, LLC (“Conyers Park”), a related party. Each whole warrant entitled the holder to purchase one share of our common stock at a price of $11.50 per share. On January 7, 2022, Conyers Park elected to exercise the Private Warrants in full on a cashless basis, resulting in a net issuance of 4,830,761 shares of our common stock. As a result of the cashless exercise on January 7, 2022, there were no outstanding Private Warrants as of August 26, 2023 or August 27, 2022.</w:t>
      </w:r>
    </w:p>
    <w:p>
      <w:pPr>
        <w:spacing w:after="0" w:line="203" w:lineRule="exact"/>
        <w:rPr>
          <w:sz w:val="20"/>
          <w:szCs w:val="20"/>
          <w:color w:val="auto"/>
        </w:rPr>
      </w:pPr>
    </w:p>
    <w:p>
      <w:pPr>
        <w:jc w:val="both"/>
        <w:ind w:firstLine="184"/>
        <w:spacing w:after="0" w:line="279" w:lineRule="auto"/>
        <w:rPr>
          <w:sz w:val="20"/>
          <w:szCs w:val="20"/>
          <w:color w:val="auto"/>
        </w:rPr>
      </w:pPr>
      <w:r>
        <w:rPr>
          <w:rFonts w:ascii="Arial" w:cs="Arial" w:eastAsia="Arial" w:hAnsi="Arial"/>
          <w:sz w:val="17"/>
          <w:szCs w:val="17"/>
          <w:color w:val="auto"/>
        </w:rPr>
        <w:t>During the reporting periods the Private Warrants were outstanding, we accounted for our Private Warrants as a derivative warrant liability in accordance with ASC Topic 815-40, Derivatives and Hedging: Contracts in Entity’s Own Equity. Accordingly, we recognized the Private Warrants as a liability at fair value and adjusted the Private Warrants to fair value at each reporting period through other income. We utilized the Black-Scholes option-pricing valuation model (“Black-Scholes model”) to estimate the fair value of the Private Warrants at each reporting date.</w:t>
      </w:r>
    </w:p>
    <w:p>
      <w:pPr>
        <w:spacing w:after="0" w:line="198" w:lineRule="exact"/>
        <w:rPr>
          <w:sz w:val="20"/>
          <w:szCs w:val="20"/>
          <w:color w:val="auto"/>
        </w:rPr>
      </w:pPr>
    </w:p>
    <w:p>
      <w:pPr>
        <w:jc w:val="both"/>
        <w:ind w:firstLine="337"/>
        <w:spacing w:after="0" w:line="254" w:lineRule="auto"/>
        <w:rPr>
          <w:sz w:val="20"/>
          <w:szCs w:val="20"/>
          <w:color w:val="auto"/>
        </w:rPr>
      </w:pPr>
      <w:r>
        <w:rPr>
          <w:rFonts w:ascii="Arial" w:cs="Arial" w:eastAsia="Arial" w:hAnsi="Arial"/>
          <w:sz w:val="18"/>
          <w:szCs w:val="18"/>
          <w:color w:val="auto"/>
        </w:rPr>
        <w:t>The application of the Black-Scholes model utilizes significant assumptions, including expected volatility, the determination of which requires significant judgment. In order to determine the most accurate measure of this volatility, we measured expected volatility based on several inputs, including considering a peer group of publicly traded companies, Simply Good Foods’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 The expected volatility was historically a key assumption or input to the valuation of the Private Warrants, however changes in the expected volatility assumption had less of an effect on the Black-Scholes model valuation as the Private Warrants approached their expiration.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184"/>
        <w:spacing w:after="0" w:line="277" w:lineRule="auto"/>
        <w:rPr>
          <w:sz w:val="20"/>
          <w:szCs w:val="20"/>
          <w:color w:val="auto"/>
        </w:rPr>
      </w:pPr>
      <w:r>
        <w:rPr>
          <w:rFonts w:ascii="Arial" w:cs="Arial" w:eastAsia="Arial" w:hAnsi="Arial"/>
          <w:sz w:val="18"/>
          <w:szCs w:val="18"/>
          <w:color w:val="auto"/>
        </w:rPr>
        <w:t>Refer to Note 2, Summary of Significant Accounting Policies, of the Consolidated Financial Statements included in Item 8 of this Report for information regarding recently issued accounting standards.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firstLine="203"/>
        <w:spacing w:after="0" w:line="277" w:lineRule="auto"/>
        <w:rPr>
          <w:sz w:val="20"/>
          <w:szCs w:val="20"/>
          <w:color w:val="auto"/>
        </w:rPr>
      </w:pPr>
      <w:r>
        <w:rPr>
          <w:rFonts w:ascii="Arial" w:cs="Arial" w:eastAsia="Arial" w:hAnsi="Arial"/>
          <w:sz w:val="18"/>
          <w:szCs w:val="18"/>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97" w:lineRule="exact"/>
        <w:rPr>
          <w:sz w:val="20"/>
          <w:szCs w:val="20"/>
          <w:color w:val="auto"/>
        </w:rPr>
      </w:pPr>
    </w:p>
    <w:p>
      <w:pPr>
        <w:jc w:val="both"/>
        <w:ind w:firstLine="180"/>
        <w:spacing w:after="0" w:line="288" w:lineRule="auto"/>
        <w:rPr>
          <w:sz w:val="20"/>
          <w:szCs w:val="20"/>
          <w:color w:val="auto"/>
        </w:rPr>
      </w:pPr>
      <w:r>
        <w:rPr>
          <w:rFonts w:ascii="Arial" w:cs="Arial" w:eastAsia="Arial" w:hAnsi="Arial"/>
          <w:sz w:val="16"/>
          <w:szCs w:val="16"/>
          <w:b w:val="1"/>
          <w:bCs w:val="1"/>
          <w:i w:val="1"/>
          <w:iCs w:val="1"/>
          <w:color w:val="auto"/>
        </w:rPr>
        <w:t xml:space="preserve">Supply chain costs and inflation. </w:t>
      </w:r>
      <w:r>
        <w:rPr>
          <w:rFonts w:ascii="Arial" w:cs="Arial" w:eastAsia="Arial" w:hAnsi="Arial"/>
          <w:sz w:val="16"/>
          <w:szCs w:val="16"/>
          <w:color w:val="auto"/>
        </w:rPr>
        <w:t>We are exposed to risks associated with changes in the costs of our raw materials as well as changes to our supply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costs. During the fifty-two weeks ended August 26, 2023, our gross margins and profitability were negatively affected by higher raw material, packaging, freight and logistics costs, and supply chain challenges, including supply chain disruptions resulting from labor shortages as well as disruptions in ingredients, caused, in part, by the uncertain economic environment, and macroeconomic and geopolitical events and trends. We expect these cost pressures and supply chain challenges to continue, but improve, during fiscal year 2024. In addition, current or future governmental policies may increase the risk of inflation, which could further increase the costs of ingredients, packaging and finished goods for our business. As a result, we instituted price increases effective in the first and fourth quarters of fiscal year 2022. Management believes these price increases and additional cost savings initiatives will enable us to continue to invest in projects that drive growth. However, there can be no assurance that the price increases will fully offset the effects of higher raw material, packaging, supply and distribution costs on our results of operations and financial condition. Refer to Item 1A, Risk Factors, for additional discussion of our risks associated with the costs of our raw materials, our supply chain, and inflation.</w:t>
      </w:r>
    </w:p>
    <w:p>
      <w:pPr>
        <w:spacing w:after="0" w:line="195" w:lineRule="exact"/>
        <w:rPr>
          <w:sz w:val="20"/>
          <w:szCs w:val="20"/>
          <w:color w:val="auto"/>
        </w:rPr>
      </w:pPr>
    </w:p>
    <w:p>
      <w:pPr>
        <w:jc w:val="both"/>
        <w:ind w:firstLine="220"/>
        <w:spacing w:after="0" w:line="293"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We are subject to interest rate risk in connection with borrowing based on a variable interest rate. Derivative financial instruments,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interest rate swap agreements and interest rate cap agreements,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 of August 26, 2023, the outstanding balance of the Term Facility was $285 million. Based on the amount outstanding of the Term Facility at the end of fiscal year 2023, a 1% increase in interest rates would increase our annual interest expense by approximately $2.9 million.</w:t>
      </w:r>
    </w:p>
    <w:p>
      <w:pPr>
        <w:spacing w:after="0" w:line="191"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We are exposed to changes in currency rates as a result of investments in foreign operations and revenue generated in currencies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U.S. Dollar. Revenue and profit generated by international operations will increase or decrease compared to prior periods as a result of changes in foreign currency exchange rates. Historically, our foreign currency risk has primarily related to our operations in Canada, which were largely related to a brand we sold in September 2020. With this sale transaction, as well as the restructuring-related business activities in Europe, we have mitigated some of our risk of exposure to changes in foreign currency rates.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263"/>
        </w:trPr>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gridSpan w:val="9"/>
          </w:tcPr>
          <w:p>
            <w:pPr>
              <w:jc w:val="center"/>
              <w:ind w:right="2600"/>
              <w:spacing w:after="0"/>
              <w:rPr>
                <w:sz w:val="20"/>
                <w:szCs w:val="20"/>
                <w:color w:val="auto"/>
              </w:rPr>
            </w:pPr>
            <w:r>
              <w:rPr>
                <w:rFonts w:ascii="Arial" w:cs="Arial" w:eastAsia="Arial" w:hAnsi="Arial"/>
                <w:sz w:val="16"/>
                <w:szCs w:val="16"/>
                <w:color w:val="0000FF"/>
                <w:w w:val="88"/>
              </w:rPr>
              <w:t>Index to the Financial Statements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14"/>
          </w:tcPr>
          <w:p>
            <w:pPr>
              <w:spacing w:after="0"/>
              <w:rPr>
                <w:sz w:val="20"/>
                <w:szCs w:val="20"/>
                <w:color w:val="auto"/>
              </w:rPr>
            </w:pPr>
            <w:r>
              <w:rPr>
                <w:rFonts w:ascii="Arial" w:cs="Arial" w:eastAsia="Arial" w:hAnsi="Arial"/>
                <w:sz w:val="16"/>
                <w:szCs w:val="16"/>
                <w:color w:val="0000FF"/>
                <w:w w:val="92"/>
              </w:rPr>
              <w:t>Report of Independent Registered Public Accounting Firm</w:t>
            </w:r>
          </w:p>
        </w:tc>
        <w:tc>
          <w:tcPr>
            <w:tcW w:w="3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47</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7"/>
          </w:tcPr>
          <w:p>
            <w:pPr>
              <w:spacing w:after="0"/>
              <w:rPr>
                <w:sz w:val="20"/>
                <w:szCs w:val="20"/>
                <w:color w:val="auto"/>
              </w:rPr>
            </w:pPr>
            <w:r>
              <w:rPr>
                <w:rFonts w:ascii="Arial" w:cs="Arial" w:eastAsia="Arial" w:hAnsi="Arial"/>
                <w:sz w:val="16"/>
                <w:szCs w:val="16"/>
                <w:color w:val="0000FF"/>
                <w:w w:val="87"/>
              </w:rPr>
              <w:t>Consolidated Balance Sheets</w:t>
            </w:r>
          </w:p>
        </w:tc>
        <w:tc>
          <w:tcPr>
            <w:tcW w:w="1920" w:type="dxa"/>
            <w:vAlign w:val="bottom"/>
            <w:gridSpan w:val="7"/>
          </w:tcPr>
          <w:p>
            <w:pPr>
              <w:spacing w:after="0"/>
              <w:rPr>
                <w:sz w:val="20"/>
                <w:szCs w:val="20"/>
                <w:color w:val="auto"/>
              </w:rPr>
            </w:pPr>
          </w:p>
        </w:tc>
        <w:tc>
          <w:tcPr>
            <w:tcW w:w="3160" w:type="dxa"/>
            <w:vAlign w:val="bottom"/>
            <w:gridSpan w:val="4"/>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49</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60" w:type="dxa"/>
            <w:vAlign w:val="bottom"/>
            <w:gridSpan w:val="18"/>
          </w:tcPr>
          <w:p>
            <w:pPr>
              <w:spacing w:after="0"/>
              <w:rPr>
                <w:sz w:val="20"/>
                <w:szCs w:val="20"/>
                <w:color w:val="auto"/>
              </w:rPr>
            </w:pPr>
            <w:r>
              <w:rPr>
                <w:rFonts w:ascii="Arial" w:cs="Arial" w:eastAsia="Arial" w:hAnsi="Arial"/>
                <w:sz w:val="16"/>
                <w:szCs w:val="16"/>
                <w:color w:val="0000FF"/>
              </w:rPr>
              <w:t>Consolidated Statements of Income and Comprehensive Income</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50</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10"/>
          </w:tcPr>
          <w:p>
            <w:pPr>
              <w:spacing w:after="0"/>
              <w:rPr>
                <w:sz w:val="20"/>
                <w:szCs w:val="20"/>
                <w:color w:val="auto"/>
              </w:rPr>
            </w:pPr>
            <w:r>
              <w:rPr>
                <w:rFonts w:ascii="Arial" w:cs="Arial" w:eastAsia="Arial" w:hAnsi="Arial"/>
                <w:sz w:val="16"/>
                <w:szCs w:val="16"/>
                <w:color w:val="0000FF"/>
                <w:w w:val="89"/>
              </w:rPr>
              <w:t>Consolidated Statements of Cash Flows</w:t>
            </w:r>
          </w:p>
        </w:tc>
        <w:tc>
          <w:tcPr>
            <w:tcW w:w="1580" w:type="dxa"/>
            <w:vAlign w:val="bottom"/>
            <w:gridSpan w:val="5"/>
          </w:tcPr>
          <w:p>
            <w:pPr>
              <w:spacing w:after="0"/>
              <w:rPr>
                <w:sz w:val="21"/>
                <w:szCs w:val="21"/>
                <w:color w:val="auto"/>
              </w:rPr>
            </w:pPr>
          </w:p>
        </w:tc>
        <w:tc>
          <w:tcPr>
            <w:tcW w:w="280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51</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960" w:type="dxa"/>
            <w:vAlign w:val="bottom"/>
            <w:gridSpan w:val="18"/>
          </w:tcPr>
          <w:p>
            <w:pPr>
              <w:spacing w:after="0"/>
              <w:rPr>
                <w:sz w:val="20"/>
                <w:szCs w:val="20"/>
                <w:color w:val="auto"/>
              </w:rPr>
            </w:pPr>
            <w:r>
              <w:rPr>
                <w:rFonts w:ascii="Arial" w:cs="Arial" w:eastAsia="Arial" w:hAnsi="Arial"/>
                <w:sz w:val="16"/>
                <w:szCs w:val="16"/>
                <w:color w:val="0000FF"/>
              </w:rPr>
              <w:t>Consolidated Statements of Stockholders’ Equity</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53</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3"/>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1"/>
          </w:tcPr>
          <w:p>
            <w:pPr>
              <w:jc w:val="center"/>
              <w:ind w:right="2260"/>
              <w:spacing w:after="0"/>
              <w:rPr>
                <w:sz w:val="20"/>
                <w:szCs w:val="20"/>
                <w:color w:val="auto"/>
              </w:rPr>
            </w:pPr>
            <w:r>
              <w:rPr>
                <w:rFonts w:ascii="Arial" w:cs="Arial" w:eastAsia="Arial" w:hAnsi="Arial"/>
                <w:sz w:val="16"/>
                <w:szCs w:val="16"/>
                <w:color w:val="0000FF"/>
                <w:w w:val="90"/>
              </w:rPr>
              <w:t>Notes to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6"/>
                <w:szCs w:val="16"/>
                <w:color w:val="0000FF"/>
                <w:w w:val="89"/>
              </w:rPr>
              <w:t>Note 1.</w:t>
            </w:r>
          </w:p>
        </w:tc>
        <w:tc>
          <w:tcPr>
            <w:tcW w:w="500" w:type="dxa"/>
            <w:vAlign w:val="bottom"/>
            <w:gridSpan w:val="2"/>
          </w:tcPr>
          <w:p>
            <w:pPr>
              <w:spacing w:after="0"/>
              <w:rPr>
                <w:sz w:val="24"/>
                <w:szCs w:val="24"/>
                <w:color w:val="auto"/>
              </w:rPr>
            </w:pPr>
          </w:p>
        </w:tc>
        <w:tc>
          <w:tcPr>
            <w:tcW w:w="6960" w:type="dxa"/>
            <w:vAlign w:val="bottom"/>
            <w:gridSpan w:val="18"/>
          </w:tcPr>
          <w:p>
            <w:pPr>
              <w:spacing w:after="0"/>
              <w:rPr>
                <w:sz w:val="20"/>
                <w:szCs w:val="20"/>
                <w:color w:val="auto"/>
              </w:rPr>
            </w:pPr>
            <w:r>
              <w:rPr>
                <w:rFonts w:ascii="Arial" w:cs="Arial" w:eastAsia="Arial" w:hAnsi="Arial"/>
                <w:sz w:val="16"/>
                <w:szCs w:val="16"/>
                <w:color w:val="0000FF"/>
              </w:rPr>
              <w:t>Nature of Operations and Principles of Consolidation</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54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6"/>
                <w:szCs w:val="16"/>
                <w:color w:val="0000FF"/>
                <w:w w:val="89"/>
              </w:rPr>
              <w:t>Note 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13"/>
          </w:tcPr>
          <w:p>
            <w:pPr>
              <w:spacing w:after="0"/>
              <w:rPr>
                <w:sz w:val="20"/>
                <w:szCs w:val="20"/>
                <w:color w:val="auto"/>
              </w:rPr>
            </w:pPr>
            <w:r>
              <w:rPr>
                <w:rFonts w:ascii="Arial" w:cs="Arial" w:eastAsia="Arial" w:hAnsi="Arial"/>
                <w:sz w:val="16"/>
                <w:szCs w:val="16"/>
                <w:color w:val="0000FF"/>
              </w:rPr>
              <w:t>Summary of Significant Accounting Policies</w:t>
            </w:r>
          </w:p>
        </w:tc>
        <w:tc>
          <w:tcPr>
            <w:tcW w:w="3520" w:type="dxa"/>
            <w:vAlign w:val="bottom"/>
            <w:gridSpan w:val="5"/>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54</w:t>
            </w:r>
          </w:p>
        </w:tc>
      </w:tr>
      <w:tr>
        <w:trPr>
          <w:trHeight w:val="236"/>
        </w:trPr>
        <w:tc>
          <w:tcPr>
            <w:tcW w:w="480" w:type="dxa"/>
            <w:vAlign w:val="bottom"/>
            <w:tcBorders>
              <w:top w:val="single" w:sz="8" w:color="0000FF"/>
            </w:tcBorders>
          </w:tcPr>
          <w:p>
            <w:pPr>
              <w:spacing w:after="0"/>
              <w:rPr>
                <w:sz w:val="20"/>
                <w:szCs w:val="20"/>
                <w:color w:val="auto"/>
              </w:rPr>
            </w:pPr>
            <w:r>
              <w:rPr>
                <w:rFonts w:ascii="Arial" w:cs="Arial" w:eastAsia="Arial" w:hAnsi="Arial"/>
                <w:sz w:val="16"/>
                <w:szCs w:val="16"/>
                <w:color w:val="0000FF"/>
                <w:w w:val="89"/>
              </w:rPr>
              <w:t>Note 3.</w:t>
            </w:r>
          </w:p>
        </w:tc>
        <w:tc>
          <w:tcPr>
            <w:tcW w:w="8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w w:val="89"/>
              </w:rPr>
              <w:t>Property and Equipment, Net</w:t>
            </w:r>
          </w:p>
        </w:tc>
        <w:tc>
          <w:tcPr>
            <w:tcW w:w="1020" w:type="dxa"/>
            <w:vAlign w:val="bottom"/>
            <w:tcBorders>
              <w:top w:val="single" w:sz="8" w:color="0000FF"/>
            </w:tcBorders>
            <w:gridSpan w:val="4"/>
          </w:tcPr>
          <w:p>
            <w:pPr>
              <w:spacing w:after="0"/>
              <w:rPr>
                <w:sz w:val="20"/>
                <w:szCs w:val="20"/>
                <w:color w:val="auto"/>
              </w:rPr>
            </w:pPr>
          </w:p>
        </w:tc>
        <w:tc>
          <w:tcPr>
            <w:tcW w:w="4060" w:type="dxa"/>
            <w:vAlign w:val="bottom"/>
            <w:gridSpan w:val="7"/>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59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6"/>
                <w:szCs w:val="16"/>
                <w:color w:val="0000FF"/>
                <w:w w:val="89"/>
              </w:rPr>
              <w:t>Note 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7"/>
          </w:tcPr>
          <w:p>
            <w:pPr>
              <w:spacing w:after="0"/>
              <w:rPr>
                <w:sz w:val="20"/>
                <w:szCs w:val="20"/>
                <w:color w:val="auto"/>
              </w:rPr>
            </w:pPr>
            <w:r>
              <w:rPr>
                <w:rFonts w:ascii="Arial" w:cs="Arial" w:eastAsia="Arial" w:hAnsi="Arial"/>
                <w:sz w:val="16"/>
                <w:szCs w:val="16"/>
                <w:color w:val="0000FF"/>
              </w:rPr>
              <w:t>Goodwill and Intangibles</w:t>
            </w:r>
          </w:p>
        </w:tc>
        <w:tc>
          <w:tcPr>
            <w:tcW w:w="508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60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Arial" w:cs="Arial" w:eastAsia="Arial" w:hAnsi="Arial"/>
                <w:sz w:val="16"/>
                <w:szCs w:val="16"/>
                <w:color w:val="0000FF"/>
                <w:w w:val="89"/>
              </w:rPr>
              <w:t>Note 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12"/>
          </w:tcPr>
          <w:p>
            <w:pPr>
              <w:spacing w:after="0"/>
              <w:rPr>
                <w:sz w:val="20"/>
                <w:szCs w:val="20"/>
                <w:color w:val="auto"/>
              </w:rPr>
            </w:pPr>
            <w:r>
              <w:rPr>
                <w:rFonts w:ascii="Arial" w:cs="Arial" w:eastAsia="Arial" w:hAnsi="Arial"/>
                <w:sz w:val="16"/>
                <w:szCs w:val="16"/>
                <w:color w:val="0000FF"/>
                <w:w w:val="91"/>
              </w:rPr>
              <w:t>Accrued Expenses and Other Current Liabilities</w:t>
            </w:r>
          </w:p>
        </w:tc>
        <w:tc>
          <w:tcPr>
            <w:tcW w:w="3840" w:type="dxa"/>
            <w:vAlign w:val="bottom"/>
            <w:gridSpan w:val="6"/>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61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Arial" w:cs="Arial" w:eastAsia="Arial" w:hAnsi="Arial"/>
                <w:sz w:val="16"/>
                <w:szCs w:val="16"/>
                <w:color w:val="0000FF"/>
                <w:w w:val="89"/>
              </w:rPr>
              <w:t>Note 6.</w:t>
            </w:r>
          </w:p>
        </w:tc>
        <w:tc>
          <w:tcPr>
            <w:tcW w:w="500" w:type="dxa"/>
            <w:vAlign w:val="bottom"/>
            <w:gridSpan w:val="2"/>
          </w:tcPr>
          <w:p>
            <w:pPr>
              <w:spacing w:after="0"/>
              <w:rPr>
                <w:sz w:val="20"/>
                <w:szCs w:val="20"/>
                <w:color w:val="auto"/>
              </w:rPr>
            </w:pPr>
          </w:p>
        </w:tc>
        <w:tc>
          <w:tcPr>
            <w:tcW w:w="2260" w:type="dxa"/>
            <w:vAlign w:val="bottom"/>
            <w:gridSpan w:val="9"/>
          </w:tcPr>
          <w:p>
            <w:pPr>
              <w:spacing w:after="0"/>
              <w:rPr>
                <w:sz w:val="20"/>
                <w:szCs w:val="20"/>
                <w:color w:val="auto"/>
              </w:rPr>
            </w:pPr>
            <w:r>
              <w:rPr>
                <w:rFonts w:ascii="Arial" w:cs="Arial" w:eastAsia="Arial" w:hAnsi="Arial"/>
                <w:sz w:val="16"/>
                <w:szCs w:val="16"/>
                <w:color w:val="0000FF"/>
                <w:w w:val="89"/>
              </w:rPr>
              <w:t>Long-Term Debt and Line of Credit</w:t>
            </w:r>
          </w:p>
        </w:tc>
        <w:tc>
          <w:tcPr>
            <w:tcW w:w="860" w:type="dxa"/>
            <w:vAlign w:val="bottom"/>
            <w:gridSpan w:val="3"/>
          </w:tcPr>
          <w:p>
            <w:pPr>
              <w:spacing w:after="0"/>
              <w:rPr>
                <w:sz w:val="20"/>
                <w:szCs w:val="20"/>
                <w:color w:val="auto"/>
              </w:rPr>
            </w:pPr>
          </w:p>
        </w:tc>
        <w:tc>
          <w:tcPr>
            <w:tcW w:w="3840" w:type="dxa"/>
            <w:vAlign w:val="bottom"/>
            <w:gridSpan w:val="6"/>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61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6"/>
                <w:szCs w:val="16"/>
                <w:color w:val="0000FF"/>
                <w:w w:val="89"/>
              </w:rPr>
              <w:t>Note 7.</w:t>
            </w:r>
          </w:p>
        </w:tc>
        <w:tc>
          <w:tcPr>
            <w:tcW w:w="500" w:type="dxa"/>
            <w:vAlign w:val="bottom"/>
            <w:gridSpan w:val="2"/>
          </w:tcPr>
          <w:p>
            <w:pPr>
              <w:spacing w:after="0"/>
              <w:rPr>
                <w:sz w:val="20"/>
                <w:szCs w:val="20"/>
                <w:color w:val="auto"/>
              </w:rPr>
            </w:pPr>
          </w:p>
        </w:tc>
        <w:tc>
          <w:tcPr>
            <w:tcW w:w="2260" w:type="dxa"/>
            <w:vAlign w:val="bottom"/>
            <w:gridSpan w:val="9"/>
          </w:tcPr>
          <w:p>
            <w:pPr>
              <w:spacing w:after="0"/>
              <w:rPr>
                <w:sz w:val="20"/>
                <w:szCs w:val="20"/>
                <w:color w:val="auto"/>
              </w:rPr>
            </w:pPr>
            <w:r>
              <w:rPr>
                <w:rFonts w:ascii="Arial" w:cs="Arial" w:eastAsia="Arial" w:hAnsi="Arial"/>
                <w:sz w:val="16"/>
                <w:szCs w:val="16"/>
                <w:color w:val="0000FF"/>
                <w:w w:val="89"/>
              </w:rPr>
              <w:t>Fair Value of Financial Instruments</w:t>
            </w: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63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6"/>
                <w:szCs w:val="16"/>
                <w:color w:val="0000FF"/>
                <w:w w:val="89"/>
              </w:rPr>
              <w:t>Note 8.</w:t>
            </w:r>
          </w:p>
        </w:tc>
        <w:tc>
          <w:tcPr>
            <w:tcW w:w="500" w:type="dxa"/>
            <w:vAlign w:val="bottom"/>
            <w:gridSpan w:val="2"/>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6"/>
                <w:szCs w:val="16"/>
                <w:color w:val="0000FF"/>
                <w:w w:val="87"/>
              </w:rPr>
              <w:t>Income Taxes</w:t>
            </w:r>
          </w:p>
        </w:tc>
        <w:tc>
          <w:tcPr>
            <w:tcW w:w="1360" w:type="dxa"/>
            <w:vAlign w:val="bottom"/>
            <w:gridSpan w:val="7"/>
          </w:tcPr>
          <w:p>
            <w:pPr>
              <w:spacing w:after="0"/>
              <w:rPr>
                <w:sz w:val="20"/>
                <w:szCs w:val="20"/>
                <w:color w:val="auto"/>
              </w:rPr>
            </w:pP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64</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6"/>
                <w:szCs w:val="16"/>
                <w:color w:val="0000FF"/>
                <w:w w:val="89"/>
              </w:rPr>
              <w:t>Note 9.</w:t>
            </w:r>
          </w:p>
        </w:tc>
        <w:tc>
          <w:tcPr>
            <w:tcW w:w="500" w:type="dxa"/>
            <w:vAlign w:val="bottom"/>
            <w:gridSpan w:val="2"/>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6"/>
                <w:szCs w:val="16"/>
                <w:color w:val="0000FF"/>
                <w:w w:val="81"/>
              </w:rPr>
              <w:t>Leases</w:t>
            </w:r>
          </w:p>
        </w:tc>
        <w:tc>
          <w:tcPr>
            <w:tcW w:w="460" w:type="dxa"/>
            <w:vAlign w:val="bottom"/>
          </w:tcPr>
          <w:p>
            <w:pPr>
              <w:spacing w:after="0"/>
              <w:rPr>
                <w:sz w:val="20"/>
                <w:szCs w:val="20"/>
                <w:color w:val="auto"/>
              </w:rPr>
            </w:pPr>
          </w:p>
        </w:tc>
        <w:tc>
          <w:tcPr>
            <w:tcW w:w="6060" w:type="dxa"/>
            <w:vAlign w:val="bottom"/>
            <w:gridSpan w:val="16"/>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6"/>
                <w:szCs w:val="16"/>
                <w:color w:val="0000FF"/>
                <w:w w:val="89"/>
              </w:rPr>
              <w:t>66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Arial" w:cs="Arial" w:eastAsia="Arial" w:hAnsi="Arial"/>
                <w:sz w:val="16"/>
                <w:szCs w:val="16"/>
                <w:color w:val="0000FF"/>
              </w:rPr>
              <w:t>Note 10.</w:t>
            </w:r>
          </w:p>
        </w:tc>
        <w:tc>
          <w:tcPr>
            <w:tcW w:w="6960" w:type="dxa"/>
            <w:vAlign w:val="bottom"/>
            <w:gridSpan w:val="18"/>
          </w:tcPr>
          <w:p>
            <w:pPr>
              <w:spacing w:after="0"/>
              <w:rPr>
                <w:sz w:val="20"/>
                <w:szCs w:val="20"/>
                <w:color w:val="auto"/>
              </w:rPr>
            </w:pPr>
            <w:r>
              <w:rPr>
                <w:rFonts w:ascii="Arial" w:cs="Arial" w:eastAsia="Arial" w:hAnsi="Arial"/>
                <w:sz w:val="16"/>
                <w:szCs w:val="16"/>
                <w:color w:val="0000FF"/>
              </w:rPr>
              <w:t>Commitments and Contingencies</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67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Arial" w:cs="Arial" w:eastAsia="Arial" w:hAnsi="Arial"/>
                <w:sz w:val="16"/>
                <w:szCs w:val="16"/>
                <w:color w:val="0000FF"/>
              </w:rPr>
              <w:t>Note 11.</w:t>
            </w:r>
          </w:p>
        </w:tc>
        <w:tc>
          <w:tcPr>
            <w:tcW w:w="6960" w:type="dxa"/>
            <w:vAlign w:val="bottom"/>
            <w:gridSpan w:val="18"/>
          </w:tcPr>
          <w:p>
            <w:pPr>
              <w:spacing w:after="0"/>
              <w:rPr>
                <w:sz w:val="20"/>
                <w:szCs w:val="20"/>
                <w:color w:val="auto"/>
              </w:rPr>
            </w:pPr>
            <w:r>
              <w:rPr>
                <w:rFonts w:ascii="Arial" w:cs="Arial" w:eastAsia="Arial" w:hAnsi="Arial"/>
                <w:sz w:val="16"/>
                <w:szCs w:val="16"/>
                <w:color w:val="0000FF"/>
              </w:rPr>
              <w:t>Stockholder’s Equity</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68</w:t>
            </w:r>
          </w:p>
        </w:tc>
      </w:tr>
      <w:tr>
        <w:trPr>
          <w:trHeight w:val="237"/>
        </w:trPr>
        <w:tc>
          <w:tcPr>
            <w:tcW w:w="98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Note 12.</w:t>
            </w:r>
          </w:p>
        </w:tc>
        <w:tc>
          <w:tcPr>
            <w:tcW w:w="136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95"/>
              </w:rPr>
              <w:t>Earnings Per Share</w:t>
            </w:r>
          </w:p>
        </w:tc>
        <w:tc>
          <w:tcPr>
            <w:tcW w:w="5600" w:type="dxa"/>
            <w:vAlign w:val="bottom"/>
            <w:gridSpan w:val="14"/>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68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Arial" w:cs="Arial" w:eastAsia="Arial" w:hAnsi="Arial"/>
                <w:sz w:val="16"/>
                <w:szCs w:val="16"/>
                <w:color w:val="0000FF"/>
              </w:rPr>
              <w:t>Note 13.</w:t>
            </w:r>
          </w:p>
        </w:tc>
        <w:tc>
          <w:tcPr>
            <w:tcW w:w="6960" w:type="dxa"/>
            <w:vAlign w:val="bottom"/>
            <w:gridSpan w:val="18"/>
          </w:tcPr>
          <w:p>
            <w:pPr>
              <w:spacing w:after="0"/>
              <w:rPr>
                <w:sz w:val="20"/>
                <w:szCs w:val="20"/>
                <w:color w:val="auto"/>
              </w:rPr>
            </w:pPr>
            <w:r>
              <w:rPr>
                <w:rFonts w:ascii="Arial" w:cs="Arial" w:eastAsia="Arial" w:hAnsi="Arial"/>
                <w:sz w:val="16"/>
                <w:szCs w:val="16"/>
                <w:color w:val="0000FF"/>
              </w:rPr>
              <w:t>Omnibus Incentive Plan</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69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Arial" w:cs="Arial" w:eastAsia="Arial" w:hAnsi="Arial"/>
                <w:sz w:val="16"/>
                <w:szCs w:val="16"/>
                <w:color w:val="0000FF"/>
              </w:rPr>
              <w:t>Note 14.</w:t>
            </w:r>
          </w:p>
        </w:tc>
        <w:tc>
          <w:tcPr>
            <w:tcW w:w="6960" w:type="dxa"/>
            <w:vAlign w:val="bottom"/>
            <w:gridSpan w:val="18"/>
          </w:tcPr>
          <w:p>
            <w:pPr>
              <w:spacing w:after="0"/>
              <w:rPr>
                <w:sz w:val="20"/>
                <w:szCs w:val="20"/>
                <w:color w:val="auto"/>
              </w:rPr>
            </w:pPr>
            <w:r>
              <w:rPr>
                <w:rFonts w:ascii="Arial" w:cs="Arial" w:eastAsia="Arial" w:hAnsi="Arial"/>
                <w:sz w:val="16"/>
                <w:szCs w:val="16"/>
                <w:color w:val="0000FF"/>
              </w:rPr>
              <w:t>Segment and Customer Information</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72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0000FF"/>
            </w:tcBorders>
            <w:gridSpan w:val="9"/>
            <w:shd w:val="clear" w:color="auto" w:fill="0000FF"/>
          </w:tcPr>
          <w:p>
            <w:pPr>
              <w:spacing w:after="0" w:line="20" w:lineRule="exact"/>
              <w:rPr>
                <w:sz w:val="1"/>
                <w:szCs w:val="1"/>
                <w:color w:val="auto"/>
              </w:rPr>
            </w:pPr>
          </w:p>
        </w:tc>
        <w:tc>
          <w:tcPr>
            <w:tcW w:w="470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Arial" w:cs="Arial" w:eastAsia="Arial" w:hAnsi="Arial"/>
                <w:sz w:val="16"/>
                <w:szCs w:val="16"/>
                <w:color w:val="0000FF"/>
              </w:rPr>
              <w:t>Note 15.</w:t>
            </w:r>
          </w:p>
        </w:tc>
        <w:tc>
          <w:tcPr>
            <w:tcW w:w="6960" w:type="dxa"/>
            <w:vAlign w:val="bottom"/>
            <w:gridSpan w:val="18"/>
          </w:tcPr>
          <w:p>
            <w:pPr>
              <w:spacing w:after="0"/>
              <w:rPr>
                <w:sz w:val="20"/>
                <w:szCs w:val="20"/>
                <w:color w:val="auto"/>
              </w:rPr>
            </w:pPr>
            <w:r>
              <w:rPr>
                <w:rFonts w:ascii="Arial" w:cs="Arial" w:eastAsia="Arial" w:hAnsi="Arial"/>
                <w:sz w:val="16"/>
                <w:szCs w:val="16"/>
                <w:color w:val="0000FF"/>
              </w:rPr>
              <w:t>Restructuring and Related Charges</w:t>
            </w:r>
          </w:p>
        </w:tc>
        <w:tc>
          <w:tcPr>
            <w:tcW w:w="3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73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The Simply Good Foods Company and subsidiaries (the "Company") as of August 26, 2023 and August 27, 2022, the related consolidated statements of income and comprehensive income, stockholders' equity, and cash flows, for the fifty-two weeks ended August 26, 2023, August 27, 2022, and August 28, 2021 and the related notes (collectively referred to as the "financial statements"). In our opinion, the financial statements present fairly, in all material respects, the financial position of the Company as of August 26, 2023 and August 27, 2022, and the results of its operations and its cash flows for each of the three years in the period ended August 26, 2023, in conformity with accounting principles generally accepted in the United States of America.</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August 26,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October 24, 2023,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 Trade Promotions — Refer to Note 2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 Description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 These estimates are made using various information including historical data on performance of similar trade promotional activities, market data, and the Company's best estimates of current activity. As of August 26, 2023, the allowance for trade promotions balance, which is recorded as a reduction to accounts receivable, was approximately $28.8 million.</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Given the subjectivity of estimating the expected promotional claims, performing audit procedures to evaluate whether the allowance for trade promotions balance is appropriately recorded as of August 26, 2023, required a high degree of auditor judgment and an increased extent of effort.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auditing procedures related to the allowance for trade promotions balance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allowance for trade promotions.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 selection of allowance for trade promotions balance recorded as of August 26, 2023, we: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Confirmed contract terms directly with the customer.</w:t>
      </w:r>
    </w:p>
    <w:p>
      <w:pPr>
        <w:spacing w:after="0" w:line="9"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Agreed contract terms from the accounting records to the promotion agreement with the customer and verified the promotion period was prior to August 27, 2023.</w:t>
      </w:r>
    </w:p>
    <w:p>
      <w:pPr>
        <w:ind w:left="1300" w:right="20" w:hanging="320"/>
        <w:spacing w:after="0" w:line="250" w:lineRule="auto"/>
        <w:tabs>
          <w:tab w:leader="none" w:pos="13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appropriateness of the year-end trade accrual estimate using historical data on performance of similar trade promotional activities, market data, and subsequent customer activity.</w:t>
      </w:r>
    </w:p>
    <w:p>
      <w:pPr>
        <w:ind w:left="660" w:right="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management’s ability to estimate promotional claims incurred, but not yet received for potential management bias by comparing historical promotional claims received to management’s estimates of the claims to be received.</w:t>
      </w: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 selection of customer promotional claims resolved as of August 26, 2023, we compared that amount to the August 26, 2023 allowance for promotions balance and traced the resolved deduction to an approved trade promotion.</w:t>
      </w:r>
    </w:p>
    <w:p>
      <w:pPr>
        <w:ind w:left="66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 selection of customer promotional claims resolved after August 26, 2023, we compared that amount to the August 26, 2023 allowance for promotions balance and traced the resolved deduction to an approved trade promotion.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 except share data)</w:t>
      </w:r>
    </w:p>
    <w:p>
      <w:pPr>
        <w:spacing w:after="0" w:line="8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August 26, 2023</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27, 2022</w:t>
            </w:r>
          </w:p>
        </w:tc>
        <w:tc>
          <w:tcPr>
            <w:tcW w:w="0" w:type="dxa"/>
            <w:vAlign w:val="bottom"/>
          </w:tcPr>
          <w:p>
            <w:pPr>
              <w:spacing w:after="0"/>
              <w:rPr>
                <w:sz w:val="1"/>
                <w:szCs w:val="1"/>
                <w:color w:val="auto"/>
              </w:rPr>
            </w:pPr>
          </w:p>
        </w:tc>
      </w:tr>
      <w:tr>
        <w:trPr>
          <w:trHeight w:val="24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67,494</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145,078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132,667</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125,479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371,652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351,601</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1,108,119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1,123,258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58,099</w:t>
            </w:r>
          </w:p>
        </w:tc>
        <w:tc>
          <w:tcPr>
            <w:tcW w:w="0" w:type="dxa"/>
            <w:vAlign w:val="bottom"/>
          </w:tcPr>
          <w:p>
            <w:pPr>
              <w:spacing w:after="0"/>
              <w:rPr>
                <w:sz w:val="1"/>
                <w:szCs w:val="1"/>
                <w:color w:val="auto"/>
              </w:rPr>
            </w:pPr>
          </w:p>
        </w:tc>
      </w:tr>
      <w:tr>
        <w:trPr>
          <w:trHeight w:val="23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2,097,084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2,094,249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62,149</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39,675</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281,649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403,022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44,639</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80"/>
              <w:spacing w:after="0"/>
              <w:rPr>
                <w:sz w:val="20"/>
                <w:szCs w:val="20"/>
                <w:color w:val="auto"/>
              </w:rPr>
            </w:pPr>
            <w:r>
              <w:rPr>
                <w:rFonts w:ascii="Arial" w:cs="Arial" w:eastAsia="Arial" w:hAnsi="Arial"/>
                <w:sz w:val="16"/>
                <w:szCs w:val="16"/>
                <w:color w:val="auto"/>
                <w:w w:val="97"/>
              </w:rPr>
              <w:t>Common stock, $0.01 par value, 600,000,000 shares authorized, 101,929,868 and 101,322,834</w:t>
            </w:r>
          </w:p>
        </w:tc>
        <w:tc>
          <w:tcPr>
            <w:tcW w:w="16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09"/>
        </w:trPr>
        <w:tc>
          <w:tcPr>
            <w:tcW w:w="6840" w:type="dxa"/>
            <w:vAlign w:val="bottom"/>
          </w:tcPr>
          <w:p>
            <w:pPr>
              <w:ind w:left="180"/>
              <w:spacing w:after="0"/>
              <w:rPr>
                <w:sz w:val="20"/>
                <w:szCs w:val="20"/>
                <w:color w:val="auto"/>
              </w:rPr>
            </w:pPr>
            <w:r>
              <w:rPr>
                <w:rFonts w:ascii="Arial" w:cs="Arial" w:eastAsia="Arial" w:hAnsi="Arial"/>
                <w:sz w:val="16"/>
                <w:szCs w:val="16"/>
                <w:color w:val="auto"/>
              </w:rPr>
              <w:t>issued at August 26, 2023 and August 27, 2022, respectively</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4"/>
              </w:rPr>
              <w:t>Treasury stock, 2,365,100 shares and 1,818,754 shares at cost at August 26, 2023 and August 27,</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(62,003)</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 respectively</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Additional paid-in-capital</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1,303,168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1,287,224</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214,381</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1,571,099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1,438,664</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2,097,084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2,094,249</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w w:val="92"/>
              </w:rPr>
              <w:t>52-Weeks Ended</w:t>
            </w:r>
          </w:p>
        </w:tc>
      </w:tr>
      <w:tr>
        <w:trPr>
          <w:trHeight w:val="259"/>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26, 2023</w:t>
            </w: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August 27, 2022</w:t>
            </w:r>
          </w:p>
        </w:tc>
        <w:tc>
          <w:tcPr>
            <w:tcW w:w="14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28, 2021</w:t>
            </w:r>
          </w:p>
        </w:tc>
      </w:tr>
      <w:tr>
        <w:trPr>
          <w:trHeight w:val="24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1,242,672</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1,168,678</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1,005,613</w:t>
            </w:r>
          </w:p>
        </w:tc>
      </w:tr>
      <w:tr>
        <w:trPr>
          <w:trHeight w:val="25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789,252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723,117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595,847</w:t>
            </w:r>
          </w:p>
        </w:tc>
      </w:tr>
      <w:tr>
        <w:trPr>
          <w:trHeight w:val="23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409,766</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4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121,685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112,928</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106,181</w:t>
            </w:r>
          </w:p>
        </w:tc>
      </w:tr>
      <w:tr>
        <w:trPr>
          <w:trHeight w:val="25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16,982</w:t>
            </w:r>
          </w:p>
        </w:tc>
      </w:tr>
      <w:tr>
        <w:trPr>
          <w:trHeight w:val="24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242,802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236,091</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202,759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173,675</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(31,557)</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(Loss) in fair value change of warrant liability</w:t>
            </w:r>
          </w:p>
        </w:tc>
        <w:tc>
          <w:tcPr>
            <w:tcW w:w="16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(30,062)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(66,197)</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legal settlement</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(Loss) gain on foreign currency transactions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(52,190)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(92,815)</w:t>
            </w:r>
          </w:p>
        </w:tc>
      </w:tr>
      <w:tr>
        <w:trPr>
          <w:trHeight w:val="259"/>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175,692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150,569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80,860</w:t>
            </w: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41,995</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39,980</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133,575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108,574</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40,880</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net of reclassification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132,933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107,441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40,941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6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40" w:type="dxa"/>
            <w:vAlign w:val="bottom"/>
          </w:tcPr>
          <w:p>
            <w:pPr>
              <w:ind w:left="14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99,442,046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98,754,913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95,743,413</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100,880,079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100,589,156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97,365,598</w:t>
            </w:r>
          </w:p>
        </w:tc>
      </w:tr>
    </w:tbl>
    <w:p>
      <w:pPr>
        <w:spacing w:after="0" w:line="314"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7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26"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r>
      <w:tr>
        <w:trPr>
          <w:trHeight w:val="219"/>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26, 2023</w:t>
            </w: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27, 2022</w:t>
            </w:r>
          </w:p>
        </w:tc>
        <w:tc>
          <w:tcPr>
            <w:tcW w:w="16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6"/>
              </w:rPr>
              <w:t>August 28, 2021</w:t>
            </w:r>
          </w:p>
        </w:tc>
      </w:tr>
      <w:tr>
        <w:trPr>
          <w:trHeight w:val="19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133,575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108,574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40,880</w:t>
            </w:r>
          </w:p>
        </w:tc>
      </w:tr>
      <w:tr>
        <w:trPr>
          <w:trHeight w:val="169"/>
        </w:trPr>
        <w:tc>
          <w:tcPr>
            <w:tcW w:w="5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18,174</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deferred financing costs and debt discount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8,265</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in fair value change of warrant liability</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66,197</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Estimated credit losses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1,114</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loss (gain) on foreign currency transactions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9,403</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operating lease right-of-use asset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Loss on operating lease right-of-use asset impairment</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lease termination</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(21,796)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(22,284)</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(39,349)</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25,923</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15,423</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assets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171,117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110,639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132,089</w:t>
            </w: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(5,911)</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note receivable</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Proceeds from sale of business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5,800</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 in intangible assets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w:t>
            </w: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Proceeds from option exercises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payments related to issuance of restricted stock units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finance lease obligations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Principal payments of long-term debt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(150,000)</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financing costs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(138,532)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(110,032)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(150,049)</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(20,466)</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Effect of exchange rate on cash</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95,847</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87,715</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75,345</w:t>
            </w:r>
          </w:p>
        </w:tc>
      </w:tr>
    </w:tbl>
    <w:p>
      <w:pPr>
        <w:spacing w:after="0" w:line="3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c>
          <w:tcPr>
            <w:tcW w:w="0" w:type="dxa"/>
            <w:vAlign w:val="bottom"/>
          </w:tcPr>
          <w:p>
            <w:pPr>
              <w:spacing w:after="0"/>
              <w:rPr>
                <w:sz w:val="1"/>
                <w:szCs w:val="1"/>
                <w:color w:val="auto"/>
              </w:rPr>
            </w:pPr>
          </w:p>
        </w:tc>
      </w:tr>
      <w:tr>
        <w:trPr>
          <w:trHeight w:val="259"/>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26, 2023</w:t>
            </w: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27, 2022</w:t>
            </w:r>
          </w:p>
        </w:tc>
        <w:tc>
          <w:tcPr>
            <w:tcW w:w="160" w:type="dxa"/>
            <w:vAlign w:val="bottom"/>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6"/>
              </w:rPr>
              <w:t>August 28, 2021</w:t>
            </w:r>
          </w:p>
        </w:tc>
        <w:tc>
          <w:tcPr>
            <w:tcW w:w="0" w:type="dxa"/>
            <w:vAlign w:val="bottom"/>
          </w:tcPr>
          <w:p>
            <w:pPr>
              <w:spacing w:after="0"/>
              <w:rPr>
                <w:sz w:val="1"/>
                <w:szCs w:val="1"/>
                <w:color w:val="auto"/>
              </w:rPr>
            </w:pPr>
          </w:p>
        </w:tc>
      </w:tr>
      <w:tr>
        <w:trPr>
          <w:trHeight w:val="23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8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25,511</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19,222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27,821</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32,190</w:t>
            </w:r>
          </w:p>
        </w:tc>
        <w:tc>
          <w:tcPr>
            <w:tcW w:w="0" w:type="dxa"/>
            <w:vAlign w:val="bottom"/>
          </w:tcPr>
          <w:p>
            <w:pPr>
              <w:spacing w:after="0"/>
              <w:rPr>
                <w:sz w:val="1"/>
                <w:szCs w:val="1"/>
                <w:color w:val="auto"/>
              </w:rPr>
            </w:pPr>
          </w:p>
        </w:tc>
      </w:tr>
      <w:tr>
        <w:trPr>
          <w:trHeight w:val="254"/>
        </w:trPr>
        <w:tc>
          <w:tcPr>
            <w:tcW w:w="528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proceeds from sale of business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53"/>
        </w:trPr>
        <w:tc>
          <w:tcPr>
            <w:tcW w:w="5280" w:type="dxa"/>
            <w:vAlign w:val="bottom"/>
          </w:tcPr>
          <w:p>
            <w:pPr>
              <w:ind w:left="140"/>
              <w:spacing w:after="0"/>
              <w:rPr>
                <w:sz w:val="20"/>
                <w:szCs w:val="20"/>
                <w:color w:val="auto"/>
              </w:rPr>
            </w:pPr>
            <w:r>
              <w:rPr>
                <w:rFonts w:ascii="Arial" w:cs="Arial" w:eastAsia="Arial" w:hAnsi="Arial"/>
                <w:sz w:val="16"/>
                <w:szCs w:val="16"/>
                <w:color w:val="auto"/>
              </w:rPr>
              <w:t>Non-cash additions to property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additions to intangible assets and 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67"/>
        </w:trPr>
        <w:tc>
          <w:tcPr>
            <w:tcW w:w="5280" w:type="dxa"/>
            <w:vAlign w:val="bottom"/>
          </w:tcPr>
          <w:p>
            <w:pPr>
              <w:ind w:left="140"/>
              <w:spacing w:after="0"/>
              <w:rPr>
                <w:sz w:val="20"/>
                <w:szCs w:val="20"/>
                <w:color w:val="auto"/>
              </w:rPr>
            </w:pPr>
            <w:r>
              <w:rPr>
                <w:rFonts w:ascii="Arial" w:cs="Arial" w:eastAsia="Arial" w:hAnsi="Arial"/>
                <w:sz w:val="16"/>
                <w:szCs w:val="16"/>
                <w:color w:val="auto"/>
              </w:rPr>
              <w:t>Issuance of common stock in extinguishment of warrant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189,897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Operating lease right-of-use assets recognized after ASU No 2016-02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26,222</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transition</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280" w:type="dxa"/>
            <w:vAlign w:val="bottom"/>
          </w:tcPr>
          <w:p>
            <w:pPr>
              <w:ind w:left="140"/>
              <w:spacing w:after="0"/>
              <w:rPr>
                <w:sz w:val="20"/>
                <w:szCs w:val="20"/>
                <w:color w:val="auto"/>
              </w:rPr>
            </w:pPr>
            <w:r>
              <w:rPr>
                <w:rFonts w:ascii="Arial" w:cs="Arial" w:eastAsia="Arial" w:hAnsi="Arial"/>
                <w:sz w:val="16"/>
                <w:szCs w:val="16"/>
                <w:color w:val="auto"/>
              </w:rPr>
              <w:t>Non-cash credits for repayment of note receivable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 except share data)</w:t>
      </w:r>
    </w:p>
    <w:p>
      <w:pPr>
        <w:spacing w:after="0" w:line="200" w:lineRule="exact"/>
        <w:rPr>
          <w:sz w:val="20"/>
          <w:szCs w:val="20"/>
          <w:color w:val="auto"/>
        </w:rPr>
      </w:pP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1840" w:type="dxa"/>
            <w:vAlign w:val="bottom"/>
            <w:gridSpan w:val="5"/>
          </w:tcPr>
          <w:p>
            <w:pPr>
              <w:ind w:left="380"/>
              <w:spacing w:after="0"/>
              <w:rPr>
                <w:sz w:val="20"/>
                <w:szCs w:val="20"/>
                <w:color w:val="auto"/>
              </w:rPr>
            </w:pPr>
            <w:r>
              <w:rPr>
                <w:rFonts w:ascii="Arial" w:cs="Arial" w:eastAsia="Arial" w:hAnsi="Arial"/>
                <w:sz w:val="15"/>
                <w:szCs w:val="15"/>
                <w:color w:val="auto"/>
              </w:rPr>
              <w:t>Common Stock</w:t>
            </w: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Treasury Stock</w:t>
            </w:r>
          </w:p>
        </w:tc>
        <w:tc>
          <w:tcPr>
            <w:tcW w:w="140" w:type="dxa"/>
            <w:vAlign w:val="bottom"/>
          </w:tcPr>
          <w:p>
            <w:pPr>
              <w:spacing w:after="0"/>
              <w:rPr>
                <w:sz w:val="19"/>
                <w:szCs w:val="19"/>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5"/>
                <w:szCs w:val="15"/>
                <w:color w:val="auto"/>
              </w:rPr>
              <w:t>Additional</w:t>
            </w:r>
          </w:p>
        </w:tc>
        <w:tc>
          <w:tcPr>
            <w:tcW w:w="1340" w:type="dxa"/>
            <w:vAlign w:val="bottom"/>
            <w:gridSpan w:val="3"/>
          </w:tcPr>
          <w:p>
            <w:pPr>
              <w:jc w:val="center"/>
              <w:ind w:right="140"/>
              <w:spacing w:after="0"/>
              <w:rPr>
                <w:sz w:val="20"/>
                <w:szCs w:val="20"/>
                <w:color w:val="auto"/>
              </w:rPr>
            </w:pPr>
            <w:r>
              <w:rPr>
                <w:rFonts w:ascii="Arial" w:cs="Arial" w:eastAsia="Arial" w:hAnsi="Arial"/>
                <w:sz w:val="15"/>
                <w:szCs w:val="15"/>
                <w:color w:val="auto"/>
                <w:w w:val="90"/>
              </w:rPr>
              <w:t>Retained Earnings</w:t>
            </w: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Accumulated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5"/>
                <w:szCs w:val="15"/>
                <w:color w:val="auto"/>
                <w:w w:val="95"/>
              </w:rPr>
              <w:t>(Accumulated</w:t>
            </w:r>
          </w:p>
        </w:tc>
        <w:tc>
          <w:tcPr>
            <w:tcW w:w="100" w:type="dxa"/>
            <w:vAlign w:val="bottom"/>
          </w:tcPr>
          <w:p>
            <w:pPr>
              <w:spacing w:after="0"/>
              <w:rPr>
                <w:sz w:val="5"/>
                <w:szCs w:val="5"/>
                <w:color w:val="auto"/>
              </w:rPr>
            </w:pPr>
          </w:p>
        </w:tc>
        <w:tc>
          <w:tcPr>
            <w:tcW w:w="1240" w:type="dxa"/>
            <w:vAlign w:val="bottom"/>
            <w:gridSpan w:val="2"/>
          </w:tcPr>
          <w:p>
            <w:pPr>
              <w:jc w:val="center"/>
              <w:ind w:right="220"/>
              <w:spacing w:after="0" w:line="68" w:lineRule="exact"/>
              <w:rPr>
                <w:sz w:val="20"/>
                <w:szCs w:val="20"/>
                <w:color w:val="auto"/>
              </w:rPr>
            </w:pPr>
            <w:r>
              <w:rPr>
                <w:rFonts w:ascii="Arial" w:cs="Arial" w:eastAsia="Arial" w:hAnsi="Arial"/>
                <w:sz w:val="7"/>
                <w:szCs w:val="7"/>
                <w:color w:val="auto"/>
              </w:rPr>
              <w:t>Other</w:t>
            </w:r>
          </w:p>
        </w:tc>
        <w:tc>
          <w:tcPr>
            <w:tcW w:w="180" w:type="dxa"/>
            <w:vAlign w:val="bottom"/>
          </w:tcPr>
          <w:p>
            <w:pPr>
              <w:spacing w:after="0"/>
              <w:rPr>
                <w:sz w:val="5"/>
                <w:szCs w:val="5"/>
                <w:color w:val="auto"/>
              </w:rPr>
            </w:pPr>
          </w:p>
        </w:tc>
        <w:tc>
          <w:tcPr>
            <w:tcW w:w="780" w:type="dxa"/>
            <w:vAlign w:val="bottom"/>
            <w:vMerge w:val="restart"/>
          </w:tcPr>
          <w:p>
            <w:pPr>
              <w:jc w:val="right"/>
              <w:ind w:right="244"/>
              <w:spacing w:after="0" w:line="149" w:lineRule="exact"/>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40"/>
        </w:trPr>
        <w:tc>
          <w:tcPr>
            <w:tcW w:w="1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3"/>
            <w:vMerge w:val="restart"/>
          </w:tcPr>
          <w:p>
            <w:pPr>
              <w:jc w:val="center"/>
              <w:ind w:right="140"/>
              <w:spacing w:after="0" w:line="162" w:lineRule="exact"/>
              <w:rPr>
                <w:sz w:val="20"/>
                <w:szCs w:val="20"/>
                <w:color w:val="auto"/>
              </w:rPr>
            </w:pPr>
            <w:r>
              <w:rPr>
                <w:rFonts w:ascii="Arial" w:cs="Arial" w:eastAsia="Arial" w:hAnsi="Arial"/>
                <w:sz w:val="15"/>
                <w:szCs w:val="15"/>
                <w:color w:val="auto"/>
                <w:w w:val="93"/>
              </w:rPr>
              <w:t>Paid in Capital</w:t>
            </w: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5"/>
                <w:szCs w:val="15"/>
                <w:color w:val="auto"/>
                <w:w w:val="91"/>
              </w:rPr>
              <w:t>Comprehensive</w:t>
            </w: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680" w:type="dxa"/>
            <w:vAlign w:val="bottom"/>
          </w:tcPr>
          <w:p>
            <w:pPr>
              <w:spacing w:after="0"/>
              <w:rPr>
                <w:sz w:val="7"/>
                <w:szCs w:val="7"/>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5"/>
                <w:szCs w:val="15"/>
                <w:color w:val="auto"/>
              </w:rPr>
              <w:t>Shares</w:t>
            </w:r>
          </w:p>
        </w:tc>
        <w:tc>
          <w:tcPr>
            <w:tcW w:w="800" w:type="dxa"/>
            <w:vAlign w:val="bottom"/>
            <w:gridSpan w:val="3"/>
            <w:vMerge w:val="restart"/>
          </w:tcPr>
          <w:p>
            <w:pPr>
              <w:ind w:left="80"/>
              <w:spacing w:after="0"/>
              <w:rPr>
                <w:sz w:val="20"/>
                <w:szCs w:val="20"/>
                <w:color w:val="auto"/>
              </w:rPr>
            </w:pPr>
            <w:r>
              <w:rPr>
                <w:rFonts w:ascii="Arial" w:cs="Arial" w:eastAsia="Arial" w:hAnsi="Arial"/>
                <w:sz w:val="15"/>
                <w:szCs w:val="15"/>
                <w:color w:val="auto"/>
              </w:rPr>
              <w:t>Amount</w:t>
            </w:r>
          </w:p>
        </w:tc>
        <w:tc>
          <w:tcPr>
            <w:tcW w:w="86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Arial" w:cs="Arial" w:eastAsia="Arial" w:hAnsi="Arial"/>
                <w:sz w:val="16"/>
                <w:szCs w:val="16"/>
                <w:color w:val="auto"/>
              </w:rPr>
              <w:t>Amount</w:t>
            </w:r>
          </w:p>
        </w:tc>
        <w:tc>
          <w:tcPr>
            <w:tcW w:w="11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5"/>
                <w:szCs w:val="15"/>
                <w:color w:val="auto"/>
              </w:rPr>
              <w:t>Deficit)</w:t>
            </w: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color w:val="auto"/>
                <w:w w:val="88"/>
              </w:rPr>
              <w:t>Loss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6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6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Balance, August 29,</w:t>
            </w:r>
          </w:p>
        </w:tc>
        <w:tc>
          <w:tcPr>
            <w:tcW w:w="9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95,751,845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958</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98,234</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(2,145)</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1,076,472</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64,927</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(879)</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1,139,333</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40,880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40,880</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Stock-based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8,265</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Foreign currency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translation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adjustments</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Shares issued upon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vesting of restricted</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units</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72,755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Exercise of options to</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purchase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stock</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58,308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33"/>
        </w:trPr>
        <w:tc>
          <w:tcPr>
            <w:tcW w:w="16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5"/>
                <w:szCs w:val="15"/>
                <w:color w:val="auto"/>
              </w:rPr>
              <w:t>Balance, August 28,</w:t>
            </w:r>
          </w:p>
        </w:tc>
        <w:tc>
          <w:tcPr>
            <w:tcW w:w="9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95,882,908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959</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98,234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(2,145)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1,085,001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105,807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1,188,804</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108,574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108,574</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Stock-based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11,697</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Foreign currency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translation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adjustments</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Reclassification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adjustment for</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currency translation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gains related to the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liquidation of foreign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entities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Repurchase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w w:val="95"/>
              </w:rPr>
              <w:t>1,720,520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(59,858)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(59,858)</w:t>
            </w:r>
          </w:p>
        </w:tc>
        <w:tc>
          <w:tcPr>
            <w:tcW w:w="0" w:type="dxa"/>
            <w:vAlign w:val="bottom"/>
          </w:tcPr>
          <w:p>
            <w:pPr>
              <w:spacing w:after="0"/>
              <w:rPr>
                <w:sz w:val="1"/>
                <w:szCs w:val="1"/>
                <w:color w:val="auto"/>
              </w:rPr>
            </w:pPr>
          </w:p>
        </w:tc>
      </w:tr>
      <w:tr>
        <w:trPr>
          <w:trHeight w:val="274"/>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Warrant conversion</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4,830,761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189,849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189,897</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Shares issued upon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vesting of restricted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stock units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256,374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(3,660)</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Exercise of options to</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purchase common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352,791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4,343</w:t>
            </w:r>
          </w:p>
        </w:tc>
        <w:tc>
          <w:tcPr>
            <w:tcW w:w="0" w:type="dxa"/>
            <w:vAlign w:val="bottom"/>
          </w:tcPr>
          <w:p>
            <w:pPr>
              <w:spacing w:after="0"/>
              <w:rPr>
                <w:sz w:val="1"/>
                <w:szCs w:val="1"/>
                <w:color w:val="auto"/>
              </w:rPr>
            </w:pPr>
          </w:p>
        </w:tc>
      </w:tr>
      <w:tr>
        <w:trPr>
          <w:trHeight w:val="129"/>
        </w:trPr>
        <w:tc>
          <w:tcPr>
            <w:tcW w:w="1680" w:type="dxa"/>
            <w:vAlign w:val="bottom"/>
          </w:tcPr>
          <w:p>
            <w:pPr>
              <w:ind w:left="20"/>
              <w:spacing w:after="0" w:line="129" w:lineRule="exact"/>
              <w:rPr>
                <w:sz w:val="20"/>
                <w:szCs w:val="20"/>
                <w:color w:val="auto"/>
              </w:rPr>
            </w:pPr>
            <w:r>
              <w:rPr>
                <w:rFonts w:ascii="Arial" w:cs="Arial" w:eastAsia="Arial" w:hAnsi="Arial"/>
                <w:sz w:val="14"/>
                <w:szCs w:val="14"/>
                <w:color w:val="auto"/>
              </w:rPr>
              <w:t>Balance, August 27,</w:t>
            </w:r>
          </w:p>
        </w:tc>
        <w:tc>
          <w:tcPr>
            <w:tcW w:w="92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8"/>
              </w:rPr>
              <w:t>101,322,834</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1,013</w:t>
            </w:r>
          </w:p>
        </w:tc>
        <w:tc>
          <w:tcPr>
            <w:tcW w:w="120" w:type="dxa"/>
            <w:vAlign w:val="bottom"/>
          </w:tcPr>
          <w:p>
            <w:pPr>
              <w:spacing w:after="0"/>
              <w:rPr>
                <w:sz w:val="11"/>
                <w:szCs w:val="11"/>
                <w:color w:val="auto"/>
              </w:rPr>
            </w:pPr>
          </w:p>
        </w:tc>
        <w:tc>
          <w:tcPr>
            <w:tcW w:w="7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1,818,754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(62,003)</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1,287,224</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214,381</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(1,951)</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1,438,664</w:t>
            </w:r>
          </w:p>
        </w:tc>
        <w:tc>
          <w:tcPr>
            <w:tcW w:w="0" w:type="dxa"/>
            <w:vAlign w:val="bottom"/>
          </w:tcPr>
          <w:p>
            <w:pPr>
              <w:spacing w:after="0"/>
              <w:rPr>
                <w:sz w:val="1"/>
                <w:szCs w:val="1"/>
                <w:color w:val="auto"/>
              </w:rPr>
            </w:pPr>
          </w:p>
        </w:tc>
      </w:tr>
      <w:tr>
        <w:trPr>
          <w:trHeight w:val="194"/>
        </w:trPr>
        <w:tc>
          <w:tcPr>
            <w:tcW w:w="1680" w:type="dxa"/>
            <w:vAlign w:val="bottom"/>
          </w:tcPr>
          <w:p>
            <w:pPr>
              <w:ind w:left="20"/>
              <w:spacing w:after="0"/>
              <w:rPr>
                <w:sz w:val="20"/>
                <w:szCs w:val="20"/>
                <w:color w:val="auto"/>
              </w:rPr>
            </w:pPr>
            <w:r>
              <w:rPr>
                <w:rFonts w:ascii="Arial" w:cs="Arial" w:eastAsia="Arial" w:hAnsi="Arial"/>
                <w:sz w:val="15"/>
                <w:szCs w:val="15"/>
                <w:color w:val="auto"/>
              </w:rPr>
              <w:t>2022</w:t>
            </w: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133,575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133,575</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Stock-based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compensation</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13,562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13,562</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Foreign currency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translation</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Repurchase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546,346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(16,448)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(16,448)</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Shares issued upon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vesting of restricted</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units</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210,718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(2,859)</w:t>
            </w: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Exercise of options to</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140"/>
              <w:spacing w:after="0" w:line="149" w:lineRule="exact"/>
              <w:rPr>
                <w:sz w:val="20"/>
                <w:szCs w:val="20"/>
                <w:color w:val="auto"/>
              </w:rPr>
            </w:pPr>
            <w:r>
              <w:rPr>
                <w:rFonts w:ascii="Arial" w:cs="Arial" w:eastAsia="Arial" w:hAnsi="Arial"/>
                <w:sz w:val="15"/>
                <w:szCs w:val="15"/>
                <w:color w:val="auto"/>
              </w:rPr>
              <w:t>purchase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80" w:type="dxa"/>
            <w:vAlign w:val="bottom"/>
          </w:tcPr>
          <w:p>
            <w:pPr>
              <w:ind w:left="140"/>
              <w:spacing w:after="0"/>
              <w:rPr>
                <w:sz w:val="20"/>
                <w:szCs w:val="20"/>
                <w:color w:val="auto"/>
              </w:rPr>
            </w:pPr>
            <w:r>
              <w:rPr>
                <w:rFonts w:ascii="Arial" w:cs="Arial" w:eastAsia="Arial" w:hAnsi="Arial"/>
                <w:sz w:val="15"/>
                <w:szCs w:val="15"/>
                <w:color w:val="auto"/>
              </w:rPr>
              <w:t>stock</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396,316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5,247</w:t>
            </w:r>
          </w:p>
        </w:tc>
        <w:tc>
          <w:tcPr>
            <w:tcW w:w="0" w:type="dxa"/>
            <w:vAlign w:val="bottom"/>
          </w:tcPr>
          <w:p>
            <w:pPr>
              <w:spacing w:after="0"/>
              <w:rPr>
                <w:sz w:val="1"/>
                <w:szCs w:val="1"/>
                <w:color w:val="auto"/>
              </w:rPr>
            </w:pPr>
          </w:p>
        </w:tc>
      </w:tr>
      <w:tr>
        <w:trPr>
          <w:trHeight w:val="133"/>
        </w:trPr>
        <w:tc>
          <w:tcPr>
            <w:tcW w:w="16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5"/>
                <w:szCs w:val="15"/>
                <w:color w:val="auto"/>
              </w:rPr>
              <w:t>Balance, August 26,</w:t>
            </w:r>
          </w:p>
        </w:tc>
        <w:tc>
          <w:tcPr>
            <w:tcW w:w="9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8"/>
              </w:rPr>
              <w:t>101,929,868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1,019</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2,365,100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(78,451)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1,303,168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347,956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(2,593)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1,571,099</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188"/>
        <w:spacing w:after="0" w:line="296" w:lineRule="auto"/>
        <w:rPr>
          <w:sz w:val="20"/>
          <w:szCs w:val="20"/>
          <w:color w:val="auto"/>
        </w:rPr>
      </w:pPr>
      <w:r>
        <w:rPr>
          <w:rFonts w:ascii="Arial" w:cs="Arial" w:eastAsia="Arial" w:hAnsi="Arial"/>
          <w:sz w:val="16"/>
          <w:szCs w:val="16"/>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Atkins® and Quest® brand names. Simply Good Foods is poised to expand its wellness platform through innovation and organic growth along with acquisition opportunities in the nutritional snacking space.</w:t>
      </w:r>
    </w:p>
    <w:p>
      <w:pPr>
        <w:spacing w:after="0" w:line="188" w:lineRule="exact"/>
        <w:rPr>
          <w:sz w:val="20"/>
          <w:szCs w:val="20"/>
          <w:color w:val="auto"/>
        </w:rPr>
      </w:pPr>
    </w:p>
    <w:p>
      <w:pPr>
        <w:jc w:val="both"/>
        <w:ind w:firstLine="288"/>
        <w:spacing w:after="0" w:line="296" w:lineRule="auto"/>
        <w:rPr>
          <w:sz w:val="20"/>
          <w:szCs w:val="20"/>
          <w:color w:val="auto"/>
        </w:rPr>
      </w:pPr>
      <w:r>
        <w:rPr>
          <w:rFonts w:ascii="Arial" w:cs="Arial" w:eastAsia="Arial" w:hAnsi="Arial"/>
          <w:sz w:val="16"/>
          <w:szCs w:val="16"/>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of Simply Good Foods is listed on the Nasdaq Capital Market under the symbol “SMPL.”</w:t>
      </w:r>
    </w:p>
    <w:p>
      <w:pPr>
        <w:spacing w:after="0" w:line="252" w:lineRule="exact"/>
        <w:rPr>
          <w:sz w:val="20"/>
          <w:szCs w:val="20"/>
          <w:color w:val="auto"/>
        </w:rPr>
      </w:pPr>
    </w:p>
    <w:p>
      <w:pPr>
        <w:jc w:val="both"/>
        <w:ind w:firstLine="198"/>
        <w:spacing w:after="0" w:line="272" w:lineRule="auto"/>
        <w:rPr>
          <w:sz w:val="20"/>
          <w:szCs w:val="20"/>
          <w:color w:val="auto"/>
        </w:rPr>
      </w:pPr>
      <w:r>
        <w:rPr>
          <w:rFonts w:ascii="Arial" w:cs="Arial" w:eastAsia="Arial" w:hAnsi="Arial"/>
          <w:sz w:val="17"/>
          <w:szCs w:val="17"/>
          <w:color w:val="auto"/>
        </w:rPr>
        <w:t>While the Company’s business has improved from the end of fiscal year 2022, the Company’s business performance in fiscal year 2023 was affected by unfavorable raw material costs, higher co-manufacturing costs, and supply chain challenges, including supply chain disruptions resulting from labor shortages and disruptions in sourcing ingredients. The supply chain environment showed signs of improvement during the year, which we expect to continue during fiscal year 2024. Additionally, management is continuing to monitor the dynamic macroeconomic inflationary environment in the United States and elsewhere, elevated levels of supply chain costs, and consumer behavior.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97" w:lineRule="exact"/>
        <w:rPr>
          <w:sz w:val="20"/>
          <w:szCs w:val="20"/>
          <w:color w:val="auto"/>
        </w:rPr>
      </w:pPr>
    </w:p>
    <w:p>
      <w:pPr>
        <w:jc w:val="both"/>
        <w:ind w:firstLine="215"/>
        <w:spacing w:after="0" w:line="259" w:lineRule="auto"/>
        <w:rPr>
          <w:sz w:val="20"/>
          <w:szCs w:val="20"/>
          <w:color w:val="auto"/>
        </w:rPr>
      </w:pPr>
      <w:r>
        <w:rPr>
          <w:rFonts w:ascii="Arial" w:cs="Arial" w:eastAsia="Arial" w:hAnsi="Arial"/>
          <w:sz w:val="18"/>
          <w:szCs w:val="18"/>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26, 2023 and August 27, 2022. The remaining financial statements include the fifty-two weeks ended August 26, 2023, the fifty-two weeks ended August 27, 2022, and the fifty-two weeks ended August 28, 2021.</w:t>
      </w:r>
    </w:p>
    <w:p>
      <w:pPr>
        <w:spacing w:after="0" w:line="214" w:lineRule="exact"/>
        <w:rPr>
          <w:sz w:val="20"/>
          <w:szCs w:val="20"/>
          <w:color w:val="auto"/>
        </w:rPr>
      </w:pPr>
    </w:p>
    <w:p>
      <w:pPr>
        <w:jc w:val="both"/>
        <w:ind w:firstLine="329"/>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on a consolidated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206"/>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consists of cash on hand, deposits available on demand and other short-term, highly liquid investments with original maturities of three months or</w:t>
      </w:r>
      <w:r>
        <w:rPr>
          <w:rFonts w:ascii="Arial" w:cs="Arial" w:eastAsia="Arial" w:hAnsi="Arial"/>
          <w:sz w:val="18"/>
          <w:szCs w:val="18"/>
          <w:i w:val="1"/>
          <w:iCs w:val="1"/>
          <w:color w:val="auto"/>
        </w:rPr>
        <w:t xml:space="preserve"> </w:t>
      </w:r>
      <w:r>
        <w:rPr>
          <w:rFonts w:ascii="Arial" w:cs="Arial" w:eastAsia="Arial" w:hAnsi="Arial"/>
          <w:sz w:val="18"/>
          <w:szCs w:val="18"/>
          <w:color w:val="auto"/>
        </w:rPr>
        <w:t>less.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Expected Credit Losses</w:t>
      </w:r>
    </w:p>
    <w:p>
      <w:pPr>
        <w:spacing w:after="0" w:line="252" w:lineRule="exact"/>
        <w:rPr>
          <w:sz w:val="20"/>
          <w:szCs w:val="20"/>
          <w:color w:val="auto"/>
        </w:rPr>
      </w:pPr>
    </w:p>
    <w:p>
      <w:pPr>
        <w:jc w:val="both"/>
        <w:ind w:firstLine="220"/>
        <w:spacing w:after="0" w:line="275" w:lineRule="auto"/>
        <w:rPr>
          <w:sz w:val="20"/>
          <w:szCs w:val="20"/>
          <w:color w:val="auto"/>
        </w:rPr>
      </w:pPr>
      <w:r>
        <w:rPr>
          <w:rFonts w:ascii="Arial" w:cs="Arial" w:eastAsia="Arial" w:hAnsi="Arial"/>
          <w:sz w:val="17"/>
          <w:szCs w:val="17"/>
          <w:i w:val="1"/>
          <w:iCs w:val="1"/>
          <w:color w:val="auto"/>
        </w:rPr>
        <w:t xml:space="preserve">Accounts receivable, net </w:t>
      </w:r>
      <w:r>
        <w:rPr>
          <w:rFonts w:ascii="Arial" w:cs="Arial" w:eastAsia="Arial" w:hAnsi="Arial"/>
          <w:sz w:val="17"/>
          <w:szCs w:val="17"/>
          <w:color w:val="auto"/>
        </w:rPr>
        <w:t>consists primarily of trade receivables, net of allowances for doubtful accounts, returns, and trade promotions.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sells its products for cash or on credit terms, which are established in accordance with local and industry practices and typically require payment within 30 days of delivery and may allow discounts for early payment. The Company estimates its allowance for doubtful accounts and the related expected credit loss based upon the Company’s historical credit loss experience, adjusted for asset-specific risk characteristics, current economic conditions, and reasonable forecasts. Accounts receivable are written off when determined to be uncollectible.</w:t>
      </w:r>
    </w:p>
    <w:p>
      <w:pPr>
        <w:spacing w:after="0" w:line="203" w:lineRule="exact"/>
        <w:rPr>
          <w:sz w:val="20"/>
          <w:szCs w:val="20"/>
          <w:color w:val="auto"/>
        </w:rPr>
      </w:pPr>
    </w:p>
    <w:p>
      <w:pPr>
        <w:jc w:val="both"/>
        <w:ind w:firstLine="253"/>
        <w:spacing w:after="0" w:line="296" w:lineRule="auto"/>
        <w:rPr>
          <w:sz w:val="20"/>
          <w:szCs w:val="20"/>
          <w:color w:val="auto"/>
        </w:rPr>
      </w:pPr>
      <w:r>
        <w:rPr>
          <w:rFonts w:ascii="Arial" w:cs="Arial" w:eastAsia="Arial" w:hAnsi="Arial"/>
          <w:sz w:val="16"/>
          <w:szCs w:val="16"/>
          <w:color w:val="auto"/>
        </w:rPr>
        <w:t>Charges related to credit loss on accounts receivables from transactions with external customers were approximately $0.7 million, $0.1 million, and $0.6 million for the fifty-two weeks ended August 26, 2023, August 27, 2022, and August 28, 2021, respectively. As of August 26, 2023 and August 27, 2022, the allowance for doubtful accounts was $1.9 million and $1.2 million, respectively. Additionally, as of August 26, 2023, the Company had an expected credit loss reserve of $1.0 million on its $3.0 million note receivable related to the SimplyProtein Sale, as defined in Note 4, Goodwill and Intangibles, of which $0.5 million was recorded during each of the fifty-two weeks ended August 27, 2022 and August 28,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firstLine="193"/>
        <w:spacing w:after="0" w:line="31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are valued at the lower of cost or net realizable value on a first-in, first-out basis, adjusted for the value of inventory that is determined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as presented with the Consolidated Balance Sheets, is summarized as follows: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09"/>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26,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27, 2022</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111,761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116,047</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Raw materials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10,870</w:t>
            </w:r>
          </w:p>
        </w:tc>
      </w:tr>
      <w:tr>
        <w:trPr>
          <w:trHeight w:val="27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Reserve for obsolete inventory</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r>
      <w:tr>
        <w:trPr>
          <w:trHeight w:val="226"/>
        </w:trPr>
        <w:tc>
          <w:tcPr>
            <w:tcW w:w="3500" w:type="dxa"/>
            <w:vAlign w:val="bottom"/>
            <w:gridSpan w:val="2"/>
          </w:tcPr>
          <w:p>
            <w:pPr>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116,591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125,479</w:t>
            </w:r>
          </w:p>
        </w:tc>
      </w:tr>
      <w:tr>
        <w:trPr>
          <w:trHeight w:val="21"/>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ind w:firstLine="261"/>
        <w:spacing w:after="0" w:line="277" w:lineRule="auto"/>
        <w:rPr>
          <w:sz w:val="20"/>
          <w:szCs w:val="20"/>
          <w:color w:val="auto"/>
        </w:rPr>
      </w:pPr>
      <w:r>
        <w:rPr>
          <w:rFonts w:ascii="Arial" w:cs="Arial" w:eastAsia="Arial" w:hAnsi="Arial"/>
          <w:sz w:val="18"/>
          <w:szCs w:val="18"/>
          <w:i w:val="1"/>
          <w:iCs w:val="1"/>
          <w:color w:val="auto"/>
        </w:rPr>
        <w:t xml:space="preserve">Property and equipment, net </w:t>
      </w:r>
      <w:r>
        <w:rPr>
          <w:rFonts w:ascii="Arial" w:cs="Arial" w:eastAsia="Arial" w:hAnsi="Arial"/>
          <w:sz w:val="18"/>
          <w:szCs w:val="18"/>
          <w:color w:val="auto"/>
        </w:rPr>
        <w:t>is stated at the allocated fair value for acquired assets. Additions to property and equipment are recorded at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on a straight-line basis over their estimated useful lives. The general ranges of estimated useful lives are:</w:t>
      </w:r>
    </w:p>
    <w:p>
      <w:pPr>
        <w:spacing w:after="0" w:line="239" w:lineRule="exact"/>
        <w:rPr>
          <w:sz w:val="20"/>
          <w:szCs w:val="20"/>
          <w:color w:val="auto"/>
        </w:rPr>
      </w:pPr>
    </w:p>
    <w:tbl>
      <w:tblPr>
        <w:tblLayout w:type="fixed"/>
        <w:tblInd w:w="2660" w:type="dxa"/>
        <w:tblCellMar>
          <w:top w:w="0" w:type="dxa"/>
          <w:left w:w="0" w:type="dxa"/>
          <w:bottom w:w="0" w:type="dxa"/>
          <w:right w:w="0" w:type="dxa"/>
        </w:tblCellMar>
      </w:tblPr>
      <w:tr>
        <w:trPr>
          <w:trHeight w:val="270"/>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46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7 years</w:t>
            </w:r>
          </w:p>
        </w:tc>
      </w:tr>
      <w:tr>
        <w:trPr>
          <w:trHeight w:val="267"/>
        </w:trPr>
        <w:tc>
          <w:tcPr>
            <w:tcW w:w="4480" w:type="dxa"/>
            <w:vAlign w:val="bottom"/>
          </w:tcPr>
          <w:p>
            <w:pPr>
              <w:spacing w:after="0"/>
              <w:rPr>
                <w:sz w:val="20"/>
                <w:szCs w:val="20"/>
                <w:color w:val="auto"/>
              </w:rPr>
            </w:pPr>
            <w:r>
              <w:rPr>
                <w:rFonts w:ascii="Arial" w:cs="Arial" w:eastAsia="Arial" w:hAnsi="Arial"/>
                <w:sz w:val="16"/>
                <w:szCs w:val="16"/>
                <w:color w:val="auto"/>
                <w:w w:val="99"/>
              </w:rPr>
              <w:t>Computer equipment, software and website development costs</w:t>
            </w:r>
          </w:p>
        </w:tc>
        <w:tc>
          <w:tcPr>
            <w:tcW w:w="560" w:type="dxa"/>
            <w:vAlign w:val="bottom"/>
          </w:tcPr>
          <w:p>
            <w:pPr>
              <w:ind w:left="440"/>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5 years</w:t>
            </w:r>
          </w:p>
        </w:tc>
      </w:tr>
      <w:tr>
        <w:trPr>
          <w:trHeight w:val="27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7 years</w:t>
            </w:r>
          </w:p>
        </w:tc>
      </w:tr>
      <w:tr>
        <w:trPr>
          <w:trHeight w:val="264"/>
        </w:trPr>
        <w:tc>
          <w:tcPr>
            <w:tcW w:w="4480" w:type="dxa"/>
            <w:vAlign w:val="bottom"/>
          </w:tcPr>
          <w:p>
            <w:pPr>
              <w:spacing w:after="0"/>
              <w:rPr>
                <w:sz w:val="20"/>
                <w:szCs w:val="20"/>
                <w:color w:val="auto"/>
              </w:rPr>
            </w:pPr>
            <w:r>
              <w:rPr>
                <w:rFonts w:ascii="Arial" w:cs="Arial" w:eastAsia="Arial" w:hAnsi="Arial"/>
                <w:sz w:val="16"/>
                <w:szCs w:val="16"/>
                <w:color w:val="auto"/>
              </w:rPr>
              <w:t>Office equipment</w:t>
            </w:r>
          </w:p>
        </w:tc>
        <w:tc>
          <w:tcPr>
            <w:tcW w:w="560" w:type="dxa"/>
            <w:vAlign w:val="bottom"/>
          </w:tcPr>
          <w:p>
            <w:pPr>
              <w:ind w:left="440"/>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5 years</w:t>
            </w:r>
          </w:p>
        </w:tc>
      </w:tr>
    </w:tbl>
    <w:p>
      <w:pPr>
        <w:spacing w:after="0" w:line="316" w:lineRule="exact"/>
        <w:rPr>
          <w:sz w:val="20"/>
          <w:szCs w:val="20"/>
          <w:color w:val="auto"/>
        </w:rPr>
      </w:pPr>
    </w:p>
    <w:p>
      <w:pPr>
        <w:ind w:firstLine="186"/>
        <w:spacing w:after="0" w:line="277" w:lineRule="auto"/>
        <w:rPr>
          <w:sz w:val="20"/>
          <w:szCs w:val="20"/>
          <w:color w:val="auto"/>
        </w:rPr>
      </w:pPr>
      <w:r>
        <w:rPr>
          <w:rFonts w:ascii="Arial" w:cs="Arial" w:eastAsia="Arial" w:hAnsi="Arial"/>
          <w:sz w:val="18"/>
          <w:szCs w:val="18"/>
          <w:color w:val="auto"/>
        </w:rPr>
        <w:t>Leasehold improvements are amortized over the shorter of the remaining term of the lease or the useful life of the improvement utilizing the straight-line method.</w:t>
      </w:r>
    </w:p>
    <w:p>
      <w:pPr>
        <w:spacing w:after="0" w:line="197" w:lineRule="exact"/>
        <w:rPr>
          <w:sz w:val="20"/>
          <w:szCs w:val="20"/>
          <w:color w:val="auto"/>
        </w:rPr>
      </w:pPr>
    </w:p>
    <w:p>
      <w:pPr>
        <w:ind w:firstLine="218"/>
        <w:spacing w:after="0" w:line="308" w:lineRule="auto"/>
        <w:rPr>
          <w:sz w:val="20"/>
          <w:szCs w:val="20"/>
          <w:color w:val="auto"/>
        </w:rPr>
      </w:pPr>
      <w:r>
        <w:rPr>
          <w:rFonts w:ascii="Arial" w:cs="Arial" w:eastAsia="Arial" w:hAnsi="Arial"/>
          <w:sz w:val="17"/>
          <w:szCs w:val="17"/>
          <w:color w:val="auto"/>
        </w:rPr>
        <w:t xml:space="preserve">The Company performs impairment tests for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when circumstances indicate that the carrying value of the asset may not be recoverable. There were no indicators of impairment in the fifty-two weeks ended August 26, 2023, August 27, 2022, or August 28, 2021.</w:t>
      </w:r>
    </w:p>
    <w:p>
      <w:pPr>
        <w:sectPr>
          <w:pgSz w:w="11900" w:h="16838" w:orient="portrait"/>
          <w:cols w:equalWidth="0" w:num="1">
            <w:col w:w="11240"/>
          </w:cols>
          <w:pgMar w:left="320" w:top="125" w:right="3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252" w:lineRule="exact"/>
        <w:rPr>
          <w:sz w:val="20"/>
          <w:szCs w:val="20"/>
          <w:color w:val="auto"/>
        </w:rPr>
      </w:pPr>
    </w:p>
    <w:p>
      <w:pPr>
        <w:jc w:val="both"/>
        <w:ind w:firstLine="207"/>
        <w:spacing w:after="0" w:line="30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and</w:t>
      </w:r>
      <w:r>
        <w:rPr>
          <w:rFonts w:ascii="Arial" w:cs="Arial" w:eastAsia="Arial" w:hAnsi="Arial"/>
          <w:sz w:val="16"/>
          <w:szCs w:val="16"/>
          <w:i w:val="1"/>
          <w:iCs w:val="1"/>
          <w:color w:val="auto"/>
        </w:rPr>
        <w:t xml:space="preserve"> Intangible assets, net </w:t>
      </w:r>
      <w:r>
        <w:rPr>
          <w:rFonts w:ascii="Arial" w:cs="Arial" w:eastAsia="Arial" w:hAnsi="Arial"/>
          <w:sz w:val="16"/>
          <w:szCs w:val="16"/>
          <w:color w:val="auto"/>
        </w:rPr>
        <w:t>result primarily from the consummation of the business combination between Conyers Park Acquisition Corp.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NCP-ATK Holdings, Inc. on July 7, 2017, which created the Company, and the acquisition of Quest. </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primarily includes brands 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Arial" w:cs="Arial" w:eastAsia="Arial" w:hAnsi="Arial"/>
          <w:sz w:val="16"/>
          <w:szCs w:val="16"/>
          <w:i w:val="1"/>
          <w:iCs w:val="1"/>
          <w:color w:val="auto"/>
        </w:rPr>
        <w:t>Goodwill</w:t>
      </w:r>
      <w:r>
        <w:rPr>
          <w:rFonts w:ascii="Arial" w:cs="Arial" w:eastAsia="Arial" w:hAnsi="Arial"/>
          <w:sz w:val="16"/>
          <w:szCs w:val="16"/>
          <w:color w:val="auto"/>
        </w:rPr>
        <w:t>.</w:t>
      </w:r>
    </w:p>
    <w:p>
      <w:pPr>
        <w:spacing w:after="0" w:line="184" w:lineRule="exact"/>
        <w:rPr>
          <w:sz w:val="20"/>
          <w:szCs w:val="20"/>
          <w:color w:val="auto"/>
        </w:rPr>
      </w:pPr>
    </w:p>
    <w:p>
      <w:pPr>
        <w:jc w:val="both"/>
        <w:ind w:firstLine="202"/>
        <w:spacing w:after="0" w:line="289" w:lineRule="auto"/>
        <w:rPr>
          <w:sz w:val="20"/>
          <w:szCs w:val="20"/>
          <w:color w:val="auto"/>
        </w:rPr>
      </w:pPr>
      <w:r>
        <w:rPr>
          <w:rFonts w:ascii="Arial" w:cs="Arial" w:eastAsia="Arial" w:hAnsi="Arial"/>
          <w:sz w:val="16"/>
          <w:szCs w:val="16"/>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 of a reporting unit or an indefinite-lived intangible asset is less than its carrying amount.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Impairment is indicated if the estimated fair value of the reporting unit or indefinite-lived intangible asset is less than the carrying amount, and an impairment charge is recognized for the differential.</w:t>
      </w:r>
    </w:p>
    <w:p>
      <w:pPr>
        <w:spacing w:after="0" w:line="193"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color w:val="auto"/>
        </w:rPr>
        <w:t>For fiscal year 2023, the Company performed a qualitative goodwill impairment assessment for its consolidated reporting unit and its indefinite-lived intangible assets. The qualitative assessments did not identify indicators of impairment, and it was determined that it was more likely than not the reporting unit and indefinite-lived intangibles had fair values in excess of their carrying values. Accordingly, no further impairment assessment was necessary, and the Company determined neither its reporting unit nor any indefinite-lived intangibles were impaired. There were no impairment charges related to goodwill in the fifty-two weeks ended August 26, 2023 or since the inception of the Company. There were no impairment charges related to indefinite-lived intangibles recognized in the fifty-two weeks ended August 26, 2023 or August 27, 2022. Refer to Note 4, Goodwill and Intangibles for additional information regarding the Company’s reporting units and impairment assessments.</w:t>
      </w:r>
    </w:p>
    <w:p>
      <w:pPr>
        <w:spacing w:after="0" w:line="204" w:lineRule="exact"/>
        <w:rPr>
          <w:sz w:val="20"/>
          <w:szCs w:val="20"/>
          <w:color w:val="auto"/>
        </w:rPr>
      </w:pPr>
    </w:p>
    <w:p>
      <w:pPr>
        <w:jc w:val="both"/>
        <w:ind w:firstLine="202"/>
        <w:spacing w:after="0" w:line="308" w:lineRule="auto"/>
        <w:rPr>
          <w:sz w:val="20"/>
          <w:szCs w:val="20"/>
          <w:color w:val="auto"/>
        </w:rPr>
      </w:pPr>
      <w:r>
        <w:rPr>
          <w:rFonts w:ascii="Arial" w:cs="Arial" w:eastAsia="Arial" w:hAnsi="Arial"/>
          <w:sz w:val="17"/>
          <w:szCs w:val="17"/>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and Debt Discounts</w:t>
      </w:r>
    </w:p>
    <w:p>
      <w:pPr>
        <w:spacing w:after="0" w:line="252"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auto"/>
        </w:rPr>
        <w:t>Costs incurred in obtaining long-term financing paid to parties other than creditors are considered a deferred financing cost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194"/>
        <w:spacing w:after="0" w:line="263" w:lineRule="auto"/>
        <w:rPr>
          <w:sz w:val="20"/>
          <w:szCs w:val="20"/>
          <w:color w:val="auto"/>
        </w:rPr>
      </w:pPr>
      <w:r>
        <w:rPr>
          <w:rFonts w:ascii="Arial" w:cs="Arial" w:eastAsia="Arial" w:hAnsi="Arial"/>
          <w:sz w:val="18"/>
          <w:szCs w:val="18"/>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211" w:lineRule="exact"/>
        <w:rPr>
          <w:sz w:val="20"/>
          <w:szCs w:val="20"/>
          <w:color w:val="auto"/>
        </w:rPr>
      </w:pPr>
    </w:p>
    <w:p>
      <w:pPr>
        <w:jc w:val="both"/>
        <w:ind w:firstLine="251"/>
        <w:spacing w:after="0" w:line="255" w:lineRule="auto"/>
        <w:rPr>
          <w:sz w:val="20"/>
          <w:szCs w:val="20"/>
          <w:color w:val="auto"/>
        </w:rPr>
      </w:pPr>
      <w:r>
        <w:rPr>
          <w:rFonts w:ascii="Arial" w:cs="Arial" w:eastAsia="Arial" w:hAnsi="Arial"/>
          <w:sz w:val="18"/>
          <w:szCs w:val="18"/>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197" w:lineRule="exact"/>
        <w:rPr>
          <w:sz w:val="20"/>
          <w:szCs w:val="20"/>
          <w:color w:val="auto"/>
        </w:rPr>
      </w:pPr>
    </w:p>
    <w:p>
      <w:pPr>
        <w:jc w:val="both"/>
        <w:ind w:firstLine="189"/>
        <w:spacing w:after="0" w:line="311" w:lineRule="auto"/>
        <w:rPr>
          <w:sz w:val="20"/>
          <w:szCs w:val="20"/>
          <w:color w:val="auto"/>
        </w:rPr>
      </w:pPr>
      <w:r>
        <w:rPr>
          <w:rFonts w:ascii="Arial" w:cs="Arial" w:eastAsia="Arial" w:hAnsi="Arial"/>
          <w:sz w:val="16"/>
          <w:szCs w:val="16"/>
          <w:color w:val="auto"/>
        </w:rPr>
        <w:t>The Company monitors for triggering events or conditions that require a reassessment of its leases. When the reassessment requires a 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Accounting</w:t>
      </w:r>
    </w:p>
    <w:p>
      <w:pPr>
        <w:spacing w:after="0" w:line="252" w:lineRule="exact"/>
        <w:rPr>
          <w:sz w:val="20"/>
          <w:szCs w:val="20"/>
          <w:color w:val="auto"/>
        </w:rPr>
      </w:pPr>
    </w:p>
    <w:p>
      <w:pPr>
        <w:jc w:val="both"/>
        <w:ind w:firstLine="208"/>
        <w:spacing w:after="0" w:line="257"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private placement stock purchase warrants, to determine if such instruments are derivatives or contain features that qualify as embedded derivatives, pursuant to ASC Topic 480, Distinguishing Liabilities from Equity, and ASC Topic 815-40, Derivatives and Hedging: Contracts in Entity’s Own Equity (“ASC 815-40”). The classification of derivative instruments, including whether such instruments should be recorded as liabilities or as equity, is assessed as part of this evaluation.</w:t>
      </w:r>
    </w:p>
    <w:p>
      <w:pPr>
        <w:spacing w:after="0" w:line="215"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18"/>
          <w:szCs w:val="18"/>
          <w:color w:val="auto"/>
        </w:rPr>
        <w:t>During the fifty-two weeks ended August 27, 2022 and August 28, 2021, the Company had outstanding liability-classified private warrants that allowed holders to purchase 6,700,000 shares of the Company’s common stock (the “Private Warrants”). Such Private Warrants were held by Conyers Park Sponsor, LLC (“Conyers Park”), a related party. Each whole warrant entitled the holder to purchase one share of the Company’s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liability-classified Private Warrants as of August 26, 2023 or August 27, 2022.</w:t>
      </w:r>
    </w:p>
    <w:p>
      <w:pPr>
        <w:spacing w:after="0" w:line="219" w:lineRule="exact"/>
        <w:rPr>
          <w:sz w:val="20"/>
          <w:szCs w:val="20"/>
          <w:color w:val="auto"/>
        </w:rPr>
      </w:pPr>
    </w:p>
    <w:p>
      <w:pPr>
        <w:jc w:val="both"/>
        <w:ind w:firstLine="288"/>
        <w:spacing w:after="0" w:line="272" w:lineRule="auto"/>
        <w:rPr>
          <w:sz w:val="20"/>
          <w:szCs w:val="20"/>
          <w:color w:val="auto"/>
        </w:rPr>
      </w:pPr>
      <w:r>
        <w:rPr>
          <w:rFonts w:ascii="Arial" w:cs="Arial" w:eastAsia="Arial" w:hAnsi="Arial"/>
          <w:sz w:val="17"/>
          <w:szCs w:val="17"/>
          <w:color w:val="auto"/>
        </w:rPr>
        <w:t xml:space="preserve">During the reporting periods the Private Warrants were outstanding, they were precluded from equity classification, being liability-classified. The Company accounted for these Private Warrants as a derivative warrant liability in accordance with ASC 815-40. Accordingly, the Company recognized the Private Warrants as a liability at fair value and adjusted the Private Warrants to fair value at each reporting period through other income. The fair value adjustments were determined using a Black-Scholes option-pricing methodology (“Black-Scholes model”). The valuation was primarily based on observable market data while the related theoretical private warrant volatility assumption within the Black-Scholes model represented a Level 3 measurement within the fair value measurement hierarchy. The periodic remeasurement of the Private Warrants was reflected in </w:t>
      </w:r>
      <w:r>
        <w:rPr>
          <w:rFonts w:ascii="Arial" w:cs="Arial" w:eastAsia="Arial" w:hAnsi="Arial"/>
          <w:sz w:val="17"/>
          <w:szCs w:val="17"/>
          <w:i w:val="1"/>
          <w:iCs w:val="1"/>
          <w:color w:val="auto"/>
        </w:rPr>
        <w:t>(Loss) in fair value change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warrant liability </w:t>
      </w:r>
      <w:r>
        <w:rPr>
          <w:rFonts w:ascii="Arial" w:cs="Arial" w:eastAsia="Arial" w:hAnsi="Arial"/>
          <w:sz w:val="17"/>
          <w:szCs w:val="17"/>
          <w:color w:val="auto"/>
        </w:rPr>
        <w:t>within the Consolidated Statements of Income and Comprehensive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214"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As of August 26, 2023 and August 27, 2022, the allowance for trade promotions was $28.8 million and $23.9 million, respectively.</w:t>
      </w:r>
    </w:p>
    <w:p>
      <w:pPr>
        <w:spacing w:after="0" w:line="222" w:lineRule="exact"/>
        <w:rPr>
          <w:sz w:val="20"/>
          <w:szCs w:val="20"/>
          <w:color w:val="auto"/>
        </w:rPr>
      </w:pPr>
    </w:p>
    <w:p>
      <w:pPr>
        <w:jc w:val="both"/>
        <w:ind w:firstLine="204"/>
        <w:spacing w:after="0" w:line="291" w:lineRule="auto"/>
        <w:rPr>
          <w:sz w:val="20"/>
          <w:szCs w:val="20"/>
          <w:color w:val="auto"/>
        </w:rPr>
      </w:pPr>
      <w:r>
        <w:rPr>
          <w:rFonts w:ascii="Arial" w:cs="Arial" w:eastAsia="Arial" w:hAnsi="Arial"/>
          <w:sz w:val="16"/>
          <w:szCs w:val="16"/>
          <w:color w:val="auto"/>
        </w:rPr>
        <w:t>Estimates of variable consideration are made using various information including historical data on performance of similar trade promotional activities, market data from IRI,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provides standard assurance type warranties that its products will comply with all agreed-upon specifications. No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176"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on the Consolidated Balance Sheets.</w:t>
      </w:r>
    </w:p>
    <w:p>
      <w:pPr>
        <w:spacing w:after="0" w:line="214" w:lineRule="exact"/>
        <w:rPr>
          <w:sz w:val="20"/>
          <w:szCs w:val="20"/>
          <w:color w:val="auto"/>
        </w:rPr>
      </w:pPr>
    </w:p>
    <w:p>
      <w:pPr>
        <w:jc w:val="both"/>
        <w:ind w:firstLine="210"/>
        <w:spacing w:after="0" w:line="263" w:lineRule="auto"/>
        <w:rPr>
          <w:sz w:val="20"/>
          <w:szCs w:val="20"/>
          <w:color w:val="auto"/>
        </w:rPr>
      </w:pPr>
      <w:r>
        <w:rPr>
          <w:rFonts w:ascii="Arial" w:cs="Arial" w:eastAsia="Arial" w:hAnsi="Arial"/>
          <w:sz w:val="18"/>
          <w:szCs w:val="18"/>
          <w:color w:val="auto"/>
        </w:rPr>
        <w:t>The Company utilizes third-party contract manufacturers for the manufacture of its products. The Company has evaluated whether it is the principal or agent in these relationships. The Company has determined that it is the principal in all cases, as it retains the responsibility for fulfillment and risk of loss, as well as establishes the price.</w:t>
      </w:r>
    </w:p>
    <w:p>
      <w:pPr>
        <w:spacing w:after="0" w:line="211"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7"/>
          <w:szCs w:val="17"/>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Consolidated Statements of Income and Comprehensive Income.</w:t>
      </w:r>
    </w:p>
    <w:p>
      <w:pPr>
        <w:spacing w:after="0" w:line="198" w:lineRule="exact"/>
        <w:rPr>
          <w:sz w:val="20"/>
          <w:szCs w:val="20"/>
          <w:color w:val="auto"/>
        </w:rPr>
      </w:pPr>
    </w:p>
    <w:p>
      <w:pPr>
        <w:jc w:val="both"/>
        <w:ind w:firstLine="214"/>
        <w:spacing w:after="0" w:line="342" w:lineRule="auto"/>
        <w:rPr>
          <w:sz w:val="20"/>
          <w:szCs w:val="20"/>
          <w:color w:val="auto"/>
        </w:rPr>
      </w:pPr>
      <w:r>
        <w:rPr>
          <w:rFonts w:ascii="Arial" w:cs="Arial" w:eastAsia="Arial" w:hAnsi="Arial"/>
          <w:sz w:val="16"/>
          <w:szCs w:val="16"/>
          <w:color w:val="auto"/>
        </w:rPr>
        <w:t>Revenues from transactions with external customers for each of the Company’s products would be impracticable to disclose and management does not view its business by product line. For revenue disaggregated by geographic area and brand refer to Note 14, Segment and Customer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190"/>
        <w:spacing w:after="0" w:line="263" w:lineRule="auto"/>
        <w:rPr>
          <w:sz w:val="20"/>
          <w:szCs w:val="20"/>
          <w:color w:val="auto"/>
        </w:rPr>
      </w:pPr>
      <w:r>
        <w:rPr>
          <w:rFonts w:ascii="Arial" w:cs="Arial" w:eastAsia="Arial" w:hAnsi="Arial"/>
          <w:sz w:val="18"/>
          <w:szCs w:val="18"/>
          <w:color w:val="auto"/>
        </w:rPr>
        <w:t>Costs of goods sold represent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52"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 xml:space="preserve">Shipping and handling costs include costs paid to third-party warehouse operators associated with delivering product to customers and depreciation and amortization of company-owned assets at the third-party warehouse. Shipping and handling costs are recognized in </w:t>
      </w:r>
      <w:r>
        <w:rPr>
          <w:rFonts w:ascii="Arial" w:cs="Arial" w:eastAsia="Arial" w:hAnsi="Arial"/>
          <w:sz w:val="18"/>
          <w:szCs w:val="18"/>
          <w:i w:val="1"/>
          <w:iCs w:val="1"/>
          <w:color w:val="auto"/>
        </w:rPr>
        <w:t>Cost of goods sold</w:t>
      </w:r>
      <w:r>
        <w:rPr>
          <w:rFonts w:ascii="Arial" w:cs="Arial" w:eastAsia="Arial" w:hAnsi="Arial"/>
          <w:sz w:val="18"/>
          <w:szCs w:val="18"/>
          <w:color w:val="auto"/>
        </w:rPr>
        <w:t>. Costs relating to products shipped to customers were $89.2 million, $91.7 million, and $66.5 million for the fifty-two weeks ended August 26, 2023, August 27, 2022, and August 28,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color w:val="auto"/>
        </w:rPr>
        <w:t xml:space="preserve">Production costs related to television commercials are expensed when first aired. All other advertising costs are expensed when incurred or when the advertising service is received through </w:t>
      </w:r>
      <w:r>
        <w:rPr>
          <w:rFonts w:ascii="Arial" w:cs="Arial" w:eastAsia="Arial" w:hAnsi="Arial"/>
          <w:sz w:val="18"/>
          <w:szCs w:val="18"/>
          <w:i w:val="1"/>
          <w:iCs w:val="1"/>
          <w:color w:val="auto"/>
        </w:rPr>
        <w:t>Selling and marketing</w:t>
      </w:r>
      <w:r>
        <w:rPr>
          <w:rFonts w:ascii="Arial" w:cs="Arial" w:eastAsia="Arial" w:hAnsi="Arial"/>
          <w:sz w:val="18"/>
          <w:szCs w:val="18"/>
          <w:color w:val="auto"/>
        </w:rPr>
        <w:t>. Total advertising costs were $79.2 million, $84.3 million, and $74.9 million for the fifty-two weeks ended August 26, 2023, August 27, 2022, and August 28, 2021, respectively.</w:t>
      </w:r>
    </w:p>
    <w:p>
      <w:pPr>
        <w:spacing w:after="0" w:line="211" w:lineRule="exact"/>
        <w:rPr>
          <w:sz w:val="20"/>
          <w:szCs w:val="20"/>
          <w:color w:val="auto"/>
        </w:rPr>
      </w:pPr>
    </w:p>
    <w:p>
      <w:pPr>
        <w:jc w:val="both"/>
        <w:ind w:firstLine="189"/>
        <w:spacing w:after="0" w:line="263" w:lineRule="auto"/>
        <w:rPr>
          <w:sz w:val="20"/>
          <w:szCs w:val="20"/>
          <w:color w:val="auto"/>
        </w:rPr>
      </w:pPr>
      <w:r>
        <w:rPr>
          <w:rFonts w:ascii="Arial" w:cs="Arial" w:eastAsia="Arial" w:hAnsi="Arial"/>
          <w:sz w:val="18"/>
          <w:szCs w:val="18"/>
          <w:color w:val="auto"/>
        </w:rPr>
        <w:t xml:space="preserve">Production costs related to television commercials not yet aired and prepaid advertising services not yet received are included in </w:t>
      </w:r>
      <w:r>
        <w:rPr>
          <w:rFonts w:ascii="Arial" w:cs="Arial" w:eastAsia="Arial" w:hAnsi="Arial"/>
          <w:sz w:val="18"/>
          <w:szCs w:val="18"/>
          <w:i w:val="1"/>
          <w:iCs w:val="1"/>
          <w:color w:val="auto"/>
        </w:rPr>
        <w:t>Prepaid expenses</w:t>
      </w:r>
      <w:r>
        <w:rPr>
          <w:rFonts w:ascii="Arial" w:cs="Arial" w:eastAsia="Arial" w:hAnsi="Arial"/>
          <w:sz w:val="18"/>
          <w:szCs w:val="18"/>
          <w:color w:val="auto"/>
        </w:rPr>
        <w:t xml:space="preserve"> in the accompanying Consolidated Balance Sheets. As of August 26, 2023 and August 27, 2022, total prepaid advertising expenses were $1.8 million and $2.0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52" w:lineRule="exact"/>
        <w:rPr>
          <w:sz w:val="20"/>
          <w:szCs w:val="20"/>
          <w:color w:val="auto"/>
        </w:rPr>
      </w:pPr>
    </w:p>
    <w:p>
      <w:pPr>
        <w:jc w:val="both"/>
        <w:ind w:firstLine="213"/>
        <w:spacing w:after="0" w:line="301" w:lineRule="auto"/>
        <w:rPr>
          <w:sz w:val="20"/>
          <w:szCs w:val="20"/>
          <w:color w:val="auto"/>
        </w:rPr>
      </w:pPr>
      <w:r>
        <w:rPr>
          <w:rFonts w:ascii="Arial" w:cs="Arial" w:eastAsia="Arial" w:hAnsi="Arial"/>
          <w:sz w:val="16"/>
          <w:szCs w:val="16"/>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The Company’s total research and development expenses were $4.3 million, $4.1 million, and $3.5 million for the fifty-two weeks ended August 26, 2023, August 27, 2022, and August 28,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right="20" w:firstLine="209"/>
        <w:spacing w:after="0" w:line="263" w:lineRule="auto"/>
        <w:rPr>
          <w:sz w:val="20"/>
          <w:szCs w:val="20"/>
          <w:color w:val="auto"/>
        </w:rPr>
      </w:pPr>
      <w:r>
        <w:rPr>
          <w:rFonts w:ascii="Arial" w:cs="Arial" w:eastAsia="Arial" w:hAnsi="Arial"/>
          <w:sz w:val="18"/>
          <w:szCs w:val="18"/>
          <w:color w:val="auto"/>
        </w:rPr>
        <w:t>The Company uses share-based compensation, including stock options, restricted stock units, performance stock units, and stock appreciation rights, to provide long-term performance incentives for its employees, directors, and consultants. Share-based compensation is recognized on a straight-line basis over the requisite service period of the award based on their grant-date fair value. Forfeitures are</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recognized as they occur. Share-based compensation expense is included in </w:t>
      </w: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52"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$1.4 million, $1.1 million, and $1.4 million for the fifty-two weeks ended August 26, 2023, August 27, 2022, and August 28,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jc w:val="both"/>
        <w:ind w:firstLine="188"/>
        <w:spacing w:after="0" w:line="259" w:lineRule="auto"/>
        <w:rPr>
          <w:sz w:val="20"/>
          <w:szCs w:val="20"/>
          <w:color w:val="auto"/>
        </w:rPr>
      </w:pPr>
      <w:r>
        <w:rPr>
          <w:rFonts w:ascii="Arial" w:cs="Arial" w:eastAsia="Arial" w:hAnsi="Arial"/>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Gains or losses resulting from transactions in foreign currencies are included in </w:t>
      </w:r>
      <w:r>
        <w:rPr>
          <w:rFonts w:ascii="Arial" w:cs="Arial" w:eastAsia="Arial" w:hAnsi="Arial"/>
          <w:sz w:val="18"/>
          <w:szCs w:val="18"/>
          <w:i w:val="1"/>
          <w:iCs w:val="1"/>
          <w:color w:val="auto"/>
        </w:rPr>
        <w:t>Other income (expense)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291"/>
        <w:spacing w:after="0" w:line="254" w:lineRule="auto"/>
        <w:rPr>
          <w:sz w:val="20"/>
          <w:szCs w:val="20"/>
          <w:color w:val="auto"/>
        </w:rPr>
      </w:pPr>
      <w:r>
        <w:rPr>
          <w:rFonts w:ascii="Arial" w:cs="Arial" w:eastAsia="Arial" w:hAnsi="Arial"/>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should be applied on a prospective basis.</w:t>
      </w:r>
    </w:p>
    <w:p>
      <w:pPr>
        <w:spacing w:after="0" w:line="222" w:lineRule="exact"/>
        <w:rPr>
          <w:sz w:val="20"/>
          <w:szCs w:val="20"/>
          <w:color w:val="auto"/>
        </w:rPr>
      </w:pPr>
    </w:p>
    <w:p>
      <w:pPr>
        <w:jc w:val="both"/>
        <w:ind w:firstLine="202"/>
        <w:spacing w:after="0" w:line="291" w:lineRule="auto"/>
        <w:rPr>
          <w:sz w:val="20"/>
          <w:szCs w:val="20"/>
          <w:color w:val="auto"/>
        </w:rPr>
      </w:pPr>
      <w:r>
        <w:rPr>
          <w:rFonts w:ascii="Arial" w:cs="Arial" w:eastAsia="Arial" w:hAnsi="Arial"/>
          <w:sz w:val="16"/>
          <w:szCs w:val="16"/>
          <w:color w:val="auto"/>
        </w:rPr>
        <w:t>On January 21, 2022, the Company entered into a repricing amendment (the “2022 Repricing Amendment”) to its credit agreement with Barclays Bank PLC and other parties (as amended to date, the “Credit Agreement”), as described in Note 6,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193" w:lineRule="exact"/>
        <w:rPr>
          <w:sz w:val="20"/>
          <w:szCs w:val="20"/>
          <w:color w:val="auto"/>
        </w:rPr>
      </w:pPr>
    </w:p>
    <w:p>
      <w:pPr>
        <w:jc w:val="both"/>
        <w:ind w:firstLine="278"/>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effect on the Company’s consolidated financial statements.</w:t>
      </w:r>
    </w:p>
    <w:p>
      <w:pPr>
        <w:spacing w:after="0" w:line="193"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Property and equipment, net</w:t>
      </w:r>
      <w:r>
        <w:rPr>
          <w:rFonts w:ascii="Arial" w:cs="Arial" w:eastAsia="Arial" w:hAnsi="Arial"/>
          <w:sz w:val="18"/>
          <w:szCs w:val="18"/>
          <w:color w:val="auto"/>
        </w:rPr>
        <w:t>, as presented with the Consolidated Balance Sheets, is summarized as follows:</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26, 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27, 2022</w:t>
            </w:r>
          </w:p>
        </w:tc>
      </w:tr>
      <w:tr>
        <w:trPr>
          <w:trHeight w:val="25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7,232</w:t>
            </w:r>
          </w:p>
        </w:tc>
      </w:tr>
      <w:tr>
        <w:trPr>
          <w:trHeight w:val="267"/>
        </w:trPr>
        <w:tc>
          <w:tcPr>
            <w:tcW w:w="3520" w:type="dxa"/>
            <w:vAlign w:val="bottom"/>
            <w:gridSpan w:val="2"/>
          </w:tcPr>
          <w:p>
            <w:pPr>
              <w:spacing w:after="0"/>
              <w:rPr>
                <w:sz w:val="20"/>
                <w:szCs w:val="20"/>
                <w:color w:val="auto"/>
              </w:rPr>
            </w:pPr>
            <w:r>
              <w:rPr>
                <w:rFonts w:ascii="Arial" w:cs="Arial" w:eastAsia="Arial" w:hAnsi="Arial"/>
                <w:sz w:val="16"/>
                <w:szCs w:val="16"/>
                <w:color w:val="auto"/>
              </w:rPr>
              <w:t>Computer equipment and software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7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6,292</w:t>
            </w:r>
          </w:p>
        </w:tc>
      </w:tr>
      <w:tr>
        <w:trPr>
          <w:trHeight w:val="267"/>
        </w:trPr>
        <w:tc>
          <w:tcPr>
            <w:tcW w:w="3520" w:type="dxa"/>
            <w:vAlign w:val="bottom"/>
            <w:gridSpan w:val="2"/>
          </w:tcPr>
          <w:p>
            <w:pPr>
              <w:spacing w:after="0"/>
              <w:rPr>
                <w:sz w:val="20"/>
                <w:szCs w:val="20"/>
                <w:color w:val="auto"/>
              </w:rPr>
            </w:pPr>
            <w:r>
              <w:rPr>
                <w:rFonts w:ascii="Arial" w:cs="Arial" w:eastAsia="Arial" w:hAnsi="Arial"/>
                <w:sz w:val="16"/>
                <w:szCs w:val="16"/>
                <w:color w:val="auto"/>
              </w:rPr>
              <w:t>Leasehold improvements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9,747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9,883</w:t>
            </w:r>
          </w:p>
        </w:tc>
      </w:tr>
      <w:tr>
        <w:trPr>
          <w:trHeight w:val="27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right-of-use-assets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67"/>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5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26,161</w:t>
            </w:r>
          </w:p>
        </w:tc>
      </w:tr>
      <w:tr>
        <w:trPr>
          <w:trHeight w:val="267"/>
        </w:trPr>
        <w:tc>
          <w:tcPr>
            <w:tcW w:w="3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(8,004)</w:t>
            </w:r>
          </w:p>
        </w:tc>
      </w:tr>
      <w:tr>
        <w:trPr>
          <w:trHeight w:val="251"/>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depreciation expense was $4.4 million for the fifty-two weeks ended August 26, 2023, $3.2 million for the fifty-two weeks</w:t>
      </w:r>
    </w:p>
    <w:p>
      <w:pPr>
        <w:sectPr>
          <w:pgSz w:w="11900" w:h="16838" w:orient="portrait"/>
          <w:cols w:equalWidth="0" w:num="1">
            <w:col w:w="11240"/>
          </w:cols>
          <w:pgMar w:left="320" w:top="12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ended August 27, 2022, and $2.3 million for the fifty-two weeks ended August 28,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Intangibles</w:t>
      </w:r>
    </w:p>
    <w:p>
      <w:pPr>
        <w:spacing w:after="0" w:line="256"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7"/>
          <w:szCs w:val="17"/>
          <w:color w:val="auto"/>
        </w:rPr>
        <w:t xml:space="preserve">As of August 26, 2023 and August 27, 2022,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in the Consolidated Balance Sheets was $543.1 million. For fiscal year 2023, the Company performed a qualitative goodwill impairment assessment for its consolidated reporting unit. The qualitative assessment did not identify indicators of impairment, and it was determined that it was more likely than not the reporting unit had a fair value in excess of its carrying value. Accordingly, no further impairment assessment was necessary, and the Company determined its reporting unit was not impaired. There were no impairment charges related to goodwill during the fifty-two weeks ended August 26, 2023 or since the inception of the Company.</w:t>
      </w:r>
    </w:p>
    <w:p>
      <w:pPr>
        <w:spacing w:after="0" w:line="203" w:lineRule="exact"/>
        <w:rPr>
          <w:sz w:val="20"/>
          <w:szCs w:val="20"/>
          <w:color w:val="auto"/>
        </w:rPr>
      </w:pPr>
    </w:p>
    <w:p>
      <w:pPr>
        <w:jc w:val="both"/>
        <w:ind w:firstLine="238"/>
        <w:spacing w:after="0" w:line="272" w:lineRule="auto"/>
        <w:rPr>
          <w:sz w:val="20"/>
          <w:szCs w:val="20"/>
          <w:color w:val="auto"/>
        </w:rPr>
      </w:pPr>
      <w:r>
        <w:rPr>
          <w:rFonts w:ascii="Arial" w:cs="Arial" w:eastAsia="Arial" w:hAnsi="Arial"/>
          <w:sz w:val="17"/>
          <w:szCs w:val="17"/>
          <w:color w:val="auto"/>
        </w:rPr>
        <w:t>During the fifty-two weeks ended August 27, 2022, the Company substantially completed its efforts to fully integrate its operations and organization structure after the Quest Acquisition. The Company aligned the nature of its production processes and the methods used to distribute products to customers for the Atkins® and Quest® brands. The Company also designed its organizational structure to support entity-wide business functions across brands, products, customers, and geographic regions. Additionally, the Company’s chief operating decision maker reviews operating results and forecasts at the consolidated level. As a result, during fifty-two weeks ended August 26, 2023 and August 27, 2022, the Company determined its operations are organized into one, consolidated operating segment and reporting unit. Previously, during the fifty-two weeks ended August 28, 2021, the Company had two reporting units which were its operating segments, Atkins and Quest.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Consolidated Balance Sheets consist of the following:</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209"/>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6"/>
                <w:szCs w:val="16"/>
                <w:color w:val="auto"/>
                <w:w w:val="92"/>
              </w:rPr>
              <w:t>August 26, 2023</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vMerge w:val="restart"/>
          </w:tcPr>
          <w:p>
            <w:pPr>
              <w:jc w:val="center"/>
              <w:ind w:right="360"/>
              <w:spacing w:after="0"/>
              <w:rPr>
                <w:sz w:val="20"/>
                <w:szCs w:val="20"/>
                <w:color w:val="auto"/>
              </w:rPr>
            </w:pPr>
            <w:r>
              <w:rPr>
                <w:rFonts w:ascii="Arial" w:cs="Arial" w:eastAsia="Arial" w:hAnsi="Arial"/>
                <w:sz w:val="16"/>
                <w:szCs w:val="16"/>
                <w:color w:val="auto"/>
                <w:w w:val="96"/>
              </w:rPr>
              <w:t>Useful life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Gross 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6"/>
                <w:szCs w:val="16"/>
                <w:color w:val="auto"/>
                <w:w w:val="92"/>
              </w:rPr>
              <w:t>Accumulated</w:t>
            </w: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6"/>
                <w:szCs w:val="16"/>
                <w:color w:val="auto"/>
                <w:w w:val="93"/>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6"/>
                <w:szCs w:val="16"/>
                <w:color w:val="auto"/>
                <w:w w:val="94"/>
              </w:rPr>
              <w:t>amortization</w:t>
            </w:r>
          </w:p>
        </w:tc>
        <w:tc>
          <w:tcPr>
            <w:tcW w:w="15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2"/>
                <w:szCs w:val="22"/>
                <w:color w:val="auto"/>
              </w:rPr>
            </w:pPr>
          </w:p>
        </w:tc>
        <w:tc>
          <w:tcPr>
            <w:tcW w:w="3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Intangible assets with indefinite life:</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Brands and trademarks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5"/>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974,000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3"/>
                <w:szCs w:val="23"/>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974,000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 assets with finite lives: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6"/>
                <w:szCs w:val="16"/>
                <w:color w:val="auto"/>
                <w:w w:val="87"/>
              </w:rPr>
              <w:t>15 years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174,000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53,303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120,697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Licensing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center"/>
              <w:ind w:right="380"/>
              <w:spacing w:after="0"/>
              <w:rPr>
                <w:sz w:val="20"/>
                <w:szCs w:val="20"/>
                <w:color w:val="auto"/>
              </w:rPr>
            </w:pPr>
            <w:r>
              <w:rPr>
                <w:rFonts w:ascii="Arial" w:cs="Arial" w:eastAsia="Arial" w:hAnsi="Arial"/>
                <w:sz w:val="16"/>
                <w:szCs w:val="16"/>
                <w:color w:val="auto"/>
                <w:w w:val="87"/>
              </w:rPr>
              <w:t>13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Proprietary recipes and formulas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6"/>
                <w:szCs w:val="16"/>
                <w:color w:val="auto"/>
                <w:w w:val="87"/>
              </w:rPr>
              <w:t>7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Software and website development costs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Intangible assets in progress</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gridSpan w:val="3"/>
          </w:tcPr>
          <w:p>
            <w:pPr>
              <w:ind w:left="100"/>
              <w:spacing w:after="0"/>
              <w:rPr>
                <w:sz w:val="20"/>
                <w:szCs w:val="20"/>
                <w:color w:val="auto"/>
              </w:rPr>
            </w:pPr>
            <w:r>
              <w:rPr>
                <w:rFonts w:ascii="Arial" w:cs="Arial" w:eastAsia="Arial" w:hAnsi="Arial"/>
                <w:sz w:val="16"/>
                <w:szCs w:val="16"/>
                <w:color w:val="auto"/>
              </w:rPr>
              <w:t>5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1,108,119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color w:val="auto"/>
                <w:w w:val="92"/>
              </w:rPr>
              <w:t>August 27, 2022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6"/>
                <w:szCs w:val="16"/>
                <w:color w:val="auto"/>
                <w:w w:val="96"/>
              </w:rPr>
              <w:t>Useful life</w:t>
            </w:r>
          </w:p>
        </w:tc>
        <w:tc>
          <w:tcPr>
            <w:tcW w:w="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color w:val="auto"/>
              </w:rPr>
              <w:t>Gross 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6"/>
                <w:szCs w:val="16"/>
                <w:color w:val="auto"/>
                <w:w w:val="95"/>
              </w:rPr>
              <w:t>Accumulated</w:t>
            </w:r>
          </w:p>
        </w:tc>
        <w:tc>
          <w:tcPr>
            <w:tcW w:w="120" w:type="dxa"/>
            <w:vAlign w:val="bottom"/>
          </w:tcPr>
          <w:p>
            <w:pPr>
              <w:spacing w:after="0"/>
              <w:rPr>
                <w:sz w:val="17"/>
                <w:szCs w:val="17"/>
                <w:color w:val="auto"/>
              </w:rPr>
            </w:pPr>
          </w:p>
        </w:tc>
        <w:tc>
          <w:tcPr>
            <w:tcW w:w="14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amount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94"/>
              </w:rPr>
              <w:t>amortization</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Intangible assets with indefinite life: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Arial" w:cs="Arial" w:eastAsia="Arial" w:hAnsi="Arial"/>
                <w:sz w:val="16"/>
                <w:szCs w:val="16"/>
                <w:color w:val="auto"/>
              </w:rPr>
              <w:t>Brands and trademarks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5"/>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974,000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Intangible assets with finite lives: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Arial" w:cs="Arial" w:eastAsia="Arial" w:hAnsi="Arial"/>
                <w:sz w:val="16"/>
                <w:szCs w:val="16"/>
                <w:color w:val="auto"/>
              </w:rPr>
              <w:t>Customer relationships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6"/>
                <w:szCs w:val="16"/>
                <w:color w:val="auto"/>
                <w:w w:val="87"/>
              </w:rPr>
              <w:t>15 years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174,000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41,703</w:t>
            </w:r>
          </w:p>
        </w:tc>
        <w:tc>
          <w:tcPr>
            <w:tcW w:w="20" w:type="dxa"/>
            <w:vAlign w:val="bottom"/>
          </w:tcPr>
          <w:p>
            <w:pPr>
              <w:spacing w:after="0"/>
              <w:rPr>
                <w:sz w:val="23"/>
                <w:szCs w:val="23"/>
                <w:color w:val="auto"/>
              </w:rPr>
            </w:pP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132,297</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Licensing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center"/>
              <w:ind w:right="380"/>
              <w:spacing w:after="0"/>
              <w:rPr>
                <w:sz w:val="20"/>
                <w:szCs w:val="20"/>
                <w:color w:val="auto"/>
              </w:rPr>
            </w:pPr>
            <w:r>
              <w:rPr>
                <w:rFonts w:ascii="Arial" w:cs="Arial" w:eastAsia="Arial" w:hAnsi="Arial"/>
                <w:sz w:val="16"/>
                <w:szCs w:val="16"/>
                <w:color w:val="auto"/>
                <w:w w:val="87"/>
              </w:rPr>
              <w:t>13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22,000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8,581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13,419</w:t>
            </w: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Arial" w:cs="Arial" w:eastAsia="Arial" w:hAnsi="Arial"/>
                <w:sz w:val="16"/>
                <w:szCs w:val="16"/>
                <w:color w:val="auto"/>
              </w:rPr>
              <w:t>Proprietary recipes and formulas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6"/>
                <w:szCs w:val="16"/>
                <w:color w:val="auto"/>
                <w:w w:val="87"/>
              </w:rPr>
              <w:t>7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7,000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5,131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70"/>
        </w:trPr>
        <w:tc>
          <w:tcPr>
            <w:tcW w:w="3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Software and website development costs</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5,863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4,190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1,182,863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59,605</w:t>
            </w:r>
          </w:p>
        </w:tc>
        <w:tc>
          <w:tcPr>
            <w:tcW w:w="20" w:type="dxa"/>
            <w:vAlign w:val="bottom"/>
          </w:tcPr>
          <w:p>
            <w:pPr>
              <w:spacing w:after="0"/>
              <w:rPr>
                <w:sz w:val="19"/>
                <w:szCs w:val="19"/>
                <w:color w:val="auto"/>
              </w:rPr>
            </w:pP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1,123,258</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Changes in </w:t>
      </w:r>
      <w:r>
        <w:rPr>
          <w:rFonts w:ascii="Arial" w:cs="Arial" w:eastAsia="Arial" w:hAnsi="Arial"/>
          <w:sz w:val="17"/>
          <w:szCs w:val="17"/>
          <w:i w:val="1"/>
          <w:iCs w:val="1"/>
          <w:color w:val="auto"/>
        </w:rPr>
        <w:t>Intangible assets, net</w:t>
      </w:r>
      <w:r>
        <w:rPr>
          <w:rFonts w:ascii="Arial" w:cs="Arial" w:eastAsia="Arial" w:hAnsi="Arial"/>
          <w:sz w:val="17"/>
          <w:szCs w:val="17"/>
          <w:color w:val="auto"/>
        </w:rPr>
        <w:t xml:space="preserve"> during the fifty-two weeks ended August 26, 2023 and August 27, 2022 were primarily related to recurring amortization expense. Changes in </w:t>
      </w:r>
      <w:r>
        <w:rPr>
          <w:rFonts w:ascii="Arial" w:cs="Arial" w:eastAsia="Arial" w:hAnsi="Arial"/>
          <w:sz w:val="17"/>
          <w:szCs w:val="17"/>
          <w:i w:val="1"/>
          <w:iCs w:val="1"/>
          <w:color w:val="auto"/>
        </w:rPr>
        <w:t>Intangible assets, net</w:t>
      </w:r>
      <w:r>
        <w:rPr>
          <w:rFonts w:ascii="Arial" w:cs="Arial" w:eastAsia="Arial" w:hAnsi="Arial"/>
          <w:sz w:val="17"/>
          <w:szCs w:val="17"/>
          <w:color w:val="auto"/>
        </w:rPr>
        <w:t xml:space="preserve"> during the fifty-two weeks ended August 28, 2021 were primarily related to the sale of the assets and liabilities of the Company’s SimplyProtein brand and recurring amortization expense. In conjunction with the SimplyProtein Sale, the Company sold its SimplyProtein brand intangible asset, which had a carrying value of approximately $5.0 million as of the date of the sale.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187"/>
        <w:spacing w:after="0" w:line="301" w:lineRule="auto"/>
        <w:rPr>
          <w:sz w:val="20"/>
          <w:szCs w:val="20"/>
          <w:color w:val="auto"/>
        </w:rPr>
      </w:pPr>
      <w:r>
        <w:rPr>
          <w:rFonts w:ascii="Arial" w:cs="Arial" w:eastAsia="Arial" w:hAnsi="Arial"/>
          <w:sz w:val="16"/>
          <w:szCs w:val="16"/>
          <w:color w:val="auto"/>
        </w:rPr>
        <w:t>During the fifty-two weeks ended August 26, 2023, the Company performed qualitative impairment assessments for its indefinite-lived intangible assets. The qualitative assessments did not identify indicators of impairment, and it was determined that it was more likely than not each indefinite-lived intangible asset had fair values in excess of their carrying values. Accordingly, no further impairment assessment was necessary. There were no impairment charges related to indefinite-lived intangibles recognized in the fifty-two weeks ended August 26, 2023, August 27, 2022, or August 28, 2021, respectively.</w:t>
      </w:r>
    </w:p>
    <w:p>
      <w:pPr>
        <w:spacing w:after="0" w:line="184" w:lineRule="exact"/>
        <w:rPr>
          <w:sz w:val="20"/>
          <w:szCs w:val="20"/>
          <w:color w:val="auto"/>
        </w:rPr>
      </w:pPr>
    </w:p>
    <w:p>
      <w:pPr>
        <w:jc w:val="both"/>
        <w:ind w:firstLine="227"/>
        <w:spacing w:after="0" w:line="259" w:lineRule="auto"/>
        <w:rPr>
          <w:sz w:val="20"/>
          <w:szCs w:val="20"/>
          <w:color w:val="auto"/>
        </w:rPr>
      </w:pPr>
      <w:r>
        <w:rPr>
          <w:rFonts w:ascii="Arial" w:cs="Arial" w:eastAsia="Arial" w:hAnsi="Arial"/>
          <w:sz w:val="18"/>
          <w:szCs w:val="18"/>
          <w:color w:val="auto"/>
        </w:rPr>
        <w:t>During the fifty-two weeks ended August 26, 2023, the Company did not identify indicators of impairment related to its finite-lived intangible assets, which are tested for impairment when events or circumstances indicated that the carrying amount may not be recoverable. There were no impairment charges related to the Company’s finite-lived intangible assets in the fifty-two weeks ended August 26, 2023, August 27, 2022, or August 28, 2021,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related to intangible assets was $15.7 million for the fifty-two weeks ended August 26, 2023, $15.8 million for the fifty-two weeks ended August 27, 2022, and $15.6 million for the fifty-two weeks ended August 28, 2021.</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351" w:lineRule="exact"/>
        <w:rPr>
          <w:sz w:val="20"/>
          <w:szCs w:val="20"/>
          <w:color w:val="auto"/>
        </w:rPr>
      </w:pPr>
    </w:p>
    <w:tbl>
      <w:tblPr>
        <w:tblLayout w:type="fixed"/>
        <w:tblInd w:w="3080" w:type="dxa"/>
        <w:tblCellMar>
          <w:top w:w="0" w:type="dxa"/>
          <w:left w:w="0" w:type="dxa"/>
          <w:bottom w:w="0" w:type="dxa"/>
          <w:right w:w="0" w:type="dxa"/>
        </w:tblCellMar>
      </w:tblPr>
      <w:tr>
        <w:trPr>
          <w:trHeight w:val="209"/>
        </w:trPr>
        <w:tc>
          <w:tcPr>
            <w:tcW w:w="356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15,091</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13,980</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13,740</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13,556</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w:t>
            </w:r>
          </w:p>
        </w:tc>
      </w:tr>
      <w:tr>
        <w:trPr>
          <w:trHeight w:val="267"/>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64,156</w:t>
            </w:r>
          </w:p>
        </w:tc>
      </w:tr>
      <w:tr>
        <w:trPr>
          <w:trHeight w:val="25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134,040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in the Consolidated Balance Sheets were comprised of the following:</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26,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27, 2022</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advertising allowances and claims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3,856</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bonus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12,761</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freight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2,065</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payroll-related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commissions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1,422</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VAT payable</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5,171</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capital expenditures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Other accrued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7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7,566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r>
      <w:tr>
        <w:trPr>
          <w:trHeight w:val="226"/>
        </w:trPr>
        <w:tc>
          <w:tcPr>
            <w:tcW w:w="3500" w:type="dxa"/>
            <w:vAlign w:val="bottom"/>
            <w:gridSpan w:val="2"/>
          </w:tcPr>
          <w:p>
            <w:pPr>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39,675</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Long-Term Debt and Line of Credit</w:t>
      </w:r>
    </w:p>
    <w:p>
      <w:pPr>
        <w:spacing w:after="0" w:line="256"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5"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11" w:lineRule="exact"/>
        <w:rPr>
          <w:sz w:val="20"/>
          <w:szCs w:val="20"/>
          <w:color w:val="auto"/>
        </w:rPr>
      </w:pPr>
    </w:p>
    <w:p>
      <w:pPr>
        <w:jc w:val="both"/>
        <w:ind w:firstLine="184"/>
        <w:spacing w:after="0" w:line="311" w:lineRule="auto"/>
        <w:rPr>
          <w:sz w:val="20"/>
          <w:szCs w:val="20"/>
          <w:color w:val="auto"/>
        </w:rPr>
      </w:pPr>
      <w:r>
        <w:rPr>
          <w:rFonts w:ascii="Arial" w:cs="Arial" w:eastAsia="Arial" w:hAnsi="Arial"/>
          <w:sz w:val="16"/>
          <w:szCs w:val="16"/>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76"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as of the 2023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3" w:lineRule="auto"/>
        <w:tabs>
          <w:tab w:leader="none" w:pos="6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197" w:lineRule="exact"/>
        <w:rPr>
          <w:sz w:val="20"/>
          <w:szCs w:val="20"/>
          <w:color w:val="auto"/>
        </w:rPr>
      </w:pPr>
    </w:p>
    <w:p>
      <w:pPr>
        <w:jc w:val="both"/>
        <w:ind w:firstLine="236"/>
        <w:spacing w:after="0" w:line="273" w:lineRule="auto"/>
        <w:rPr>
          <w:sz w:val="20"/>
          <w:szCs w:val="20"/>
          <w:color w:val="auto"/>
        </w:rPr>
      </w:pPr>
      <w:r>
        <w:rPr>
          <w:rFonts w:ascii="Arial" w:cs="Arial" w:eastAsia="Arial" w:hAnsi="Arial"/>
          <w:sz w:val="17"/>
          <w:szCs w:val="17"/>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26, 2023 and August 27, 2022,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324" w:lineRule="exact"/>
        <w:rPr>
          <w:sz w:val="20"/>
          <w:szCs w:val="20"/>
          <w:color w:val="auto"/>
        </w:rPr>
      </w:pPr>
    </w:p>
    <w:tbl>
      <w:tblPr>
        <w:tblLayout w:type="fixed"/>
        <w:tblInd w:w="1800" w:type="dxa"/>
        <w:tblCellMar>
          <w:top w:w="0" w:type="dxa"/>
          <w:left w:w="0" w:type="dxa"/>
          <w:bottom w:w="0" w:type="dxa"/>
          <w:right w:w="0" w:type="dxa"/>
        </w:tblCellMar>
      </w:tblPr>
      <w:tr>
        <w:trPr>
          <w:trHeight w:val="23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4"/>
              </w:rPr>
              <w:t>August 26,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27, 2022</w:t>
            </w:r>
          </w:p>
        </w:tc>
        <w:tc>
          <w:tcPr>
            <w:tcW w:w="0" w:type="dxa"/>
            <w:vAlign w:val="bottom"/>
          </w:tcPr>
          <w:p>
            <w:pPr>
              <w:spacing w:after="0"/>
              <w:rPr>
                <w:sz w:val="1"/>
                <w:szCs w:val="1"/>
                <w:color w:val="auto"/>
              </w:rPr>
            </w:pPr>
          </w:p>
        </w:tc>
      </w:tr>
      <w:tr>
        <w:trPr>
          <w:trHeight w:val="25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Facility (effective rate of 7.9% at August 26, 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406,500</w:t>
            </w:r>
          </w:p>
        </w:tc>
        <w:tc>
          <w:tcPr>
            <w:tcW w:w="0" w:type="dxa"/>
            <w:vAlign w:val="bottom"/>
          </w:tcPr>
          <w:p>
            <w:pPr>
              <w:spacing w:after="0"/>
              <w:rPr>
                <w:sz w:val="1"/>
                <w:szCs w:val="1"/>
                <w:color w:val="auto"/>
              </w:rPr>
            </w:pPr>
          </w:p>
        </w:tc>
      </w:tr>
      <w:tr>
        <w:trPr>
          <w:trHeight w:val="166"/>
        </w:trPr>
        <w:tc>
          <w:tcPr>
            <w:tcW w:w="45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Finance lease liabilities (effective rate of 5.6% at August 26,</w:t>
            </w:r>
          </w:p>
        </w:tc>
        <w:tc>
          <w:tcPr>
            <w:tcW w:w="16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9"/>
        </w:trPr>
        <w:tc>
          <w:tcPr>
            <w:tcW w:w="4360" w:type="dxa"/>
            <w:vAlign w:val="bottom"/>
          </w:tcPr>
          <w:p>
            <w:pPr>
              <w:ind w:left="18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250"/>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281,792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403,286</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Current finance lease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26"/>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281,649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403,022</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49"/>
        <w:spacing w:after="0" w:line="263" w:lineRule="auto"/>
        <w:rPr>
          <w:sz w:val="20"/>
          <w:szCs w:val="20"/>
          <w:color w:val="auto"/>
        </w:rPr>
      </w:pPr>
      <w:r>
        <w:rPr>
          <w:rFonts w:ascii="Arial" w:cs="Arial" w:eastAsia="Arial" w:hAnsi="Arial"/>
          <w:sz w:val="18"/>
          <w:szCs w:val="18"/>
          <w:color w:val="auto"/>
        </w:rPr>
        <w:t>As of August 26, 2023,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August 26, 2023.</w:t>
      </w:r>
    </w:p>
    <w:p>
      <w:pPr>
        <w:spacing w:after="0" w:line="211" w:lineRule="exact"/>
        <w:rPr>
          <w:sz w:val="20"/>
          <w:szCs w:val="20"/>
          <w:color w:val="auto"/>
        </w:rPr>
      </w:pPr>
    </w:p>
    <w:p>
      <w:pPr>
        <w:jc w:val="both"/>
        <w:ind w:firstLine="190"/>
        <w:spacing w:after="0" w:line="277" w:lineRule="auto"/>
        <w:rPr>
          <w:sz w:val="20"/>
          <w:szCs w:val="20"/>
          <w:color w:val="auto"/>
        </w:rPr>
      </w:pPr>
      <w:r>
        <w:rPr>
          <w:rFonts w:ascii="Arial" w:cs="Arial" w:eastAsia="Arial" w:hAnsi="Arial"/>
          <w:sz w:val="18"/>
          <w:szCs w:val="18"/>
          <w:color w:val="auto"/>
        </w:rPr>
        <w:t>The Company is not required to make principal payments on the Term Facility over the twelve months following the period ended August 26, 2023. The outstanding balance of the Term Facility is due upon its maturity in March 2027.</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August 26, 2023, aggregate principal maturities of debt for each of the next five fiscal years and thereafter are as follows:</w:t>
      </w:r>
    </w:p>
    <w:p>
      <w:pPr>
        <w:spacing w:after="0" w:line="351" w:lineRule="exact"/>
        <w:rPr>
          <w:sz w:val="20"/>
          <w:szCs w:val="20"/>
          <w:color w:val="auto"/>
        </w:rPr>
      </w:pPr>
    </w:p>
    <w:tbl>
      <w:tblPr>
        <w:tblLayout w:type="fixed"/>
        <w:tblInd w:w="3080" w:type="dxa"/>
        <w:tblCellMar>
          <w:top w:w="0" w:type="dxa"/>
          <w:left w:w="0" w:type="dxa"/>
          <w:bottom w:w="0" w:type="dxa"/>
          <w:right w:w="0" w:type="dxa"/>
        </w:tblCellMar>
      </w:tblPr>
      <w:tr>
        <w:trPr>
          <w:trHeight w:val="209"/>
        </w:trPr>
        <w:tc>
          <w:tcPr>
            <w:tcW w:w="35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4"/>
              </w:rPr>
              <w:t>Principal maturities</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2024</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285,000</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285,143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26, 2023 and August 27, 2022, the book value of the Company’s debt approximated fair value. The estimated fair value of the Term Loan is valued based on observable inputs and classified as Level 2 in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56"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252" w:lineRule="exact"/>
        <w:rPr>
          <w:sz w:val="20"/>
          <w:szCs w:val="20"/>
          <w:color w:val="auto"/>
        </w:rPr>
      </w:pPr>
    </w:p>
    <w:p>
      <w:pPr>
        <w:jc w:val="both"/>
        <w:ind w:firstLine="191"/>
        <w:spacing w:after="0" w:line="257" w:lineRule="auto"/>
        <w:rPr>
          <w:sz w:val="20"/>
          <w:szCs w:val="20"/>
          <w:color w:val="auto"/>
        </w:rPr>
      </w:pPr>
      <w:r>
        <w:rPr>
          <w:rFonts w:ascii="Arial" w:cs="Arial" w:eastAsia="Arial" w:hAnsi="Arial"/>
          <w:sz w:val="18"/>
          <w:szCs w:val="18"/>
          <w:color w:val="auto"/>
        </w:rPr>
        <w:t>During the fifty-two weeks ended August 27, 2022 and August 28, 2021, the Company had outstanding liability-classified Private Warrants that allowed holders to purchase 6,700,000 shares of the Company’s common stock. Such Private Warrants were held by Conyers Park Sponsor, LLC (“Conyers Park”), a related party. On January 7, 2022, Conyers Park elected to exercise the Private Warrants in full on a cashless basis, resulting in a net issuance of 4,830,761 shares of the Company’s common stock. As a result of Conyers Park’s election to exercise the Private Warrants, there were no outstanding liability-classified Private Warrants as of August 26, 2023 or</w:t>
      </w:r>
    </w:p>
    <w:p>
      <w:pPr>
        <w:sectPr>
          <w:pgSz w:w="11900" w:h="16838" w:orient="portrait"/>
          <w:cols w:equalWidth="0" w:num="1">
            <w:col w:w="11240"/>
          </w:cols>
          <w:pgMar w:left="320" w:top="125"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August 27, 2022. Refer to Note 11, Stockholders’ Equity, for additional details regarding the cashless exercise of the Private Warrants.</w:t>
      </w:r>
    </w:p>
    <w:p>
      <w:pPr>
        <w:spacing w:after="0" w:line="252" w:lineRule="exact"/>
        <w:rPr>
          <w:sz w:val="20"/>
          <w:szCs w:val="20"/>
          <w:color w:val="auto"/>
        </w:rPr>
      </w:pPr>
    </w:p>
    <w:p>
      <w:pPr>
        <w:jc w:val="both"/>
        <w:ind w:firstLine="220"/>
        <w:spacing w:after="0" w:line="272" w:lineRule="auto"/>
        <w:rPr>
          <w:sz w:val="20"/>
          <w:szCs w:val="20"/>
          <w:color w:val="auto"/>
        </w:rPr>
      </w:pPr>
      <w:r>
        <w:rPr>
          <w:rFonts w:ascii="Arial" w:cs="Arial" w:eastAsia="Arial" w:hAnsi="Arial"/>
          <w:sz w:val="17"/>
          <w:szCs w:val="17"/>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w:t>
      </w:r>
    </w:p>
    <w:p>
      <w:pPr>
        <w:spacing w:after="0" w:line="204"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8"/>
          <w:szCs w:val="18"/>
          <w:color w:val="auto"/>
        </w:rPr>
        <w:t xml:space="preserve">The periodic remeasurement of the warrant liability has been reflected in </w:t>
      </w:r>
      <w:r>
        <w:rPr>
          <w:rFonts w:ascii="Arial" w:cs="Arial" w:eastAsia="Arial" w:hAnsi="Arial"/>
          <w:sz w:val="18"/>
          <w:szCs w:val="18"/>
          <w:i w:val="1"/>
          <w:iCs w:val="1"/>
          <w:color w:val="auto"/>
        </w:rPr>
        <w:t>(Loss) in fair value change of warrant liability</w:t>
      </w:r>
      <w:r>
        <w:rPr>
          <w:rFonts w:ascii="Arial" w:cs="Arial" w:eastAsia="Arial" w:hAnsi="Arial"/>
          <w:sz w:val="18"/>
          <w:szCs w:val="18"/>
          <w:color w:val="auto"/>
        </w:rPr>
        <w:t xml:space="preserve"> within the Consolidated Statements of Income and Comprehensive Income. The adjustments for the fifty-two weeks ended August 27, 2022 and August 28, 2021 resulted in a loss of $30.1 million and $66.2 million, respectively. As a result of the warrant exercise on January 7, 2022, there was no associated adjustment during the fifty-two weeks ended August 26, 2023.</w:t>
      </w:r>
    </w:p>
    <w:p>
      <w:pPr>
        <w:spacing w:after="0" w:line="214"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8"/>
          <w:szCs w:val="18"/>
          <w:color w:val="auto"/>
        </w:rPr>
        <w:t>There were no transfers of financial instruments between the three levels of the fair value hierarchy during the fiscal years ended August 26, 2023, August 27, 2022, and August 28, 2021, respectively.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all other components of the balance sheet such as accounts receivable, cash and cash equivalents and others approximated fair value as of August 26, 2023.</w:t>
      </w:r>
    </w:p>
    <w:p>
      <w:pPr>
        <w:spacing w:after="0" w:line="193"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sources of income before income taxes are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26, 2023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27, 2022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r>
      <w:tr>
        <w:trPr>
          <w:trHeight w:val="25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173,733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79,526</w:t>
            </w:r>
          </w:p>
        </w:tc>
      </w:tr>
      <w:tr>
        <w:trPr>
          <w:trHeight w:val="267"/>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r>
      <w:tr>
        <w:trPr>
          <w:trHeight w:val="251"/>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175,692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80,860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 was comprised of the following:</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26, 2023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27, 2022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4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24,740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22,733</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23,225</w:t>
            </w:r>
          </w:p>
        </w:tc>
      </w:tr>
      <w:tr>
        <w:trPr>
          <w:trHeight w:val="273"/>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30,577</w:t>
            </w: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44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8,804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11,218</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5,982</w:t>
            </w:r>
          </w:p>
        </w:tc>
      </w:tr>
      <w:tr>
        <w:trPr>
          <w:trHeight w:val="273"/>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5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deferred 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11,789</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Total tax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42,117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39,980</w:t>
            </w: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52-Weeks Ended</w:t>
            </w:r>
          </w:p>
        </w:tc>
      </w:tr>
      <w:tr>
        <w:trPr>
          <w:trHeight w:val="27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August 26, 2023</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August 27, 2022</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August 28, 2021</w:t>
            </w:r>
          </w:p>
        </w:tc>
      </w:tr>
      <w:tr>
        <w:trPr>
          <w:trHeight w:val="25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income tax expense: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Change in fair value of warrant liabilities</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3"/>
                <w:szCs w:val="23"/>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20.5</w:t>
            </w:r>
          </w:p>
        </w:tc>
      </w:tr>
      <w:tr>
        <w:trPr>
          <w:trHeight w:val="27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income tax expense, net of federal</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Valuation allowance</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27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Taxes on foreign income above the U.S. tax</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Change in tax rate</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3"/>
                <w:szCs w:val="23"/>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1.8</w:t>
            </w:r>
          </w:p>
        </w:tc>
      </w:tr>
      <w:tr>
        <w:trPr>
          <w:trHeight w:val="270"/>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permanent items</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r>
      <w:tr>
        <w:trPr>
          <w:trHeight w:val="226"/>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27.9 %</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49.4 %</w:t>
            </w: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197"/>
        <w:spacing w:after="0" w:line="277"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at August 26, 2023 and August 27, 2022 were as follows:</w:t>
      </w:r>
    </w:p>
    <w:p>
      <w:pPr>
        <w:spacing w:after="0" w:line="242"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36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26, 2023</w:t>
            </w:r>
          </w:p>
        </w:tc>
        <w:tc>
          <w:tcPr>
            <w:tcW w:w="16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w w:val="94"/>
              </w:rPr>
              <w:t>August 27, 2022</w:t>
            </w:r>
          </w:p>
        </w:tc>
        <w:tc>
          <w:tcPr>
            <w:tcW w:w="0" w:type="dxa"/>
            <w:vAlign w:val="bottom"/>
          </w:tcPr>
          <w:p>
            <w:pPr>
              <w:spacing w:after="0"/>
              <w:rPr>
                <w:sz w:val="1"/>
                <w:szCs w:val="1"/>
                <w:color w:val="auto"/>
              </w:rPr>
            </w:pPr>
          </w:p>
        </w:tc>
      </w:tr>
      <w:tr>
        <w:trPr>
          <w:trHeight w:val="57"/>
        </w:trPr>
        <w:tc>
          <w:tcPr>
            <w:tcW w:w="336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Accounts receivable allowances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Share based compensation</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3,430</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12,733</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Tax capitalization of inventory costs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Transaction costs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Federal benefit of state taxes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50"/>
        </w:trPr>
        <w:tc>
          <w:tcPr>
            <w:tcW w:w="350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28,509</w:t>
            </w:r>
          </w:p>
        </w:tc>
        <w:tc>
          <w:tcPr>
            <w:tcW w:w="0" w:type="dxa"/>
            <w:vAlign w:val="bottom"/>
          </w:tcPr>
          <w:p>
            <w:pPr>
              <w:spacing w:after="0"/>
              <w:rPr>
                <w:sz w:val="1"/>
                <w:szCs w:val="1"/>
                <w:color w:val="auto"/>
              </w:rPr>
            </w:pPr>
          </w:p>
        </w:tc>
      </w:tr>
      <w:tr>
        <w:trPr>
          <w:trHeight w:val="273"/>
        </w:trPr>
        <w:tc>
          <w:tcPr>
            <w:tcW w:w="3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Excess tax over book depreciation</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(127,791)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(116,682)</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Lease right-of-use assets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(11,660)</w:t>
            </w:r>
          </w:p>
        </w:tc>
        <w:tc>
          <w:tcPr>
            <w:tcW w:w="0" w:type="dxa"/>
            <w:vAlign w:val="bottom"/>
          </w:tcPr>
          <w:p>
            <w:pPr>
              <w:spacing w:after="0"/>
              <w:rPr>
                <w:sz w:val="1"/>
                <w:szCs w:val="1"/>
                <w:color w:val="auto"/>
              </w:rPr>
            </w:pPr>
          </w:p>
        </w:tc>
      </w:tr>
      <w:tr>
        <w:trPr>
          <w:trHeight w:val="267"/>
        </w:trPr>
        <w:tc>
          <w:tcPr>
            <w:tcW w:w="3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(144,064)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(134,053)</w:t>
            </w:r>
          </w:p>
        </w:tc>
        <w:tc>
          <w:tcPr>
            <w:tcW w:w="0" w:type="dxa"/>
            <w:vAlign w:val="bottom"/>
          </w:tcPr>
          <w:p>
            <w:pPr>
              <w:spacing w:after="0"/>
              <w:rPr>
                <w:sz w:val="1"/>
                <w:szCs w:val="1"/>
                <w:color w:val="auto"/>
              </w:rPr>
            </w:pPr>
          </w:p>
        </w:tc>
      </w:tr>
      <w:tr>
        <w:trPr>
          <w:trHeight w:val="226"/>
        </w:trPr>
        <w:tc>
          <w:tcPr>
            <w:tcW w:w="3500" w:type="dxa"/>
            <w:vAlign w:val="bottom"/>
            <w:gridSpan w:val="2"/>
          </w:tcPr>
          <w:p>
            <w:pPr>
              <w:spacing w:after="0"/>
              <w:rPr>
                <w:sz w:val="20"/>
                <w:szCs w:val="20"/>
                <w:color w:val="auto"/>
              </w:rPr>
            </w:pPr>
            <w:r>
              <w:rPr>
                <w:rFonts w:ascii="Arial" w:cs="Arial" w:eastAsia="Arial" w:hAnsi="Arial"/>
                <w:sz w:val="16"/>
                <w:szCs w:val="16"/>
                <w:color w:val="auto"/>
              </w:rPr>
              <w:t>Net deferred tax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(105,544)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8"/>
          <w:szCs w:val="18"/>
          <w:color w:val="auto"/>
        </w:rPr>
        <w:t>The Company had state net operating loss carryforwards of $0.3 million and $2.1 million at August 26, 2023 and August 27, 2022, respectively. The state net operating loss carryforwards will begin to expire in 2030.</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August 26, 2023, the Company has no valuation allowances on its deferred tax assets.</w:t>
      </w:r>
    </w:p>
    <w:p>
      <w:pPr>
        <w:spacing w:after="0" w:line="252" w:lineRule="exact"/>
        <w:rPr>
          <w:sz w:val="20"/>
          <w:szCs w:val="20"/>
          <w:color w:val="auto"/>
        </w:rPr>
      </w:pPr>
    </w:p>
    <w:p>
      <w:pPr>
        <w:jc w:val="both"/>
        <w:ind w:firstLine="199"/>
        <w:spacing w:after="0" w:line="257" w:lineRule="auto"/>
        <w:rPr>
          <w:sz w:val="20"/>
          <w:szCs w:val="20"/>
          <w:color w:val="auto"/>
        </w:rPr>
      </w:pPr>
      <w:r>
        <w:rPr>
          <w:rFonts w:ascii="Arial" w:cs="Arial" w:eastAsia="Arial" w:hAnsi="Arial"/>
          <w:sz w:val="18"/>
          <w:szCs w:val="18"/>
          <w:color w:val="auto"/>
        </w:rPr>
        <w:t>As of August 26, 2023, the Company does not intend to indefinitely reinvest its foreign earnings within its subsidiary in Canada and has not recognized any tax liabilities related to this jurisdiction. It is the Company’s intention to reinvest the earnings of its other non-U.S. subsidiaries in its Australia and New Zealand operations. As of August 26, 2023,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August 26, 2023 and August 27, 2022, the Company has no unrecognized tax benefits.</w:t>
      </w:r>
    </w:p>
    <w:p>
      <w:pPr>
        <w:spacing w:after="0" w:line="252" w:lineRule="exact"/>
        <w:rPr>
          <w:sz w:val="20"/>
          <w:szCs w:val="20"/>
          <w:color w:val="auto"/>
        </w:rPr>
      </w:pPr>
    </w:p>
    <w:p>
      <w:pPr>
        <w:jc w:val="both"/>
        <w:ind w:firstLine="267"/>
        <w:spacing w:after="0" w:line="263" w:lineRule="auto"/>
        <w:rPr>
          <w:sz w:val="20"/>
          <w:szCs w:val="20"/>
          <w:color w:val="auto"/>
        </w:rPr>
      </w:pPr>
      <w:r>
        <w:rPr>
          <w:rFonts w:ascii="Arial" w:cs="Arial" w:eastAsia="Arial" w:hAnsi="Arial"/>
          <w:sz w:val="18"/>
          <w:szCs w:val="18"/>
          <w:color w:val="auto"/>
        </w:rPr>
        <w:t>The Company records interest and penalties associated with unrecognized tax benefits as a component of tax expense. As of August 26, 2023 and August 27, 2022, the Company has not accrued any interest or penalties on unrecognized tax benefits, as there is no position recorded as of these fiscal year-ends. No changes to the uncertain tax position balance are anticipated within the next 12 months,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and are not expected to materially affect the financial statements.</w:t>
      </w:r>
    </w:p>
    <w:p>
      <w:pPr>
        <w:spacing w:after="0" w:line="252" w:lineRule="exact"/>
        <w:rPr>
          <w:sz w:val="20"/>
          <w:szCs w:val="20"/>
          <w:color w:val="auto"/>
        </w:rPr>
      </w:pPr>
    </w:p>
    <w:p>
      <w:pPr>
        <w:jc w:val="both"/>
        <w:ind w:firstLine="241"/>
        <w:spacing w:after="0" w:line="263" w:lineRule="auto"/>
        <w:rPr>
          <w:sz w:val="20"/>
          <w:szCs w:val="20"/>
          <w:color w:val="auto"/>
        </w:rPr>
      </w:pPr>
      <w:r>
        <w:rPr>
          <w:rFonts w:ascii="Arial" w:cs="Arial" w:eastAsia="Arial" w:hAnsi="Arial"/>
          <w:sz w:val="18"/>
          <w:szCs w:val="18"/>
          <w:color w:val="auto"/>
        </w:rPr>
        <w:t>As of August 26, 2023, tax years 2016 to 2022 remain subject to examination in the United States and the tax years 2016 to 2022 remain subject to examination in other major foreign jurisdictions where the Company conducts business. State income tax returns are generally subject to examination for a period of three to six years after the filing of the respective return.</w:t>
      </w:r>
    </w:p>
    <w:p>
      <w:pPr>
        <w:spacing w:after="0" w:line="200" w:lineRule="exact"/>
        <w:rPr>
          <w:sz w:val="20"/>
          <w:szCs w:val="20"/>
          <w:color w:val="auto"/>
        </w:rPr>
      </w:pPr>
    </w:p>
    <w:p>
      <w:pPr>
        <w:spacing w:after="0" w:line="250"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were as follows.</w:t>
      </w:r>
    </w:p>
    <w:p>
      <w:pPr>
        <w:spacing w:after="0" w:line="351" w:lineRule="exact"/>
        <w:rPr>
          <w:sz w:val="20"/>
          <w:szCs w:val="20"/>
          <w:color w:val="auto"/>
        </w:rPr>
      </w:pPr>
    </w:p>
    <w:tbl>
      <w:tblPr>
        <w:tblLayout w:type="fixed"/>
        <w:tblInd w:w="680" w:type="dxa"/>
        <w:tblCellMar>
          <w:top w:w="0" w:type="dxa"/>
          <w:left w:w="0" w:type="dxa"/>
          <w:bottom w:w="0" w:type="dxa"/>
          <w:right w:w="0" w:type="dxa"/>
        </w:tblCellMar>
      </w:tblPr>
      <w:tr>
        <w:trPr>
          <w:trHeight w:val="206"/>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2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w w:val="89"/>
              </w:rPr>
              <w:t>52-Weeks Ended</w:t>
            </w:r>
          </w:p>
        </w:tc>
        <w:tc>
          <w:tcPr>
            <w:tcW w:w="0" w:type="dxa"/>
            <w:vAlign w:val="bottom"/>
          </w:tcPr>
          <w:p>
            <w:pPr>
              <w:spacing w:after="0"/>
              <w:rPr>
                <w:sz w:val="1"/>
                <w:szCs w:val="1"/>
                <w:color w:val="auto"/>
              </w:rPr>
            </w:pPr>
          </w:p>
        </w:tc>
      </w:tr>
      <w:tr>
        <w:trPr>
          <w:trHeight w:val="27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 of Operations Caption</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26, 2023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27, 2022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2"/>
              </w:rPr>
              <w:t>August 28, 2021</w:t>
            </w:r>
          </w:p>
        </w:tc>
        <w:tc>
          <w:tcPr>
            <w:tcW w:w="0" w:type="dxa"/>
            <w:vAlign w:val="bottom"/>
          </w:tcPr>
          <w:p>
            <w:pPr>
              <w:spacing w:after="0"/>
              <w:rPr>
                <w:sz w:val="1"/>
                <w:szCs w:val="1"/>
                <w:color w:val="auto"/>
              </w:rPr>
            </w:pPr>
          </w:p>
        </w:tc>
      </w:tr>
      <w:tr>
        <w:trPr>
          <w:trHeight w:val="25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660" w:type="dxa"/>
            <w:vAlign w:val="bottom"/>
            <w:gridSpan w:val="2"/>
            <w:vMerge w:val="restart"/>
          </w:tcPr>
          <w:p>
            <w:pPr>
              <w:ind w:left="140"/>
              <w:spacing w:after="0"/>
              <w:rPr>
                <w:sz w:val="20"/>
                <w:szCs w:val="20"/>
                <w:color w:val="auto"/>
              </w:rPr>
            </w:pPr>
            <w:r>
              <w:rPr>
                <w:rFonts w:ascii="Arial" w:cs="Arial" w:eastAsia="Arial" w:hAnsi="Arial"/>
                <w:sz w:val="16"/>
                <w:szCs w:val="16"/>
                <w:color w:val="auto"/>
              </w:rPr>
              <w:t>Lease cost</w:t>
            </w:r>
          </w:p>
        </w:tc>
        <w:tc>
          <w:tcPr>
            <w:tcW w:w="2680" w:type="dxa"/>
            <w:vAlign w:val="bottom"/>
            <w:gridSpan w:val="2"/>
          </w:tcPr>
          <w:p>
            <w:pPr>
              <w:ind w:left="20"/>
              <w:spacing w:after="0" w:line="166" w:lineRule="exact"/>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and</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8,998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9,077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6,752</w:t>
            </w:r>
          </w:p>
        </w:tc>
        <w:tc>
          <w:tcPr>
            <w:tcW w:w="0" w:type="dxa"/>
            <w:vAlign w:val="bottom"/>
          </w:tcPr>
          <w:p>
            <w:pPr>
              <w:spacing w:after="0"/>
              <w:rPr>
                <w:sz w:val="1"/>
                <w:szCs w:val="1"/>
                <w:color w:val="auto"/>
              </w:rPr>
            </w:pPr>
          </w:p>
        </w:tc>
      </w:tr>
      <w:tr>
        <w:trPr>
          <w:trHeight w:val="209"/>
        </w:trPr>
        <w:tc>
          <w:tcPr>
            <w:tcW w:w="2660" w:type="dxa"/>
            <w:vAlign w:val="bottom"/>
            <w:gridSpan w:val="2"/>
            <w:vMerge w:val="continue"/>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Arial" w:cs="Arial" w:eastAsia="Arial" w:hAnsi="Arial"/>
                <w:sz w:val="16"/>
                <w:szCs w:val="16"/>
                <w:i w:val="1"/>
                <w:iCs w:val="1"/>
                <w:color w:val="auto"/>
              </w:rPr>
              <w:t>administrative</w:t>
            </w:r>
          </w:p>
        </w:tc>
        <w:tc>
          <w:tcPr>
            <w:tcW w:w="1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26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and</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12"/>
        </w:trPr>
        <w:tc>
          <w:tcPr>
            <w:tcW w:w="2660" w:type="dxa"/>
            <w:vAlign w:val="bottom"/>
            <w:gridSpan w:val="2"/>
            <w:vMerge w:val="continue"/>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60" w:type="dxa"/>
            <w:vAlign w:val="bottom"/>
            <w:gridSpan w:val="2"/>
          </w:tcPr>
          <w:p>
            <w:pPr>
              <w:ind w:left="220"/>
              <w:spacing w:after="0"/>
              <w:rPr>
                <w:sz w:val="20"/>
                <w:szCs w:val="20"/>
                <w:color w:val="auto"/>
              </w:rPr>
            </w:pPr>
            <w:r>
              <w:rPr>
                <w:rFonts w:ascii="Arial" w:cs="Arial" w:eastAsia="Arial" w:hAnsi="Arial"/>
                <w:sz w:val="16"/>
                <w:szCs w:val="16"/>
                <w:color w:val="auto"/>
              </w:rPr>
              <w:t>Total operating lease cost</w:t>
            </w:r>
          </w:p>
        </w:tc>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12,554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12,145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73"/>
        </w:trPr>
        <w:tc>
          <w:tcPr>
            <w:tcW w:w="2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 of right-of use assets</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Cost of goods sold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67"/>
        </w:trPr>
        <w:tc>
          <w:tcPr>
            <w:tcW w:w="2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on lease liabilities</w:t>
            </w:r>
          </w:p>
        </w:tc>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Interest expense</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3"/>
        </w:trPr>
        <w:tc>
          <w:tcPr>
            <w:tcW w:w="2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finance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Variable lease cost primarily consists of common area maintenance, such as cleaning and repairs.</w:t>
      </w:r>
    </w:p>
    <w:p>
      <w:pPr>
        <w:spacing w:after="0" w:line="17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conjunction with the Company’s restructuring activities as discussed in Note 15, Restructuring and Related Charges, the Company recorded an immaterial gain on lease termination related to its lease in the Netherlands in the fifty-two weeks ended August 27, 2022 and a $0.5 million impairment charge, net of a gain on lease termination, related to its leases in Toronto, Ontario and the Netherlands in the fifty-two weeks ended August 28, 2021. The effect of these restructuring activities has been included within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xml:space="preserve"> on the Consolidated Statements of Income and Comprehensive Income. Refer to Note 15, Restructuring and Related Charges, for additional information regarding restructuring activities.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right-of-use assets and corresponding liabilities related to both operating and finance leases are as follows:</w:t>
      </w:r>
    </w:p>
    <w:p>
      <w:pPr>
        <w:spacing w:after="0" w:line="351"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26, 2023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27, 2022</w:t>
            </w:r>
          </w:p>
        </w:tc>
      </w:tr>
      <w:tr>
        <w:trPr>
          <w:trHeight w:val="25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180" w:type="dxa"/>
            <w:vAlign w:val="bottom"/>
            <w:gridSpan w:val="2"/>
          </w:tcPr>
          <w:p>
            <w:pPr>
              <w:spacing w:after="0"/>
              <w:rPr>
                <w:sz w:val="20"/>
                <w:szCs w:val="20"/>
                <w:color w:val="auto"/>
              </w:rPr>
            </w:pPr>
            <w:r>
              <w:rPr>
                <w:rFonts w:ascii="Arial" w:cs="Arial" w:eastAsia="Arial" w:hAnsi="Arial"/>
                <w:sz w:val="16"/>
                <w:szCs w:val="16"/>
                <w:i w:val="1"/>
                <w:iCs w:val="1"/>
                <w:color w:val="auto"/>
              </w:rPr>
              <w:t>Other long-term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40,022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46,460</w:t>
            </w:r>
          </w:p>
        </w:tc>
      </w:tr>
      <w:tr>
        <w:trPr>
          <w:trHeight w:val="27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Property and equipment, net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26"/>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Total lease assets</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46,827</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3180" w:type="dxa"/>
            <w:vAlign w:val="bottom"/>
            <w:gridSpan w:val="2"/>
          </w:tcPr>
          <w:p>
            <w:pPr>
              <w:spacing w:after="0"/>
              <w:rPr>
                <w:sz w:val="20"/>
                <w:szCs w:val="20"/>
                <w:color w:val="auto"/>
              </w:rPr>
            </w:pPr>
            <w:r>
              <w:rPr>
                <w:rFonts w:ascii="Arial" w:cs="Arial" w:eastAsia="Arial" w:hAnsi="Arial"/>
                <w:sz w:val="16"/>
                <w:szCs w:val="16"/>
                <w:i w:val="1"/>
                <w:iCs w:val="1"/>
                <w:color w:val="auto"/>
                <w:w w:val="97"/>
              </w:rPr>
              <w:t>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7,566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6,249</w:t>
            </w:r>
          </w:p>
        </w:tc>
      </w:tr>
      <w:tr>
        <w:trPr>
          <w:trHeight w:val="273"/>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Current maturities of long-term debt</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r>
      <w:tr>
        <w:trPr>
          <w:trHeight w:val="26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Other long-term liabilities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44,482</w:t>
            </w:r>
          </w:p>
        </w:tc>
      </w:tr>
      <w:tr>
        <w:trPr>
          <w:trHeight w:val="26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Finance lease liabilities</w:t>
            </w:r>
          </w:p>
        </w:tc>
        <w:tc>
          <w:tcPr>
            <w:tcW w:w="3180" w:type="dxa"/>
            <w:vAlign w:val="bottom"/>
            <w:gridSpan w:val="2"/>
          </w:tcPr>
          <w:p>
            <w:pPr>
              <w:spacing w:after="0"/>
              <w:rPr>
                <w:sz w:val="20"/>
                <w:szCs w:val="20"/>
                <w:color w:val="auto"/>
              </w:rPr>
            </w:pPr>
            <w:r>
              <w:rPr>
                <w:rFonts w:ascii="Arial" w:cs="Arial" w:eastAsia="Arial" w:hAnsi="Arial"/>
                <w:sz w:val="16"/>
                <w:szCs w:val="16"/>
                <w:i w:val="1"/>
                <w:iCs w:val="1"/>
                <w:color w:val="auto"/>
              </w:rPr>
              <w:t>Long-term debt, less current maturities</w:t>
            </w:r>
          </w:p>
        </w:tc>
        <w:tc>
          <w:tcPr>
            <w:tcW w:w="14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251"/>
        </w:trPr>
        <w:tc>
          <w:tcPr>
            <w:tcW w:w="2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51,137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August 26, 2023 were as follows:</w:t>
      </w:r>
    </w:p>
    <w:p>
      <w:pPr>
        <w:spacing w:after="0" w:line="351" w:lineRule="exact"/>
        <w:rPr>
          <w:sz w:val="20"/>
          <w:szCs w:val="20"/>
          <w:color w:val="auto"/>
        </w:rPr>
      </w:pPr>
    </w:p>
    <w:tbl>
      <w:tblPr>
        <w:tblLayout w:type="fixed"/>
        <w:tblInd w:w="3000" w:type="dxa"/>
        <w:tblCellMar>
          <w:top w:w="0" w:type="dxa"/>
          <w:left w:w="0" w:type="dxa"/>
          <w:bottom w:w="0" w:type="dxa"/>
          <w:right w:w="0" w:type="dxa"/>
        </w:tblCellMar>
      </w:tblPr>
      <w:tr>
        <w:trPr>
          <w:trHeight w:val="209"/>
        </w:trPr>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0"/>
              </w:rPr>
              <w:t>Operating Leases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2"/>
              </w:rPr>
              <w:t>Finance Leases</w:t>
            </w:r>
          </w:p>
        </w:tc>
      </w:tr>
      <w:tr>
        <w:trPr>
          <w:trHeight w:val="253"/>
        </w:trPr>
        <w:tc>
          <w:tcPr>
            <w:tcW w:w="2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Fiscal year ending:</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7"/>
        </w:trPr>
        <w:tc>
          <w:tcPr>
            <w:tcW w:w="2100" w:type="dxa"/>
            <w:vAlign w:val="bottom"/>
          </w:tcPr>
          <w:p>
            <w:pPr>
              <w:ind w:left="1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9,476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73"/>
        </w:trPr>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2100" w:type="dxa"/>
            <w:vAlign w:val="bottom"/>
          </w:tcPr>
          <w:p>
            <w:pPr>
              <w:ind w:left="1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2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2100" w:type="dxa"/>
            <w:vAlign w:val="bottom"/>
          </w:tcPr>
          <w:p>
            <w:pPr>
              <w:ind w:left="120"/>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6,447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240" w:type="dxa"/>
            <w:vAlign w:val="bottom"/>
            <w:gridSpan w:val="2"/>
          </w:tcPr>
          <w:p>
            <w:pPr>
              <w:spacing w:after="0"/>
              <w:rPr>
                <w:sz w:val="20"/>
                <w:szCs w:val="20"/>
                <w:color w:val="auto"/>
              </w:rPr>
            </w:pPr>
            <w:r>
              <w:rPr>
                <w:rFonts w:ascii="Arial" w:cs="Arial" w:eastAsia="Arial" w:hAnsi="Arial"/>
                <w:sz w:val="16"/>
                <w:szCs w:val="16"/>
                <w:color w:val="auto"/>
              </w:rPr>
              <w:t>Total lease payments</w:t>
            </w: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70"/>
        </w:trPr>
        <w:tc>
          <w:tcPr>
            <w:tcW w:w="2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6"/>
        </w:trPr>
        <w:tc>
          <w:tcPr>
            <w:tcW w:w="2240" w:type="dxa"/>
            <w:vAlign w:val="bottom"/>
            <w:gridSpan w:val="2"/>
          </w:tcPr>
          <w:p>
            <w:pPr>
              <w:spacing w:after="0"/>
              <w:rPr>
                <w:sz w:val="20"/>
                <w:szCs w:val="20"/>
                <w:color w:val="auto"/>
              </w:rPr>
            </w:pPr>
            <w:r>
              <w:rPr>
                <w:rFonts w:ascii="Arial" w:cs="Arial" w:eastAsia="Arial" w:hAnsi="Arial"/>
                <w:sz w:val="16"/>
                <w:szCs w:val="16"/>
                <w:color w:val="auto"/>
                <w:w w:val="99"/>
              </w:rPr>
              <w:t>Present value of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August 26, 2023</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color w:val="auto"/>
              </w:rPr>
              <w:t>August 27, 2022</w:t>
            </w:r>
          </w:p>
        </w:tc>
        <w:tc>
          <w:tcPr>
            <w:tcW w:w="1400" w:type="dxa"/>
            <w:vAlign w:val="bottom"/>
          </w:tcPr>
          <w:p>
            <w:pPr>
              <w:spacing w:after="0"/>
              <w:rPr>
                <w:sz w:val="18"/>
                <w:szCs w:val="18"/>
                <w:color w:val="auto"/>
              </w:rPr>
            </w:pPr>
          </w:p>
        </w:tc>
      </w:tr>
      <w:tr>
        <w:trPr>
          <w:trHeight w:val="253"/>
        </w:trPr>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Weighted-average remaining lease term (in years)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tcPr>
          <w:p>
            <w:pPr>
              <w:spacing w:after="0"/>
              <w:rPr>
                <w:sz w:val="22"/>
                <w:szCs w:val="22"/>
                <w:color w:val="auto"/>
              </w:rPr>
            </w:pPr>
          </w:p>
        </w:tc>
      </w:tr>
      <w:tr>
        <w:trPr>
          <w:trHeight w:val="267"/>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80" w:type="dxa"/>
            <w:vAlign w:val="bottom"/>
            <w:gridSpan w:val="2"/>
          </w:tcPr>
          <w:p>
            <w:pPr>
              <w:ind w:left="12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6.24</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w w:val="83"/>
              </w:rPr>
              <w:t>7.27</w:t>
            </w:r>
          </w:p>
        </w:tc>
        <w:tc>
          <w:tcPr>
            <w:tcW w:w="1400" w:type="dxa"/>
            <w:vAlign w:val="bottom"/>
          </w:tcPr>
          <w:p>
            <w:pPr>
              <w:spacing w:after="0"/>
              <w:rPr>
                <w:sz w:val="23"/>
                <w:szCs w:val="23"/>
                <w:color w:val="auto"/>
              </w:rPr>
            </w:pPr>
          </w:p>
        </w:tc>
      </w:tr>
      <w:tr>
        <w:trPr>
          <w:trHeight w:val="273"/>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8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3"/>
              </w:rPr>
              <w:t>1.51</w:t>
            </w:r>
          </w:p>
        </w:tc>
        <w:tc>
          <w:tcPr>
            <w:tcW w:w="1400" w:type="dxa"/>
            <w:vAlign w:val="bottom"/>
          </w:tcPr>
          <w:p>
            <w:pPr>
              <w:spacing w:after="0"/>
              <w:rPr>
                <w:sz w:val="23"/>
                <w:szCs w:val="23"/>
                <w:color w:val="auto"/>
              </w:rPr>
            </w:pPr>
          </w:p>
        </w:tc>
      </w:tr>
      <w:tr>
        <w:trPr>
          <w:trHeight w:val="267"/>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3"/>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60" w:type="dxa"/>
            <w:vAlign w:val="bottom"/>
            <w:shd w:val="clear" w:color="auto" w:fill="CCEEFF"/>
          </w:tcPr>
          <w:p>
            <w:pPr>
              <w:spacing w:after="0"/>
              <w:rPr>
                <w:sz w:val="23"/>
                <w:szCs w:val="23"/>
                <w:color w:val="auto"/>
              </w:rPr>
            </w:pPr>
          </w:p>
        </w:tc>
        <w:tc>
          <w:tcPr>
            <w:tcW w:w="15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4.7 %</w:t>
            </w:r>
          </w:p>
        </w:tc>
        <w:tc>
          <w:tcPr>
            <w:tcW w:w="1400" w:type="dxa"/>
            <w:vAlign w:val="bottom"/>
          </w:tcPr>
          <w:p>
            <w:pPr>
              <w:spacing w:after="0"/>
              <w:rPr>
                <w:sz w:val="23"/>
                <w:szCs w:val="23"/>
                <w:color w:val="auto"/>
              </w:rPr>
            </w:pPr>
          </w:p>
        </w:tc>
      </w:tr>
      <w:tr>
        <w:trPr>
          <w:trHeight w:val="264"/>
        </w:trPr>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80" w:type="dxa"/>
            <w:vAlign w:val="bottom"/>
            <w:gridSpan w:val="2"/>
          </w:tcPr>
          <w:p>
            <w:pPr>
              <w:ind w:left="120"/>
              <w:spacing w:after="0"/>
              <w:rPr>
                <w:sz w:val="20"/>
                <w:szCs w:val="20"/>
                <w:color w:val="auto"/>
              </w:rPr>
            </w:pPr>
            <w:r>
              <w:rPr>
                <w:rFonts w:ascii="Arial" w:cs="Arial" w:eastAsia="Arial" w:hAnsi="Arial"/>
                <w:sz w:val="16"/>
                <w:szCs w:val="16"/>
                <w:color w:val="auto"/>
              </w:rPr>
              <w:t>Finance leases</w:t>
            </w:r>
          </w:p>
        </w:tc>
        <w:tc>
          <w:tcPr>
            <w:tcW w:w="18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5.6 %</w:t>
            </w:r>
          </w:p>
        </w:tc>
        <w:tc>
          <w:tcPr>
            <w:tcW w:w="60" w:type="dxa"/>
            <w:vAlign w:val="bottom"/>
          </w:tcPr>
          <w:p>
            <w:pPr>
              <w:spacing w:after="0"/>
              <w:rPr>
                <w:sz w:val="22"/>
                <w:szCs w:val="22"/>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6"/>
                <w:szCs w:val="16"/>
                <w:color w:val="auto"/>
              </w:rPr>
              <w:t>5.6 %</w:t>
            </w:r>
          </w:p>
        </w:tc>
        <w:tc>
          <w:tcPr>
            <w:tcW w:w="1400" w:type="dxa"/>
            <w:vAlign w:val="bottom"/>
          </w:tcPr>
          <w:p>
            <w:pPr>
              <w:spacing w:after="0"/>
              <w:rPr>
                <w:sz w:val="22"/>
                <w:szCs w:val="22"/>
                <w:color w:val="auto"/>
              </w:rPr>
            </w:pPr>
          </w:p>
        </w:tc>
      </w:tr>
      <w:tr>
        <w:trPr>
          <w:trHeight w:val="546"/>
        </w:trPr>
        <w:tc>
          <w:tcPr>
            <w:tcW w:w="5420" w:type="dxa"/>
            <w:vAlign w:val="bottom"/>
            <w:gridSpan w:val="4"/>
          </w:tcPr>
          <w:p>
            <w:pPr>
              <w:spacing w:after="0"/>
              <w:rPr>
                <w:sz w:val="20"/>
                <w:szCs w:val="20"/>
                <w:color w:val="auto"/>
              </w:rPr>
            </w:pPr>
            <w:r>
              <w:rPr>
                <w:rFonts w:ascii="Arial" w:cs="Arial" w:eastAsia="Arial" w:hAnsi="Arial"/>
                <w:sz w:val="18"/>
                <w:szCs w:val="18"/>
                <w:color w:val="auto"/>
                <w:w w:val="98"/>
              </w:rPr>
              <w:t>Supplemental and other information related to leases was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80"/>
        </w:trPr>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52-Weeks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w w:val="92"/>
              </w:rPr>
              <w:t>52-Weeks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w w:val="96"/>
              </w:rPr>
              <w:t>52-Weeks Ended</w:t>
            </w:r>
          </w:p>
        </w:tc>
      </w:tr>
      <w:tr>
        <w:trPr>
          <w:trHeight w:val="219"/>
        </w:trPr>
        <w:tc>
          <w:tcPr>
            <w:tcW w:w="740" w:type="dxa"/>
            <w:vAlign w:val="bottom"/>
          </w:tcPr>
          <w:p>
            <w:pPr>
              <w:spacing w:after="0"/>
              <w:rPr>
                <w:sz w:val="19"/>
                <w:szCs w:val="19"/>
                <w:color w:val="auto"/>
              </w:rPr>
            </w:pP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2"/>
              </w:rPr>
              <w:t>August 26, 2023</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96"/>
              </w:rPr>
              <w:t>August 27, 2022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9"/>
              </w:rPr>
              <w:t>August 28, 2021</w:t>
            </w:r>
          </w:p>
        </w:tc>
      </w:tr>
      <w:tr>
        <w:trPr>
          <w:trHeight w:val="162"/>
        </w:trPr>
        <w:tc>
          <w:tcPr>
            <w:tcW w:w="740" w:type="dxa"/>
            <w:vAlign w:val="bottom"/>
          </w:tcPr>
          <w:p>
            <w:pPr>
              <w:spacing w:after="0"/>
              <w:rPr>
                <w:sz w:val="14"/>
                <w:szCs w:val="14"/>
                <w:color w:val="auto"/>
              </w:rPr>
            </w:pPr>
          </w:p>
        </w:tc>
        <w:tc>
          <w:tcPr>
            <w:tcW w:w="468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Cash paid for amounts included in the measurement of lease</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2"/>
        </w:trPr>
        <w:tc>
          <w:tcPr>
            <w:tcW w:w="740" w:type="dxa"/>
            <w:vAlign w:val="bottom"/>
          </w:tcPr>
          <w:p>
            <w:pPr>
              <w:spacing w:after="0"/>
              <w:rPr>
                <w:sz w:val="18"/>
                <w:szCs w:val="18"/>
                <w:color w:val="auto"/>
              </w:rPr>
            </w:pPr>
          </w:p>
        </w:tc>
        <w:tc>
          <w:tcPr>
            <w:tcW w:w="4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67"/>
        </w:trPr>
        <w:tc>
          <w:tcPr>
            <w:tcW w:w="740" w:type="dxa"/>
            <w:vAlign w:val="bottom"/>
          </w:tcPr>
          <w:p>
            <w:pPr>
              <w:spacing w:after="0"/>
              <w:rPr>
                <w:sz w:val="23"/>
                <w:szCs w:val="23"/>
                <w:color w:val="auto"/>
              </w:rPr>
            </w:pPr>
          </w:p>
        </w:tc>
        <w:tc>
          <w:tcPr>
            <w:tcW w:w="4680" w:type="dxa"/>
            <w:vAlign w:val="bottom"/>
            <w:gridSpan w:val="3"/>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11,002</w:t>
            </w:r>
          </w:p>
        </w:tc>
        <w:tc>
          <w:tcPr>
            <w:tcW w:w="140" w:type="dxa"/>
            <w:vAlign w:val="bottom"/>
          </w:tcPr>
          <w:p>
            <w:pPr>
              <w:spacing w:after="0"/>
              <w:rPr>
                <w:sz w:val="23"/>
                <w:szCs w:val="2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9,656</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7,622</w:t>
            </w:r>
          </w:p>
        </w:tc>
      </w:tr>
      <w:tr>
        <w:trPr>
          <w:trHeight w:val="273"/>
        </w:trPr>
        <w:tc>
          <w:tcPr>
            <w:tcW w:w="740" w:type="dxa"/>
            <w:vAlign w:val="bottom"/>
          </w:tcPr>
          <w:p>
            <w:pPr>
              <w:spacing w:after="0"/>
              <w:rPr>
                <w:sz w:val="23"/>
                <w:szCs w:val="23"/>
                <w:color w:val="auto"/>
              </w:rPr>
            </w:pPr>
          </w:p>
        </w:tc>
        <w:tc>
          <w:tcPr>
            <w:tcW w:w="4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w:t>
            </w:r>
          </w:p>
        </w:tc>
        <w:tc>
          <w:tcPr>
            <w:tcW w:w="14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64"/>
        </w:trPr>
        <w:tc>
          <w:tcPr>
            <w:tcW w:w="740" w:type="dxa"/>
            <w:vAlign w:val="bottom"/>
          </w:tcPr>
          <w:p>
            <w:pPr>
              <w:spacing w:after="0"/>
              <w:rPr>
                <w:sz w:val="22"/>
                <w:szCs w:val="22"/>
                <w:color w:val="auto"/>
              </w:rPr>
            </w:pPr>
          </w:p>
        </w:tc>
        <w:tc>
          <w:tcPr>
            <w:tcW w:w="4680" w:type="dxa"/>
            <w:vAlign w:val="bottom"/>
            <w:gridSpan w:val="3"/>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22"/>
                <w:szCs w:val="2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313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314</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4"/>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14" w:lineRule="exact"/>
        <w:rPr>
          <w:sz w:val="20"/>
          <w:szCs w:val="20"/>
          <w:color w:val="auto"/>
        </w:rPr>
      </w:pPr>
    </w:p>
    <w:p>
      <w:pPr>
        <w:jc w:val="both"/>
        <w:ind w:firstLine="184"/>
        <w:spacing w:after="0" w:line="277" w:lineRule="auto"/>
        <w:rPr>
          <w:sz w:val="20"/>
          <w:szCs w:val="20"/>
          <w:color w:val="auto"/>
        </w:rPr>
      </w:pPr>
      <w:r>
        <w:rPr>
          <w:rFonts w:ascii="Arial" w:cs="Arial" w:eastAsia="Arial" w:hAnsi="Arial"/>
          <w:sz w:val="18"/>
          <w:szCs w:val="18"/>
          <w:color w:val="auto"/>
        </w:rPr>
        <w:t xml:space="preserve">During the fifty-two weeks ended August 28, 2021, the Company received a $5.0 million gain on a legal settlement, which has been presented as an item within </w:t>
      </w:r>
      <w:r>
        <w:rPr>
          <w:rFonts w:ascii="Arial" w:cs="Arial" w:eastAsia="Arial" w:hAnsi="Arial"/>
          <w:sz w:val="18"/>
          <w:szCs w:val="18"/>
          <w:i w:val="1"/>
          <w:iCs w:val="1"/>
          <w:color w:val="auto"/>
        </w:rPr>
        <w:t>Other income (expense)</w:t>
      </w:r>
      <w:r>
        <w:rPr>
          <w:rFonts w:ascii="Arial" w:cs="Arial" w:eastAsia="Arial" w:hAnsi="Arial"/>
          <w:sz w:val="18"/>
          <w:szCs w:val="18"/>
          <w:color w:val="auto"/>
        </w:rPr>
        <w:t xml:space="preserve"> in the Consolidated Statements of Income and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enters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August 26, 2023, the Company will be required to make payments of $3.5 million over the next year.</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52" w:lineRule="exact"/>
        <w:rPr>
          <w:sz w:val="20"/>
          <w:szCs w:val="20"/>
          <w:color w:val="auto"/>
        </w:rPr>
      </w:pPr>
    </w:p>
    <w:p>
      <w:pPr>
        <w:jc w:val="both"/>
        <w:ind w:firstLine="217"/>
        <w:spacing w:after="0" w:line="279" w:lineRule="auto"/>
        <w:rPr>
          <w:sz w:val="20"/>
          <w:szCs w:val="20"/>
          <w:color w:val="auto"/>
        </w:rPr>
      </w:pPr>
      <w:r>
        <w:rPr>
          <w:rFonts w:ascii="Arial" w:cs="Arial" w:eastAsia="Arial" w:hAnsi="Arial"/>
          <w:sz w:val="17"/>
          <w:szCs w:val="17"/>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Quest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52" w:lineRule="exact"/>
        <w:rPr>
          <w:sz w:val="20"/>
          <w:szCs w:val="20"/>
          <w:color w:val="auto"/>
        </w:rPr>
      </w:pPr>
    </w:p>
    <w:p>
      <w:pPr>
        <w:jc w:val="both"/>
        <w:ind w:firstLine="210"/>
        <w:spacing w:after="0" w:line="296" w:lineRule="auto"/>
        <w:rPr>
          <w:sz w:val="20"/>
          <w:szCs w:val="20"/>
          <w:color w:val="auto"/>
        </w:rPr>
      </w:pPr>
      <w:r>
        <w:rPr>
          <w:rFonts w:ascii="Arial" w:cs="Arial" w:eastAsia="Arial" w:hAnsi="Arial"/>
          <w:sz w:val="16"/>
          <w:szCs w:val="16"/>
          <w:color w:val="auto"/>
        </w:rPr>
        <w:t>During the fifty-two weeks ended August 27, 2022,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liability-classified Private Warrants as of August 26, 2023 or August 27, 2022.</w:t>
      </w:r>
    </w:p>
    <w:p>
      <w:pPr>
        <w:spacing w:after="0" w:line="188"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8"/>
          <w:szCs w:val="18"/>
          <w:color w:val="auto"/>
        </w:rPr>
        <w:t xml:space="preserve">As discussed in Note 7,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including the cashless exercise and the settlement of the warrant liability, have been reflected in </w:t>
      </w:r>
      <w:r>
        <w:rPr>
          <w:rFonts w:ascii="Arial" w:cs="Arial" w:eastAsia="Arial" w:hAnsi="Arial"/>
          <w:sz w:val="18"/>
          <w:szCs w:val="18"/>
          <w:i w:val="1"/>
          <w:iCs w:val="1"/>
          <w:color w:val="auto"/>
        </w:rPr>
        <w:t>(Loss) in fair value change of warrant liability</w:t>
      </w:r>
      <w:r>
        <w:rPr>
          <w:rFonts w:ascii="Arial" w:cs="Arial" w:eastAsia="Arial" w:hAnsi="Arial"/>
          <w:sz w:val="18"/>
          <w:szCs w:val="18"/>
          <w:color w:val="auto"/>
        </w:rPr>
        <w:t xml:space="preserve"> within the Consolidated Statements of Income and Comprehensive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63"/>
        <w:spacing w:after="0" w:line="255" w:lineRule="auto"/>
        <w:rPr>
          <w:sz w:val="20"/>
          <w:szCs w:val="20"/>
          <w:color w:val="auto"/>
        </w:rPr>
      </w:pPr>
      <w:r>
        <w:rPr>
          <w:rFonts w:ascii="Arial" w:cs="Arial" w:eastAsia="Arial" w:hAnsi="Arial"/>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9" w:lineRule="exact"/>
        <w:rPr>
          <w:sz w:val="20"/>
          <w:szCs w:val="20"/>
          <w:color w:val="auto"/>
        </w:rPr>
      </w:pPr>
    </w:p>
    <w:p>
      <w:pPr>
        <w:jc w:val="both"/>
        <w:ind w:firstLine="204"/>
        <w:spacing w:after="0" w:line="259" w:lineRule="auto"/>
        <w:rPr>
          <w:sz w:val="20"/>
          <w:szCs w:val="20"/>
          <w:color w:val="auto"/>
        </w:rPr>
      </w:pPr>
      <w:r>
        <w:rPr>
          <w:rFonts w:ascii="Arial" w:cs="Arial" w:eastAsia="Arial" w:hAnsi="Arial"/>
          <w:sz w:val="18"/>
          <w:szCs w:val="18"/>
          <w:color w:val="auto"/>
        </w:rPr>
        <w:t>During the fifty-two weeks ended August 26, 2023, the Company repurchased 546,346 shares of common stock at an average share price of $30.11 per share. During the fifty-two weeks ended August 27, 2022, the Company repurchased 1,720,520 shares of common stock at an average share price of $34.79 per share. The Company did not repurchase any shares of common stock during the fifty-two weeks ended August 28, 2021. As of August 26, 2023, approximately $71.5 million remained available under the stock repurchase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52" w:lineRule="exact"/>
        <w:rPr>
          <w:sz w:val="20"/>
          <w:szCs w:val="20"/>
          <w:color w:val="auto"/>
        </w:rPr>
      </w:pPr>
    </w:p>
    <w:p>
      <w:pPr>
        <w:jc w:val="both"/>
        <w:ind w:firstLine="186"/>
        <w:spacing w:after="0" w:line="263" w:lineRule="auto"/>
        <w:rPr>
          <w:sz w:val="20"/>
          <w:szCs w:val="20"/>
          <w:color w:val="auto"/>
        </w:rPr>
      </w:pPr>
      <w:r>
        <w:rPr>
          <w:rFonts w:ascii="Arial" w:cs="Arial" w:eastAsia="Arial" w:hAnsi="Arial"/>
          <w:sz w:val="18"/>
          <w:szCs w:val="18"/>
          <w:color w:val="auto"/>
        </w:rPr>
        <w:t xml:space="preserve">During the fifty-two weeks ended August 27, 2022, the Company recognized a foreign currency translation gain of $1.1 million related to the liquidation of a foreign subsidiary. The gain is reflected as a component of </w:t>
      </w:r>
      <w:r>
        <w:rPr>
          <w:rFonts w:ascii="Arial" w:cs="Arial" w:eastAsia="Arial" w:hAnsi="Arial"/>
          <w:sz w:val="18"/>
          <w:szCs w:val="18"/>
          <w:i w:val="1"/>
          <w:iCs w:val="1"/>
          <w:color w:val="auto"/>
        </w:rPr>
        <w:t>Other income (expense)</w:t>
      </w:r>
      <w:r>
        <w:rPr>
          <w:rFonts w:ascii="Arial" w:cs="Arial" w:eastAsia="Arial" w:hAnsi="Arial"/>
          <w:sz w:val="18"/>
          <w:szCs w:val="18"/>
          <w:color w:val="auto"/>
        </w:rPr>
        <w:t xml:space="preserve"> in </w:t>
      </w:r>
      <w:r>
        <w:rPr>
          <w:rFonts w:ascii="Arial" w:cs="Arial" w:eastAsia="Arial" w:hAnsi="Arial"/>
          <w:sz w:val="18"/>
          <w:szCs w:val="18"/>
          <w:i w:val="1"/>
          <w:iCs w:val="1"/>
          <w:color w:val="auto"/>
        </w:rPr>
        <w:t>(Loss) gain on foreign currency transactions</w:t>
      </w:r>
      <w:r>
        <w:rPr>
          <w:rFonts w:ascii="Arial" w:cs="Arial" w:eastAsia="Arial" w:hAnsi="Arial"/>
          <w:sz w:val="18"/>
          <w:szCs w:val="18"/>
          <w:color w:val="auto"/>
        </w:rPr>
        <w:t xml:space="preserve"> within the Consolidated Statements of Income and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ind w:firstLine="208"/>
        <w:spacing w:after="0" w:line="293" w:lineRule="auto"/>
        <w:rPr>
          <w:sz w:val="20"/>
          <w:szCs w:val="20"/>
          <w:color w:val="auto"/>
        </w:rPr>
      </w:pPr>
      <w:r>
        <w:rPr>
          <w:rFonts w:ascii="Arial" w:cs="Arial" w:eastAsia="Arial" w:hAnsi="Arial"/>
          <w:sz w:val="16"/>
          <w:szCs w:val="16"/>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was excluded.</w:t>
      </w:r>
    </w:p>
    <w:p>
      <w:pPr>
        <w:spacing w:after="0" w:line="19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the numerators and denominators used in the computations of both basic and diluted earnings per share:</w:t>
      </w:r>
    </w:p>
    <w:p>
      <w:pPr>
        <w:spacing w:after="0" w:line="324"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c>
          <w:tcPr>
            <w:tcW w:w="0" w:type="dxa"/>
            <w:vAlign w:val="bottom"/>
          </w:tcPr>
          <w:p>
            <w:pPr>
              <w:spacing w:after="0"/>
              <w:rPr>
                <w:sz w:val="1"/>
                <w:szCs w:val="1"/>
                <w:color w:val="auto"/>
              </w:rPr>
            </w:pPr>
          </w:p>
        </w:tc>
      </w:tr>
      <w:tr>
        <w:trPr>
          <w:trHeight w:val="300"/>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 except share and per share data)</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26, 2023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27, 2022</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c>
          <w:tcPr>
            <w:tcW w:w="0" w:type="dxa"/>
            <w:vAlign w:val="bottom"/>
          </w:tcPr>
          <w:p>
            <w:pPr>
              <w:spacing w:after="0"/>
              <w:rPr>
                <w:sz w:val="1"/>
                <w:szCs w:val="1"/>
                <w:color w:val="auto"/>
              </w:rPr>
            </w:pPr>
          </w:p>
        </w:tc>
      </w:tr>
      <w:tr>
        <w:trPr>
          <w:trHeight w:val="253"/>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earnings per share computation:</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92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rPr>
              <w:t>Net income available to common stock</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133,575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108,574</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40,880</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stockholders</w:t>
            </w: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92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w w:val="98"/>
              </w:rPr>
              <w:t>Weighted average common shares outstanding –</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99,442,046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98,754,913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95,743,413</w:t>
            </w:r>
          </w:p>
        </w:tc>
        <w:tc>
          <w:tcPr>
            <w:tcW w:w="0" w:type="dxa"/>
            <w:vAlign w:val="bottom"/>
          </w:tcPr>
          <w:p>
            <w:pPr>
              <w:spacing w:after="0"/>
              <w:rPr>
                <w:sz w:val="1"/>
                <w:szCs w:val="1"/>
                <w:color w:val="auto"/>
              </w:rPr>
            </w:pPr>
          </w:p>
        </w:tc>
      </w:tr>
      <w:tr>
        <w:trPr>
          <w:trHeight w:val="209"/>
        </w:trPr>
        <w:tc>
          <w:tcPr>
            <w:tcW w:w="3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Basic earnings per share from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earnings per share computation: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Numerator for 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133,575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108,574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40,880</w:t>
            </w:r>
          </w:p>
        </w:tc>
        <w:tc>
          <w:tcPr>
            <w:tcW w:w="0" w:type="dxa"/>
            <w:vAlign w:val="bottom"/>
          </w:tcPr>
          <w:p>
            <w:pPr>
              <w:spacing w:after="0"/>
              <w:rPr>
                <w:sz w:val="1"/>
                <w:szCs w:val="1"/>
                <w:color w:val="auto"/>
              </w:rPr>
            </w:pPr>
          </w:p>
        </w:tc>
      </w:tr>
      <w:tr>
        <w:trPr>
          <w:trHeight w:val="247"/>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92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w w:val="98"/>
              </w:rPr>
              <w:t>Weighted average common shares outstanding –</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99,442,046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98,754,913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95,743,413</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20" w:type="dxa"/>
            <w:vAlign w:val="bottom"/>
            <w:gridSpan w:val="2"/>
          </w:tcPr>
          <w:p>
            <w:pPr>
              <w:ind w:left="460"/>
              <w:spacing w:after="0"/>
              <w:rPr>
                <w:sz w:val="20"/>
                <w:szCs w:val="20"/>
                <w:color w:val="auto"/>
              </w:rPr>
            </w:pPr>
            <w:r>
              <w:rPr>
                <w:rFonts w:ascii="Arial" w:cs="Arial" w:eastAsia="Arial" w:hAnsi="Arial"/>
                <w:sz w:val="16"/>
                <w:szCs w:val="16"/>
                <w:color w:val="auto"/>
              </w:rPr>
              <w:t>Employee stock options</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1,241,762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1,578,329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1,311,889</w:t>
            </w:r>
          </w:p>
        </w:tc>
        <w:tc>
          <w:tcPr>
            <w:tcW w:w="0" w:type="dxa"/>
            <w:vAlign w:val="bottom"/>
          </w:tcPr>
          <w:p>
            <w:pPr>
              <w:spacing w:after="0"/>
              <w:rPr>
                <w:sz w:val="1"/>
                <w:szCs w:val="1"/>
                <w:color w:val="auto"/>
              </w:rPr>
            </w:pPr>
          </w:p>
        </w:tc>
      </w:tr>
      <w:tr>
        <w:trPr>
          <w:trHeight w:val="273"/>
        </w:trPr>
        <w:tc>
          <w:tcPr>
            <w:tcW w:w="3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Non-vested stock units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255,914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310,296</w:t>
            </w:r>
          </w:p>
        </w:tc>
        <w:tc>
          <w:tcPr>
            <w:tcW w:w="0" w:type="dxa"/>
            <w:vAlign w:val="bottom"/>
          </w:tcPr>
          <w:p>
            <w:pPr>
              <w:spacing w:after="0"/>
              <w:rPr>
                <w:sz w:val="1"/>
                <w:szCs w:val="1"/>
                <w:color w:val="auto"/>
              </w:rPr>
            </w:pPr>
          </w:p>
        </w:tc>
      </w:tr>
      <w:tr>
        <w:trPr>
          <w:trHeight w:val="247"/>
        </w:trPr>
        <w:tc>
          <w:tcPr>
            <w:tcW w:w="39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Weighted average common shares – diluted</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100,880,079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100,589,156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97,365,598</w:t>
            </w:r>
          </w:p>
        </w:tc>
        <w:tc>
          <w:tcPr>
            <w:tcW w:w="0" w:type="dxa"/>
            <w:vAlign w:val="bottom"/>
          </w:tcPr>
          <w:p>
            <w:pPr>
              <w:spacing w:after="0"/>
              <w:rPr>
                <w:sz w:val="1"/>
                <w:szCs w:val="1"/>
                <w:color w:val="auto"/>
              </w:rPr>
            </w:pPr>
          </w:p>
        </w:tc>
      </w:tr>
      <w:tr>
        <w:trPr>
          <w:trHeight w:val="251"/>
        </w:trPr>
        <w:tc>
          <w:tcPr>
            <w:tcW w:w="3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Diluted earnings per share from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8"/>
          <w:szCs w:val="18"/>
          <w:color w:val="auto"/>
        </w:rPr>
        <w:t>Diluted earnings per share calculations for the fifty-two weeks ended August 26, 2023 and August 27, 2022 excluded zero and 0.7 million shares, issuable upon exercise of Private Warrants, respectively, that would have been anti-dilutive.</w:t>
      </w:r>
    </w:p>
    <w:p>
      <w:pPr>
        <w:spacing w:after="0" w:line="197"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8"/>
          <w:szCs w:val="18"/>
          <w:color w:val="auto"/>
        </w:rPr>
        <w:t>Diluted earnings per share calculations for the fifty-two weeks ended August 26, 2023, August 27, 2022, and August 28, 2021 excluded 0.6 million shares, 0.3 million shares, and an immaterial number of shares of common stock issuable upon exercise of stock options, respectively, that would have been anti-dilutive.</w:t>
      </w:r>
    </w:p>
    <w:p>
      <w:pPr>
        <w:spacing w:after="0" w:line="211"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Diluted earnings per share calculations for the fifty-two weeks ended August 26, 2023, August 27, 2022, and August 28, 2021 excluded an immaterial number of non-vested stock units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Plan</w:t>
      </w:r>
    </w:p>
    <w:p>
      <w:pPr>
        <w:spacing w:after="0" w:line="256" w:lineRule="exact"/>
        <w:rPr>
          <w:sz w:val="20"/>
          <w:szCs w:val="20"/>
          <w:color w:val="auto"/>
        </w:rPr>
      </w:pPr>
    </w:p>
    <w:p>
      <w:pPr>
        <w:jc w:val="both"/>
        <w:ind w:firstLine="301"/>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its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98"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color w:val="auto"/>
        </w:rPr>
        <w:t>For the fifty-two weeks ended August 26, 2023, August 27, 2022, and August 28, 2021, the Company recorded stock-based compensation expense of $14.5 million, $11.7 million, and $8.3 million, respectively.</w:t>
      </w:r>
    </w:p>
    <w:p>
      <w:pPr>
        <w:spacing w:after="0" w:line="197"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8"/>
          <w:szCs w:val="18"/>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26, 2023, there were 3.5 million shares available for grant under the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ind w:firstLine="241"/>
        <w:spacing w:after="0" w:line="263" w:lineRule="auto"/>
        <w:rPr>
          <w:sz w:val="20"/>
          <w:szCs w:val="20"/>
          <w:color w:val="auto"/>
        </w:rPr>
      </w:pPr>
      <w:r>
        <w:rPr>
          <w:rFonts w:ascii="Arial" w:cs="Arial" w:eastAsia="Arial" w:hAnsi="Arial"/>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fifty-two weeks ended August 26,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ind w:right="59"/>
              <w:spacing w:after="0"/>
              <w:rPr>
                <w:sz w:val="20"/>
                <w:szCs w:val="20"/>
                <w:color w:val="auto"/>
              </w:rPr>
            </w:pPr>
            <w:r>
              <w:rPr>
                <w:rFonts w:ascii="Arial" w:cs="Arial" w:eastAsia="Arial" w:hAnsi="Arial"/>
                <w:sz w:val="16"/>
                <w:szCs w:val="16"/>
                <w:color w:val="auto"/>
                <w:w w:val="97"/>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6"/>
                <w:szCs w:val="16"/>
                <w:color w:val="auto"/>
              </w:rPr>
              <w:t>Weighted average</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Weighted average</w:t>
            </w:r>
          </w:p>
        </w:tc>
        <w:tc>
          <w:tcPr>
            <w:tcW w:w="100" w:type="dxa"/>
            <w:vAlign w:val="bottom"/>
          </w:tcPr>
          <w:p>
            <w:pPr>
              <w:spacing w:after="0"/>
              <w:rPr>
                <w:sz w:val="16"/>
                <w:szCs w:val="16"/>
                <w:color w:val="auto"/>
              </w:rPr>
            </w:pP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w w:val="93"/>
              </w:rPr>
              <w:t>Aggregate intrinsic</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Arial" w:cs="Arial" w:eastAsia="Arial" w:hAnsi="Arial"/>
                <w:sz w:val="16"/>
                <w:szCs w:val="16"/>
                <w:i w:val="1"/>
                <w:iCs w:val="1"/>
                <w:color w:val="auto"/>
                <w:w w:val="95"/>
              </w:rPr>
              <w:t>(In thousands, except share and per share data)</w:t>
            </w:r>
          </w:p>
        </w:tc>
        <w:tc>
          <w:tcPr>
            <w:tcW w:w="140" w:type="dxa"/>
            <w:vAlign w:val="bottom"/>
            <w:vMerge w:val="restart"/>
          </w:tcPr>
          <w:p>
            <w:pPr>
              <w:spacing w:after="0"/>
              <w:rPr>
                <w:sz w:val="14"/>
                <w:szCs w:val="14"/>
                <w:color w:val="auto"/>
              </w:rPr>
            </w:pPr>
          </w:p>
        </w:tc>
        <w:tc>
          <w:tcPr>
            <w:tcW w:w="1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6"/>
              </w:rPr>
              <w:t>remaining life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as of August 27,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2,776,551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39,702</w:t>
            </w:r>
          </w:p>
        </w:tc>
        <w:tc>
          <w:tcPr>
            <w:tcW w:w="0" w:type="dxa"/>
            <w:vAlign w:val="bottom"/>
          </w:tcPr>
          <w:p>
            <w:pPr>
              <w:spacing w:after="0"/>
              <w:rPr>
                <w:sz w:val="1"/>
                <w:szCs w:val="1"/>
                <w:color w:val="auto"/>
              </w:rPr>
            </w:pPr>
          </w:p>
        </w:tc>
      </w:tr>
      <w:tr>
        <w:trPr>
          <w:trHeight w:val="267"/>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285,001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37.73</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(357,466)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14.68</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32.04</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as of August 26,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2,668,462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39,610</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3"/>
              </w:rPr>
              <w:t>Vested and expected to vest as of August 26,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2,668,462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20.41</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39,610</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Exercisable as of August 26,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2,030,917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38,539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stock options outstanding at August 26, 2023:</w:t>
      </w:r>
    </w:p>
    <w:p>
      <w:pPr>
        <w:spacing w:after="0" w:line="200" w:lineRule="exact"/>
        <w:rPr>
          <w:sz w:val="20"/>
          <w:szCs w:val="20"/>
          <w:color w:val="auto"/>
        </w:rPr>
      </w:pP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2060" w:type="dxa"/>
            <w:vAlign w:val="bottom"/>
            <w:gridSpan w:val="4"/>
            <w:vMerge w:val="restart"/>
          </w:tcPr>
          <w:p>
            <w:pPr>
              <w:jc w:val="center"/>
              <w:ind w:right="280"/>
              <w:spacing w:after="0"/>
              <w:rPr>
                <w:sz w:val="20"/>
                <w:szCs w:val="20"/>
                <w:color w:val="auto"/>
              </w:rPr>
            </w:pPr>
            <w:r>
              <w:rPr>
                <w:rFonts w:ascii="Arial" w:cs="Arial" w:eastAsia="Arial" w:hAnsi="Arial"/>
                <w:sz w:val="16"/>
                <w:szCs w:val="16"/>
                <w:color w:val="auto"/>
                <w:w w:val="90"/>
              </w:rPr>
              <w:t>Range of Exercise Prices</w:t>
            </w: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color w:val="auto"/>
              </w:rPr>
              <w:t>Number outstanding</w:t>
            </w:r>
          </w:p>
        </w:tc>
        <w:tc>
          <w:tcPr>
            <w:tcW w:w="1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Weighted average</w:t>
            </w: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Weighted average</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color w:val="auto"/>
              </w:rPr>
              <w:t>Number exercisable</w:t>
            </w:r>
          </w:p>
        </w:tc>
        <w:tc>
          <w:tcPr>
            <w:tcW w:w="10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exercise price</w:t>
            </w: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remaining life (years)</w:t>
            </w: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exercise price</w:t>
            </w:r>
          </w:p>
        </w:tc>
        <w:tc>
          <w:tcPr>
            <w:tcW w:w="0" w:type="dxa"/>
            <w:vAlign w:val="bottom"/>
          </w:tcPr>
          <w:p>
            <w:pPr>
              <w:spacing w:after="0"/>
              <w:rPr>
                <w:sz w:val="1"/>
                <w:szCs w:val="1"/>
                <w:color w:val="auto"/>
              </w:rPr>
            </w:pPr>
          </w:p>
        </w:tc>
      </w:tr>
      <w:tr>
        <w:trPr>
          <w:trHeight w:val="253"/>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17.77</w:t>
            </w:r>
          </w:p>
        </w:tc>
        <w:tc>
          <w:tcPr>
            <w:tcW w:w="14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1,408,964</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4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1,408,964</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17.78</w:t>
            </w:r>
          </w:p>
        </w:tc>
        <w:tc>
          <w:tcPr>
            <w:tcW w:w="18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23.55</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478,275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403,727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73"/>
        </w:trPr>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29.33</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178,392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176,191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29.34</w:t>
            </w:r>
          </w:p>
        </w:tc>
        <w:tc>
          <w:tcPr>
            <w:tcW w:w="18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right"/>
              <w:ind w:right="399"/>
              <w:spacing w:after="0"/>
              <w:rPr>
                <w:sz w:val="20"/>
                <w:szCs w:val="20"/>
                <w:color w:val="auto"/>
              </w:rPr>
            </w:pPr>
            <w:r>
              <w:rPr>
                <w:rFonts w:ascii="Arial" w:cs="Arial" w:eastAsia="Arial" w:hAnsi="Arial"/>
                <w:sz w:val="16"/>
                <w:szCs w:val="16"/>
                <w:color w:val="auto"/>
              </w:rPr>
              <w:t>35.11</w:t>
            </w:r>
          </w:p>
        </w:tc>
        <w:tc>
          <w:tcPr>
            <w:tcW w:w="14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40.88</w:t>
            </w:r>
          </w:p>
        </w:tc>
        <w:tc>
          <w:tcPr>
            <w:tcW w:w="1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602,831</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42,035</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2,668,462</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20.41</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2,030,917</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307"/>
        <w:spacing w:after="0" w:line="277" w:lineRule="auto"/>
        <w:rPr>
          <w:sz w:val="20"/>
          <w:szCs w:val="20"/>
          <w:color w:val="auto"/>
        </w:rPr>
      </w:pPr>
      <w:r>
        <w:rPr>
          <w:rFonts w:ascii="Arial" w:cs="Arial" w:eastAsia="Arial" w:hAnsi="Arial"/>
          <w:sz w:val="18"/>
          <w:szCs w:val="18"/>
          <w:color w:val="auto"/>
        </w:rPr>
        <w:t>The weighted average fair value of options granted during the fifty-two weeks ended August 26, 2023, August 27, 2022, and August 28, 2021 were $16.58, $15.32 and $9.99, respectively.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 Pricing Model based on the following assumptions:</w:t>
      </w:r>
    </w:p>
    <w:p>
      <w:pPr>
        <w:spacing w:after="0" w:line="374"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52-Weeks Ended</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52-Weeks Ended</w:t>
            </w:r>
          </w:p>
        </w:tc>
      </w:tr>
      <w:tr>
        <w:trPr>
          <w:trHeight w:val="273"/>
        </w:trPr>
        <w:tc>
          <w:tcPr>
            <w:tcW w:w="3200" w:type="dxa"/>
            <w:vAlign w:val="bottom"/>
          </w:tcPr>
          <w:p>
            <w:pPr>
              <w:spacing w:after="0"/>
              <w:rPr>
                <w:sz w:val="23"/>
                <w:szCs w:val="23"/>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color w:val="auto"/>
              </w:rPr>
              <w:t>August 26, 2023</w:t>
            </w: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August 27, 2022</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August 28, 2021</w:t>
            </w:r>
          </w:p>
        </w:tc>
      </w:tr>
      <w:tr>
        <w:trPr>
          <w:trHeight w:val="25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39.00%</w:t>
            </w: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37.07%</w:t>
            </w:r>
          </w:p>
        </w:tc>
        <w:tc>
          <w:tcPr>
            <w:tcW w:w="12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36.80 %  -  38.75%</w:t>
            </w:r>
          </w:p>
        </w:tc>
      </w:tr>
      <w:tr>
        <w:trPr>
          <w:trHeight w:val="267"/>
        </w:trPr>
        <w:tc>
          <w:tcPr>
            <w:tcW w:w="32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7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option term</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6</w:t>
            </w:r>
          </w:p>
        </w:tc>
      </w:tr>
      <w:tr>
        <w:trPr>
          <w:trHeight w:val="264"/>
        </w:trPr>
        <w:tc>
          <w:tcPr>
            <w:tcW w:w="3200" w:type="dxa"/>
            <w:vAlign w:val="bottom"/>
          </w:tcPr>
          <w:p>
            <w:pPr>
              <w:ind w:left="20"/>
              <w:spacing w:after="0"/>
              <w:rPr>
                <w:sz w:val="20"/>
                <w:szCs w:val="20"/>
                <w:color w:val="auto"/>
              </w:rPr>
            </w:pPr>
            <w:r>
              <w:rPr>
                <w:rFonts w:ascii="Arial" w:cs="Arial" w:eastAsia="Arial" w:hAnsi="Arial"/>
                <w:sz w:val="16"/>
                <w:szCs w:val="16"/>
                <w:color w:val="auto"/>
              </w:rPr>
              <w:t>Risk-free rate of return</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4.27%</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1.26%</w:t>
            </w:r>
          </w:p>
        </w:tc>
        <w:tc>
          <w:tcPr>
            <w:tcW w:w="120" w:type="dxa"/>
            <w:vAlign w:val="bottom"/>
          </w:tcPr>
          <w:p>
            <w:pPr>
              <w:spacing w:after="0"/>
              <w:rPr>
                <w:sz w:val="22"/>
                <w:szCs w:val="22"/>
                <w:color w:val="auto"/>
              </w:rPr>
            </w:pP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0.80 %  -  0.935%</w:t>
            </w:r>
          </w:p>
        </w:tc>
      </w:tr>
    </w:tbl>
    <w:p>
      <w:pPr>
        <w:spacing w:after="0" w:line="329" w:lineRule="exact"/>
        <w:rPr>
          <w:sz w:val="20"/>
          <w:szCs w:val="20"/>
          <w:color w:val="auto"/>
        </w:rPr>
      </w:pPr>
    </w:p>
    <w:p>
      <w:pPr>
        <w:jc w:val="both"/>
        <w:ind w:firstLine="187"/>
        <w:spacing w:after="0" w:line="290" w:lineRule="auto"/>
        <w:rPr>
          <w:sz w:val="20"/>
          <w:szCs w:val="20"/>
          <w:color w:val="auto"/>
        </w:rPr>
      </w:pPr>
      <w:r>
        <w:rPr>
          <w:rFonts w:ascii="Arial" w:cs="Arial" w:eastAsia="Arial" w:hAnsi="Arial"/>
          <w:sz w:val="16"/>
          <w:szCs w:val="16"/>
          <w:color w:val="auto"/>
        </w:rPr>
        <w:t>Because the Company’s Incentive Plan has not been in place for a sufficient amount of time as compared to the expected stock option terms nor does the Company have sufficient history with changes in option vesting schedules and changes in the pool of employees receiving option grants, the Company estimates the expected term using its historical experience of the time awards have been outstanding as well as an expected time outstanding, which takes into account the award vesting and contractual term. Additionally, due to a lack of sufficient trading history for the Company’s common stock, expected stock price volatility is based on a combination of a sampling of comparable publicly traded companies and the Company’s historical common stock price activity. The Company believes the sample of comparable publicly traded companies used as inputs to its expected stock price volatility most closely models the nature of the business and stock price volatility. The risk-free rates are based on the implied yield available on U.S. Treasury zero-coupon issues with an equivalent remaining term. Future annual dividends over the expected term are estimated to be nil.</w:t>
      </w:r>
    </w:p>
    <w:p>
      <w:pPr>
        <w:spacing w:after="0" w:line="192" w:lineRule="exact"/>
        <w:rPr>
          <w:sz w:val="20"/>
          <w:szCs w:val="20"/>
          <w:color w:val="auto"/>
        </w:rPr>
      </w:pPr>
    </w:p>
    <w:p>
      <w:pPr>
        <w:jc w:val="both"/>
        <w:ind w:firstLine="186"/>
        <w:spacing w:after="0" w:line="263" w:lineRule="auto"/>
        <w:rPr>
          <w:sz w:val="20"/>
          <w:szCs w:val="20"/>
          <w:color w:val="auto"/>
        </w:rPr>
      </w:pPr>
      <w:r>
        <w:rPr>
          <w:rFonts w:ascii="Arial" w:cs="Arial" w:eastAsia="Arial" w:hAnsi="Arial"/>
          <w:sz w:val="18"/>
          <w:szCs w:val="18"/>
          <w:color w:val="auto"/>
        </w:rPr>
        <w:t>As of August 26, 2023, the Company had $5.5 million of total unrecognized compensation cost related to stock option plans that will be recognized over a weighted average period of 1.6 years. During the fifty-two weeks ended August 26, 2023, August 27, 2022, and August 28, 2021, the Company received $5.2 million, $4.3 million, and $0.7 million in cash from stock option exercises,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ind w:right="20" w:firstLine="202"/>
        <w:spacing w:after="0" w:line="277" w:lineRule="auto"/>
        <w:rPr>
          <w:sz w:val="20"/>
          <w:szCs w:val="20"/>
          <w:color w:val="auto"/>
        </w:rPr>
      </w:pPr>
      <w:r>
        <w:rPr>
          <w:rFonts w:ascii="Arial" w:cs="Arial" w:eastAsia="Arial" w:hAnsi="Arial"/>
          <w:sz w:val="18"/>
          <w:szCs w:val="18"/>
          <w:color w:val="auto"/>
        </w:rPr>
        <w:t>Restricted stock units granted under the Incentive Plan are granted at a price equal to closing market price of the Company’s common stock on the date of grant. Restricted stock units under the Incentive Plan generally vest over three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fifty-two weeks ended August 26, 2023:</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328,924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37.06</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(213,568)</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(53,861)</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514,498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color w:val="auto"/>
        </w:rPr>
        <w:t>As of August 26, 2023, the Company had $10.9 million of total unrecognized compensation cost related to restricted stock units that will be recognized over a weighted average period of 1.4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8"/>
          <w:szCs w:val="18"/>
          <w:color w:val="auto"/>
        </w:rPr>
        <w:t>During the fifty-two weeks ended August 26, 2023,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fifty-two weeks ended August 26, 2023:</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50,629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62.55</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(72,452)</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(41,421)</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07"/>
        <w:spacing w:after="0" w:line="277" w:lineRule="auto"/>
        <w:rPr>
          <w:sz w:val="20"/>
          <w:szCs w:val="20"/>
          <w:color w:val="auto"/>
        </w:rPr>
      </w:pPr>
      <w:r>
        <w:rPr>
          <w:rFonts w:ascii="Arial" w:cs="Arial" w:eastAsia="Arial" w:hAnsi="Arial"/>
          <w:sz w:val="18"/>
          <w:szCs w:val="18"/>
          <w:color w:val="auto"/>
        </w:rPr>
        <w:t>As of August 26, 2023, the Company had $3.4 million of total unrecognized compensation cost related to performance stock units that will be recognized over a weighted average period of 0.9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if and when the applicable vesting criteria has been met. SARs cliff vest three years from the date of grant and must be exercised within ten years.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fifty-two weeks ended August 26, 2023:</w:t>
      </w:r>
    </w:p>
    <w:p>
      <w:pPr>
        <w:spacing w:after="0" w:line="262"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restart"/>
          </w:tcPr>
          <w:p>
            <w:pPr>
              <w:jc w:val="right"/>
              <w:ind w:right="39"/>
              <w:spacing w:after="0"/>
              <w:rPr>
                <w:sz w:val="20"/>
                <w:szCs w:val="20"/>
                <w:color w:val="auto"/>
              </w:rPr>
            </w:pPr>
            <w:r>
              <w:rPr>
                <w:rFonts w:ascii="Arial" w:cs="Arial" w:eastAsia="Arial" w:hAnsi="Arial"/>
                <w:sz w:val="16"/>
                <w:szCs w:val="16"/>
                <w:color w:val="auto"/>
                <w:w w:val="98"/>
              </w:rPr>
              <w:t>Shares Underlying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color w:val="auto"/>
              </w:rPr>
              <w:t>Weighted average</w:t>
            </w: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3"/>
              </w:rPr>
              <w:t>remaining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5"/>
              </w:rPr>
              <w:t>contractual life (in</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years)</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37.67</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Vested and expected to vest as of August 26, 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SARs exercised in the fifty-two weeks ended August 26, 2023 resulted in a net issuance of 38,850 shares of the Company’s common stock. The SARs granted in the fifty-two weeks ended August 26, 2023 are liability-classified; therefore the related stock-based compensation expense is based on the vesting provisions and the fair value of the awards.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Customer Information</w:t>
      </w:r>
    </w:p>
    <w:p>
      <w:pPr>
        <w:spacing w:after="0" w:line="256"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color w:val="auto"/>
        </w:rPr>
        <w:t>During the fifty-two weeks ended August 27, 2022, the Company substantially completed its efforts to fully integrate its operations and organization structure after the Quest Acquisition. The Company aligned the nature of its production processes and the methods used to distribute products to customers for the Atkins® and Quest® brands. The Company also designed its organizational structure to support entity-wide business functions across brands, products, customers, and geographic regions. Additionally, the Company’s chief operating decision maker reviews operating results and forecasts at the consolidated level. As a result, during the fifty-two weeks ended August 26, 2023 and August 27, 2022, the Company determined its operations are organized into one, consolidated operating segment and reportable segment. Previously, during the fifty-two weeks ended August 28, 2021, the Company had two operating segments, Atkins and Quest, which were aggregated into one reporting segment due to similar financial, economic and operating characteristics.</w:t>
      </w:r>
    </w:p>
    <w:p>
      <w:pPr>
        <w:spacing w:after="0" w:line="219"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8"/>
          <w:szCs w:val="18"/>
          <w:color w:val="auto"/>
        </w:rPr>
        <w:t>Reconciliation of the totals of reported segment revenue, profit or loss measurement, assets and other significant items reported by segment to the corresponding GAAP totals is not applicable to the Company as it only has one reportable segment. Additionally, revenue from transactions with external customers for each of Simply Good Foods’ products would be impracticable to disclose and management does not view its business by product line. The following is a summary of revenue disaggregated by geographic area and brand:</w:t>
      </w:r>
    </w:p>
    <w:p>
      <w:pPr>
        <w:spacing w:after="0" w:line="286"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r>
      <w:tr>
        <w:trPr>
          <w:trHeight w:val="30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26, 2023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27, 2022</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r>
      <w:tr>
        <w:trPr>
          <w:trHeight w:val="25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20" w:type="dxa"/>
            <w:vAlign w:val="bottom"/>
            <w:gridSpan w:val="2"/>
          </w:tcPr>
          <w:p>
            <w:pPr>
              <w:ind w:left="140"/>
              <w:spacing w:after="0"/>
              <w:rPr>
                <w:sz w:val="20"/>
                <w:szCs w:val="20"/>
                <w:color w:val="auto"/>
              </w:rPr>
            </w:pPr>
            <w:r>
              <w:rPr>
                <w:rFonts w:ascii="Arial" w:cs="Arial" w:eastAsia="Arial" w:hAnsi="Arial"/>
                <w:sz w:val="16"/>
                <w:szCs w:val="16"/>
                <w:color w:val="auto"/>
              </w:rPr>
              <w:t>Atkins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526,769</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540,328</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506,860</w:t>
            </w:r>
          </w:p>
        </w:tc>
      </w:tr>
      <w:tr>
        <w:trPr>
          <w:trHeight w:val="270"/>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Quest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682,789</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593,943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453,619</w:t>
            </w:r>
          </w:p>
        </w:tc>
      </w:tr>
      <w:tr>
        <w:trPr>
          <w:trHeight w:val="250"/>
        </w:trPr>
        <w:tc>
          <w:tcPr>
            <w:tcW w:w="3420" w:type="dxa"/>
            <w:vAlign w:val="bottom"/>
            <w:gridSpan w:val="2"/>
          </w:tcPr>
          <w:p>
            <w:pPr>
              <w:ind w:left="220"/>
              <w:spacing w:after="0"/>
              <w:rPr>
                <w:sz w:val="20"/>
                <w:szCs w:val="20"/>
                <w:color w:val="auto"/>
              </w:rPr>
            </w:pPr>
            <w:r>
              <w:rPr>
                <w:rFonts w:ascii="Arial" w:cs="Arial" w:eastAsia="Arial" w:hAnsi="Arial"/>
                <w:sz w:val="16"/>
                <w:szCs w:val="16"/>
                <w:color w:val="auto"/>
              </w:rPr>
              <w:t>Total North America</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1,209,558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1,134,271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960,479</w:t>
            </w:r>
          </w:p>
        </w:tc>
      </w:tr>
      <w:tr>
        <w:trPr>
          <w:trHeight w:val="27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34,407</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45,134</w:t>
            </w:r>
          </w:p>
        </w:tc>
      </w:tr>
      <w:tr>
        <w:trPr>
          <w:trHeight w:val="226"/>
        </w:trPr>
        <w:tc>
          <w:tcPr>
            <w:tcW w:w="34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1,242,672</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1,168,678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1,005,613</w:t>
            </w: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580" w:right="1820" w:hanging="8"/>
        <w:spacing w:after="0" w:line="224" w:lineRule="auto"/>
        <w:tabs>
          <w:tab w:leader="none" w:pos="1743"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3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summary of long lived assets by geographic area:</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26,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27, 2022</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 lived assets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70"/>
        </w:trPr>
        <w:tc>
          <w:tcPr>
            <w:tcW w:w="3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24,861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18,157</w:t>
            </w:r>
          </w:p>
        </w:tc>
      </w:tr>
      <w:tr>
        <w:trPr>
          <w:trHeight w:val="248"/>
        </w:trPr>
        <w:tc>
          <w:tcPr>
            <w:tcW w:w="3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320" w:right="2340" w:firstLine="8"/>
        <w:spacing w:after="0" w:line="264" w:lineRule="auto"/>
        <w:tabs>
          <w:tab w:leader="none" w:pos="2469"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The North America geographic area consists of long-lived assets substantially related to the United States and there is no individual foreign country in which more than 10% of the Company’s long-lived assets are located or that is otherwise deemed individually material.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ind w:firstLine="240"/>
        <w:spacing w:after="0" w:line="277" w:lineRule="auto"/>
        <w:rPr>
          <w:sz w:val="20"/>
          <w:szCs w:val="20"/>
          <w:color w:val="auto"/>
        </w:rPr>
      </w:pPr>
      <w:r>
        <w:rPr>
          <w:rFonts w:ascii="Arial" w:cs="Arial" w:eastAsia="Arial" w:hAnsi="Arial"/>
          <w:sz w:val="18"/>
          <w:szCs w:val="18"/>
          <w:color w:val="auto"/>
        </w:rPr>
        <w:t>Credit risk for the Company was concentrated in three customers who each comprised more than 10% of the Company’s total sales for the fifty-two weeks ended August 26, 2023, August 27, 2022, and August 28, 2021.</w:t>
      </w:r>
    </w:p>
    <w:p>
      <w:pPr>
        <w:spacing w:after="0" w:line="269"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19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58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52-Weeks Ended</w:t>
            </w:r>
          </w:p>
        </w:tc>
      </w:tr>
      <w:tr>
        <w:trPr>
          <w:trHeight w:val="270"/>
        </w:trPr>
        <w:tc>
          <w:tcPr>
            <w:tcW w:w="1980" w:type="dxa"/>
            <w:vAlign w:val="bottom"/>
          </w:tcPr>
          <w:p>
            <w:pPr>
              <w:spacing w:after="0"/>
              <w:rPr>
                <w:sz w:val="23"/>
                <w:szCs w:val="23"/>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color w:val="auto"/>
              </w:rPr>
              <w:t>August 26, 2023</w:t>
            </w:r>
          </w:p>
        </w:tc>
        <w:tc>
          <w:tcPr>
            <w:tcW w:w="1580" w:type="dxa"/>
            <w:vAlign w:val="bottom"/>
            <w:gridSpan w:val="2"/>
          </w:tcPr>
          <w:p>
            <w:pPr>
              <w:ind w:left="180"/>
              <w:spacing w:after="0"/>
              <w:rPr>
                <w:sz w:val="20"/>
                <w:szCs w:val="20"/>
                <w:color w:val="auto"/>
              </w:rPr>
            </w:pPr>
            <w:r>
              <w:rPr>
                <w:rFonts w:ascii="Arial" w:cs="Arial" w:eastAsia="Arial" w:hAnsi="Arial"/>
                <w:sz w:val="16"/>
                <w:szCs w:val="16"/>
                <w:color w:val="auto"/>
              </w:rPr>
              <w:t>August 27, 2022</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August 28, 2021</w:t>
            </w:r>
          </w:p>
        </w:tc>
      </w:tr>
      <w:tr>
        <w:trPr>
          <w:trHeight w:val="33"/>
        </w:trPr>
        <w:tc>
          <w:tcPr>
            <w:tcW w:w="1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67"/>
        </w:trPr>
        <w:tc>
          <w:tcPr>
            <w:tcW w:w="1980" w:type="dxa"/>
            <w:vAlign w:val="bottom"/>
          </w:tcPr>
          <w:p>
            <w:pPr>
              <w:ind w:left="20"/>
              <w:spacing w:after="0"/>
              <w:rPr>
                <w:sz w:val="20"/>
                <w:szCs w:val="20"/>
                <w:color w:val="auto"/>
              </w:rPr>
            </w:pPr>
            <w:r>
              <w:rPr>
                <w:rFonts w:ascii="Arial" w:cs="Arial" w:eastAsia="Arial" w:hAnsi="Arial"/>
                <w:sz w:val="16"/>
                <w:szCs w:val="16"/>
                <w:color w:val="auto"/>
              </w:rPr>
              <w:t>Customer 2</w:t>
            </w:r>
          </w:p>
        </w:tc>
        <w:tc>
          <w:tcPr>
            <w:tcW w:w="1440" w:type="dxa"/>
            <w:vAlign w:val="bottom"/>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13 %</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7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3</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bl>
    <w:p>
      <w:pPr>
        <w:spacing w:after="0" w:line="4"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n/a - Not applicable as the customer was not significant during these fiscal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August 26, 2023 and August 27, 2022, the following amounts of the Company’s accounts receivable, net were related to these significant customers for the periods in which the customers were significant:</w:t>
      </w:r>
    </w:p>
    <w:p>
      <w:pPr>
        <w:spacing w:after="0" w:line="269" w:lineRule="exact"/>
        <w:rPr>
          <w:sz w:val="20"/>
          <w:szCs w:val="20"/>
          <w:color w:val="auto"/>
        </w:rPr>
      </w:pPr>
    </w:p>
    <w:tbl>
      <w:tblPr>
        <w:tblLayout w:type="fixed"/>
        <w:tblInd w:w="2820" w:type="dxa"/>
        <w:tblCellMar>
          <w:top w:w="0" w:type="dxa"/>
          <w:left w:w="0" w:type="dxa"/>
          <w:bottom w:w="0" w:type="dxa"/>
          <w:right w:w="0" w:type="dxa"/>
        </w:tblCellMar>
      </w:tblPr>
      <w:tr>
        <w:trPr>
          <w:trHeight w:val="23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August 26, 2023</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August 27, 2022</w:t>
            </w:r>
          </w:p>
        </w:tc>
        <w:tc>
          <w:tcPr>
            <w:tcW w:w="380" w:type="dxa"/>
            <w:vAlign w:val="bottom"/>
            <w:tcBorders>
              <w:bottom w:val="single" w:sz="8" w:color="auto"/>
            </w:tcBorders>
          </w:tcPr>
          <w:p>
            <w:pPr>
              <w:spacing w:after="0"/>
              <w:rPr>
                <w:sz w:val="20"/>
                <w:szCs w:val="20"/>
                <w:color w:val="auto"/>
              </w:rPr>
            </w:pPr>
          </w:p>
        </w:tc>
      </w:tr>
      <w:tr>
        <w:trPr>
          <w:trHeight w:val="25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43,098</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30 %</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44,638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34 %</w:t>
            </w:r>
          </w:p>
        </w:tc>
      </w:tr>
      <w:tr>
        <w:trPr>
          <w:trHeight w:val="267"/>
        </w:trPr>
        <w:tc>
          <w:tcPr>
            <w:tcW w:w="1840" w:type="dxa"/>
            <w:vAlign w:val="bottom"/>
            <w:gridSpan w:val="2"/>
          </w:tcPr>
          <w:p>
            <w:pPr>
              <w:ind w:left="20"/>
              <w:spacing w:after="0"/>
              <w:rPr>
                <w:sz w:val="20"/>
                <w:szCs w:val="20"/>
                <w:color w:val="auto"/>
              </w:rPr>
            </w:pPr>
            <w:r>
              <w:rPr>
                <w:rFonts w:ascii="Arial" w:cs="Arial" w:eastAsia="Arial" w:hAnsi="Arial"/>
                <w:sz w:val="16"/>
                <w:szCs w:val="16"/>
                <w:color w:val="auto"/>
              </w:rPr>
              <w:t>Customer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39"/>
              <w:spacing w:after="0"/>
              <w:rPr>
                <w:sz w:val="20"/>
                <w:szCs w:val="20"/>
                <w:color w:val="auto"/>
              </w:rPr>
            </w:pPr>
            <w:r>
              <w:rPr>
                <w:rFonts w:ascii="Arial" w:cs="Arial" w:eastAsia="Arial" w:hAnsi="Arial"/>
                <w:sz w:val="16"/>
                <w:szCs w:val="16"/>
                <w:color w:val="auto"/>
              </w:rPr>
              <w:t>37,384</w:t>
            </w:r>
          </w:p>
        </w:tc>
        <w:tc>
          <w:tcPr>
            <w:tcW w:w="360" w:type="dxa"/>
            <w:vAlign w:val="bottom"/>
          </w:tcPr>
          <w:p>
            <w:pPr>
              <w:jc w:val="right"/>
              <w:spacing w:after="0"/>
              <w:rPr>
                <w:sz w:val="20"/>
                <w:szCs w:val="20"/>
                <w:color w:val="auto"/>
              </w:rPr>
            </w:pPr>
            <w:r>
              <w:rPr>
                <w:rFonts w:ascii="Arial" w:cs="Arial" w:eastAsia="Arial" w:hAnsi="Arial"/>
                <w:sz w:val="16"/>
                <w:szCs w:val="16"/>
                <w:color w:val="auto"/>
                <w:w w:val="87"/>
              </w:rPr>
              <w:t>26 %</w:t>
            </w:r>
          </w:p>
        </w:tc>
        <w:tc>
          <w:tcPr>
            <w:tcW w:w="14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19"/>
              <w:spacing w:after="0"/>
              <w:rPr>
                <w:sz w:val="20"/>
                <w:szCs w:val="20"/>
                <w:color w:val="auto"/>
              </w:rPr>
            </w:pPr>
            <w:r>
              <w:rPr>
                <w:rFonts w:ascii="Arial" w:cs="Arial" w:eastAsia="Arial" w:hAnsi="Arial"/>
                <w:sz w:val="16"/>
                <w:szCs w:val="16"/>
                <w:color w:val="auto"/>
              </w:rPr>
              <w:t>21,829</w:t>
            </w:r>
          </w:p>
        </w:tc>
        <w:tc>
          <w:tcPr>
            <w:tcW w:w="380" w:type="dxa"/>
            <w:vAlign w:val="bottom"/>
          </w:tcPr>
          <w:p>
            <w:pPr>
              <w:jc w:val="right"/>
              <w:spacing w:after="0"/>
              <w:rPr>
                <w:sz w:val="20"/>
                <w:szCs w:val="20"/>
                <w:color w:val="auto"/>
              </w:rPr>
            </w:pPr>
            <w:r>
              <w:rPr>
                <w:rFonts w:ascii="Arial" w:cs="Arial" w:eastAsia="Arial" w:hAnsi="Arial"/>
                <w:sz w:val="16"/>
                <w:szCs w:val="16"/>
                <w:color w:val="auto"/>
                <w:w w:val="93"/>
              </w:rPr>
              <w:t>16 %</w:t>
            </w:r>
          </w:p>
        </w:tc>
      </w:tr>
      <w:tr>
        <w:trPr>
          <w:trHeight w:val="27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3</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18,521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14 %</w:t>
            </w:r>
          </w:p>
        </w:tc>
      </w:tr>
    </w:tbl>
    <w:p>
      <w:pPr>
        <w:spacing w:after="0" w:line="58"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n/a - Not applicable as the customer was not significant during this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Quest Acquisition. The new organization design became effective on August 31, 2020. These restructuring plans primarily included workforce reductions, changes in management structure, and the relocation of business activities from one location to another.</w:t>
      </w:r>
    </w:p>
    <w:p>
      <w:pPr>
        <w:spacing w:after="0" w:line="214" w:lineRule="exact"/>
        <w:rPr>
          <w:sz w:val="20"/>
          <w:szCs w:val="20"/>
          <w:color w:val="auto"/>
        </w:rPr>
      </w:pPr>
    </w:p>
    <w:p>
      <w:pPr>
        <w:jc w:val="both"/>
        <w:ind w:firstLine="253"/>
        <w:spacing w:after="0" w:line="308" w:lineRule="auto"/>
        <w:rPr>
          <w:sz w:val="20"/>
          <w:szCs w:val="20"/>
          <w:color w:val="auto"/>
        </w:rPr>
      </w:pPr>
      <w:r>
        <w:rPr>
          <w:rFonts w:ascii="Arial" w:cs="Arial" w:eastAsia="Arial" w:hAnsi="Arial"/>
          <w:sz w:val="17"/>
          <w:szCs w:val="17"/>
          <w:color w:val="auto"/>
        </w:rPr>
        <w:t>The Company substantially completed its restructuring activities during the fifty-two weeks ended August 27, 2022. Since the announcement of the restructuring activities in May 2020, the Company incurred aggregate restructuring and restructuring-related costs of $9.9 million.</w:t>
      </w:r>
    </w:p>
    <w:p>
      <w:pPr>
        <w:spacing w:after="0" w:line="173" w:lineRule="exact"/>
        <w:rPr>
          <w:sz w:val="20"/>
          <w:szCs w:val="20"/>
          <w:color w:val="auto"/>
        </w:rPr>
      </w:pPr>
    </w:p>
    <w:p>
      <w:pPr>
        <w:jc w:val="both"/>
        <w:ind w:firstLine="222"/>
        <w:spacing w:after="0" w:line="255" w:lineRule="auto"/>
        <w:rPr>
          <w:sz w:val="20"/>
          <w:szCs w:val="20"/>
          <w:color w:val="auto"/>
        </w:rPr>
      </w:pPr>
      <w:r>
        <w:rPr>
          <w:rFonts w:ascii="Arial" w:cs="Arial" w:eastAsia="Arial" w:hAnsi="Arial"/>
          <w:sz w:val="18"/>
          <w:szCs w:val="18"/>
          <w:color w:val="auto"/>
        </w:rPr>
        <w:t xml:space="preserve">The one-time termination benefits and employee severance costs incurred in relation to these restructuring activities were accounted for in accordance with ASC Topic 420, Exit or Disposal Cost Obligations, and ASC Topic 712, Compensation - Nonretirement Post-employment Benefits, respectively. The Company recognized a liability and the related expense for these restructuring costs when the liability was incurred and could be measured. Restructuring accruals were based upon management estimates at the time and could change depending upon changes in facts and circumstances subsequent to the date the original liability was recorded. The effect of these restructuring activities was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Income and Comprehensive Income.</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to the restructuring liability during the fifty-two weeks ended August 26, 2023 and August 27, 2022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3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Termination benefits</w:t>
            </w:r>
          </w:p>
        </w:tc>
        <w:tc>
          <w:tcPr>
            <w:tcW w:w="320" w:type="dxa"/>
            <w:vAlign w:val="bottom"/>
          </w:tcPr>
          <w:p>
            <w:pPr>
              <w:spacing w:after="0"/>
              <w:rPr>
                <w:sz w:val="16"/>
                <w:szCs w:val="16"/>
                <w:color w:val="auto"/>
              </w:rPr>
            </w:pPr>
          </w:p>
        </w:tc>
        <w:tc>
          <w:tcPr>
            <w:tcW w:w="1120" w:type="dxa"/>
            <w:vAlign w:val="bottom"/>
            <w:vMerge w:val="restart"/>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vMerge w:val="restart"/>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color w:val="auto"/>
                <w:w w:val="97"/>
              </w:rPr>
              <w:t>Restructuring liability</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28,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67"/>
        </w:trPr>
        <w:tc>
          <w:tcPr>
            <w:tcW w:w="3440" w:type="dxa"/>
            <w:vAlign w:val="bottom"/>
            <w:gridSpan w:val="2"/>
          </w:tcPr>
          <w:p>
            <w:pPr>
              <w:ind w:left="12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center"/>
              <w:ind w:left="719"/>
              <w:spacing w:after="0"/>
              <w:rPr>
                <w:sz w:val="20"/>
                <w:szCs w:val="20"/>
                <w:color w:val="auto"/>
              </w:rPr>
            </w:pPr>
            <w:r>
              <w:rPr>
                <w:rFonts w:ascii="Arial" w:cs="Arial" w:eastAsia="Arial" w:hAnsi="Arial"/>
                <w:sz w:val="16"/>
                <w:szCs w:val="16"/>
                <w:color w:val="auto"/>
                <w:w w:val="89"/>
              </w:rPr>
              <w:t>76</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w w:val="91"/>
              </w:rPr>
              <w:t>(76)</w:t>
            </w:r>
          </w:p>
        </w:tc>
        <w:tc>
          <w:tcPr>
            <w:tcW w:w="1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as of August 27,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26,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substantially completed its restructuring activities during the third quarter of fiscal 2022; therefore no restructuring and restructuring-related costs were incurred in the fifty-two weeks ended August 26, 2023. During the fifty-two weeks ended August 27, 2022, the Company incurred $0.1 million of restructuring charges which included an immaterial gain on lease termination related to its lease in the Netherlands. In the fifty-two weeks ended August 28, 2021, the Company incurred a total of $4.3 million in restructuring and restructuring-related costs, which included a $0.5 million impairment charge, net of a gain on lease termination, related to its leases in Toronto, Ontario and the Netherlands.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jc w:val="both"/>
        <w:ind w:firstLine="186"/>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5"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26, 2023,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229"/>
        <w:spacing w:after="0" w:line="273" w:lineRule="auto"/>
        <w:rPr>
          <w:sz w:val="20"/>
          <w:szCs w:val="20"/>
          <w:color w:val="auto"/>
        </w:rPr>
      </w:pPr>
      <w:r>
        <w:rPr>
          <w:rFonts w:ascii="Arial" w:cs="Arial" w:eastAsia="Arial" w:hAnsi="Arial"/>
          <w:sz w:val="17"/>
          <w:szCs w:val="17"/>
          <w:color w:val="auto"/>
        </w:rPr>
        <w:t>Management is responsible for designing, implementing and maintaining adequate internal control over financial reporting,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internal control over financial reporting as of August 26, 2023. Management based its assessment on criteria established in Internal Control-Integrated Framework (2013) issued by the Committee of Sponsoring Organizations of the Treadway Commission. Based on the assessment using this criteria, management has concluded that our internal control over financial reporting was effective as of August 26, 2023.</w:t>
      </w:r>
    </w:p>
    <w:p>
      <w:pPr>
        <w:spacing w:after="0" w:line="205" w:lineRule="exact"/>
        <w:rPr>
          <w:sz w:val="20"/>
          <w:szCs w:val="20"/>
          <w:color w:val="auto"/>
        </w:rPr>
      </w:pPr>
    </w:p>
    <w:p>
      <w:pPr>
        <w:jc w:val="both"/>
        <w:ind w:firstLine="23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ind w:firstLine="284"/>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August 26, 2023 was audited by Deloitte &amp; Touche LLP, our independent registered public accounting firm, as stated in their report appearing below, which expressed an unqualified opinion on the effectiveness of our internal control over financial reporting as of August 26,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3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August 26,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The Simply Good Foods Company and subsidiaries (the “Company”) as of August 26,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August 26,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fifty-two weeks ended August 26, 2023, of the Company and our report dated October 24,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None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2024 Annual Meeting of Stockholders to be filed no later than 120 days after the end of the fiscal year ended August 26,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2024 Annual Meeting of Stockholders to be filed no later than 120 days after the end of the fiscal year ended August 26,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2024 Annual Meeting of Stockholders to be filed no later than 120 days after the end of the fiscal year ended August 26,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2024 Annual Meeting of Stockholders to be filed no later than 120 days after the end of the fiscal year ended August 26,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firstLine="252"/>
        <w:spacing w:after="0" w:line="286" w:lineRule="auto"/>
        <w:rPr>
          <w:sz w:val="20"/>
          <w:szCs w:val="20"/>
          <w:color w:val="auto"/>
        </w:rPr>
      </w:pPr>
      <w:r>
        <w:rPr>
          <w:rFonts w:ascii="Arial" w:cs="Arial" w:eastAsia="Arial" w:hAnsi="Arial"/>
          <w:sz w:val="17"/>
          <w:szCs w:val="17"/>
          <w:color w:val="auto"/>
        </w:rPr>
        <w:t>Information about aggregate fees billed to us by our principal accountant, Deloitte &amp; Touche LLP (PCAOB ID No. 34) will be presented under the caption “Audit Committee Matters - Principal Accounting Firm Fees” in our definitive proxy statement for our 2024 Annual Meeting of Stockholders to be filed no later than 120 days after the end of the fiscal year ended August 26, 2023 and is incorporated herein by reference.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56" w:lineRule="exact"/>
        <w:rPr>
          <w:sz w:val="20"/>
          <w:szCs w:val="20"/>
          <w:color w:val="auto"/>
        </w:rPr>
      </w:pPr>
    </w:p>
    <w:p>
      <w:pPr>
        <w:jc w:val="both"/>
        <w:ind w:firstLine="199"/>
        <w:spacing w:after="0" w:line="263" w:lineRule="auto"/>
        <w:rPr>
          <w:sz w:val="20"/>
          <w:szCs w:val="20"/>
          <w:color w:val="auto"/>
        </w:rPr>
      </w:pPr>
      <w:r>
        <w:rPr>
          <w:rFonts w:ascii="Arial" w:cs="Arial" w:eastAsia="Arial" w:hAnsi="Arial"/>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9"/>
                <w:szCs w:val="19"/>
                <w:color w:val="auto"/>
              </w:rPr>
            </w:pPr>
          </w:p>
        </w:tc>
        <w:tc>
          <w:tcPr>
            <w:tcW w:w="10420" w:type="dxa"/>
            <w:vAlign w:val="bottom"/>
            <w:gridSpan w:val="47"/>
          </w:tcPr>
          <w:p>
            <w:pPr>
              <w:spacing w:after="0"/>
              <w:rPr>
                <w:sz w:val="20"/>
                <w:szCs w:val="20"/>
                <w:color w:val="auto"/>
              </w:rPr>
            </w:pPr>
            <w:r>
              <w:rPr>
                <w:rFonts w:ascii="Arial" w:cs="Arial" w:eastAsia="Arial" w:hAnsi="Arial"/>
                <w:sz w:val="16"/>
                <w:szCs w:val="16"/>
                <w:b w:val="1"/>
                <w:bCs w:val="1"/>
                <w:color w:val="auto"/>
              </w:rPr>
              <w:t>Document</w:t>
            </w:r>
          </w:p>
        </w:tc>
      </w:tr>
      <w:tr>
        <w:trPr>
          <w:trHeight w:val="175"/>
        </w:trPr>
        <w:tc>
          <w:tcPr>
            <w:tcW w:w="10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3.1</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420" w:type="dxa"/>
            <w:vAlign w:val="bottom"/>
            <w:tcBorders>
              <w:top w:val="single" w:sz="8" w:color="auto"/>
            </w:tcBorders>
            <w:gridSpan w:val="47"/>
            <w:shd w:val="clear" w:color="auto" w:fill="CCEEFF"/>
          </w:tcPr>
          <w:p>
            <w:pPr>
              <w:spacing w:after="0" w:line="175" w:lineRule="exact"/>
              <w:rPr>
                <w:rFonts w:ascii="Arial" w:cs="Arial" w:eastAsia="Arial" w:hAnsi="Arial"/>
                <w:sz w:val="16"/>
                <w:szCs w:val="16"/>
                <w:color w:val="0000FF"/>
                <w:w w:val="98"/>
              </w:rPr>
            </w:pPr>
            <w:hyperlink r:id="rId88">
              <w:r>
                <w:rPr>
                  <w:rFonts w:ascii="Arial" w:cs="Arial" w:eastAsia="Arial" w:hAnsi="Arial"/>
                  <w:sz w:val="16"/>
                  <w:szCs w:val="16"/>
                  <w:color w:val="0000FF"/>
                  <w:w w:val="98"/>
                </w:rPr>
                <w:t>Third Amended and Restated Certificate of Incorporation of The Simply Good Foods Company (incorporated by reference to Exhibit 3.1 to our Current</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40" w:type="dxa"/>
            <w:vAlign w:val="bottom"/>
            <w:tcBorders>
              <w:top w:val="single" w:sz="8" w:color="0000FF"/>
            </w:tcBorders>
            <w:gridSpan w:val="33"/>
            <w:shd w:val="clear" w:color="auto" w:fill="CCEEFF"/>
          </w:tcPr>
          <w:p>
            <w:pPr>
              <w:spacing w:after="0" w:line="142" w:lineRule="exact"/>
              <w:rPr>
                <w:rFonts w:ascii="Arial" w:cs="Arial" w:eastAsia="Arial" w:hAnsi="Arial"/>
                <w:sz w:val="16"/>
                <w:szCs w:val="16"/>
                <w:color w:val="0000FF"/>
              </w:rPr>
            </w:pPr>
            <w:hyperlink r:id="rId88">
              <w:r>
                <w:rPr>
                  <w:rFonts w:ascii="Arial" w:cs="Arial" w:eastAsia="Arial" w:hAnsi="Arial"/>
                  <w:sz w:val="16"/>
                  <w:szCs w:val="16"/>
                  <w:color w:val="0000FF"/>
                </w:rPr>
                <w:t>Report on Form 8-K filed on January 25, 2023).</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7"/>
              </w:rPr>
            </w:pPr>
            <w:hyperlink r:id="rId89">
              <w:r>
                <w:rPr>
                  <w:rFonts w:ascii="Arial" w:cs="Arial" w:eastAsia="Arial" w:hAnsi="Arial"/>
                  <w:sz w:val="16"/>
                  <w:szCs w:val="16"/>
                  <w:color w:val="0000FF"/>
                  <w:w w:val="97"/>
                </w:rPr>
                <w:t>Third Amended and Restated Bylaws of The Simply Good Foods Company (incorporated by reference to Exhibit 3.1 to our Current Report on Form 8-K</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filed on July 19,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w w:val="99"/>
              </w:rPr>
            </w:pPr>
            <w:hyperlink r:id="rId90">
              <w:r>
                <w:rPr>
                  <w:rFonts w:ascii="Arial" w:cs="Arial" w:eastAsia="Arial" w:hAnsi="Arial"/>
                  <w:sz w:val="16"/>
                  <w:szCs w:val="16"/>
                  <w:color w:val="0000FF"/>
                  <w:w w:val="99"/>
                </w:rPr>
                <w:t>Form of Common Stock Certificate (incorporated by reference to Exhibit 4.1 to Amendment No. 3 to our Registration Statement on Form S-4 filed on</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6"/>
                <w:szCs w:val="16"/>
                <w:color w:val="0000FF"/>
                <w:w w:val="88"/>
              </w:rPr>
            </w:pPr>
            <w:hyperlink r:id="rId90">
              <w:r>
                <w:rPr>
                  <w:rFonts w:ascii="Arial" w:cs="Arial" w:eastAsia="Arial" w:hAnsi="Arial"/>
                  <w:sz w:val="16"/>
                  <w:szCs w:val="16"/>
                  <w:color w:val="0000FF"/>
                  <w:w w:val="88"/>
                </w:rPr>
                <w:t>June 12, 2017).</w:t>
              </w:r>
            </w:hyperlink>
          </w:p>
        </w:tc>
        <w:tc>
          <w:tcPr>
            <w:tcW w:w="9040" w:type="dxa"/>
            <w:vAlign w:val="bottom"/>
            <w:tcBorders>
              <w:top w:val="single" w:sz="8" w:color="0000FF"/>
              <w:bottom w:val="single" w:sz="8" w:color="CCEEFF"/>
            </w:tcBorders>
            <w:gridSpan w:val="2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rPr>
            </w:pPr>
            <w:hyperlink r:id="rId91">
              <w:r>
                <w:rPr>
                  <w:rFonts w:ascii="Arial" w:cs="Arial" w:eastAsia="Arial" w:hAnsi="Arial"/>
                  <w:sz w:val="16"/>
                  <w:szCs w:val="16"/>
                  <w:color w:val="0000FF"/>
                </w:rPr>
                <w:t>Description of Securities (incorporated by reference to Exhibit 4.4 to our Annual Report on Form 10-K filed on October 28, 2020).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w w:val="95"/>
              </w:rPr>
            </w:pPr>
            <w:hyperlink r:id="rId92">
              <w:r>
                <w:rPr>
                  <w:rFonts w:ascii="Arial" w:cs="Arial" w:eastAsia="Arial" w:hAnsi="Arial"/>
                  <w:sz w:val="16"/>
                  <w:szCs w:val="16"/>
                  <w:color w:val="0000FF"/>
                  <w:w w:val="95"/>
                </w:rPr>
                <w:t>Investor Rights Agreement, dated July 7, 2017, between The Simply Good Foods Company and Conyers Park Sponsor LLC (incorporated by reference to</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13"/>
            <w:shd w:val="clear" w:color="auto" w:fill="CCEEFF"/>
          </w:tcPr>
          <w:p>
            <w:pPr>
              <w:spacing w:after="0" w:line="142" w:lineRule="exact"/>
              <w:rPr>
                <w:rFonts w:ascii="Arial" w:cs="Arial" w:eastAsia="Arial" w:hAnsi="Arial"/>
                <w:sz w:val="16"/>
                <w:szCs w:val="16"/>
                <w:color w:val="0000FF"/>
                <w:w w:val="93"/>
              </w:rPr>
            </w:pPr>
            <w:hyperlink r:id="rId92">
              <w:r>
                <w:rPr>
                  <w:rFonts w:ascii="Arial" w:cs="Arial" w:eastAsia="Arial" w:hAnsi="Arial"/>
                  <w:sz w:val="16"/>
                  <w:szCs w:val="16"/>
                  <w:color w:val="0000FF"/>
                  <w:w w:val="93"/>
                </w:rPr>
                <w:t>Exhibit 10.3 to our Current Report on Form 8-K filed on July 13, 2017).</w:t>
              </w:r>
            </w:hyperlink>
          </w:p>
        </w:tc>
        <w:tc>
          <w:tcPr>
            <w:tcW w:w="55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10.2†</w:t>
            </w: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8"/>
              </w:rPr>
            </w:pPr>
            <w:hyperlink r:id="rId93">
              <w:r>
                <w:rPr>
                  <w:rFonts w:ascii="Arial" w:cs="Arial" w:eastAsia="Arial" w:hAnsi="Arial"/>
                  <w:sz w:val="16"/>
                  <w:szCs w:val="16"/>
                  <w:color w:val="0000FF"/>
                  <w:w w:val="98"/>
                </w:rPr>
                <w:t>2017 Omnibus Incentive Plan (incorporated by reference to Exhibit 10.3 to Amendment No. 3 to Registration Statement on Form S-4 filed on June 12,</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2017).</w:t>
              </w:r>
            </w:hyperlink>
          </w:p>
        </w:tc>
        <w:tc>
          <w:tcPr>
            <w:tcW w:w="3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10.3†</w:t>
            </w: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2017 Omnibus Incentive Plan, as amended from time to time Policy Regarding Treatment of Awards in the Event of an Awardee’s Retirement</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0000FF"/>
            </w:tcBorders>
            <w:gridSpan w:val="43"/>
            <w:shd w:val="clear" w:color="auto" w:fill="CCEEFF"/>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(incorporated by reference to Exhibit 10.18 to our Annual Report on Form 10-K Filed on October 28, 2020).</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10.4†</w:t>
            </w: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7"/>
              </w:rPr>
            </w:pPr>
            <w:hyperlink r:id="rId95">
              <w:r>
                <w:rPr>
                  <w:rFonts w:ascii="Arial" w:cs="Arial" w:eastAsia="Arial" w:hAnsi="Arial"/>
                  <w:sz w:val="16"/>
                  <w:szCs w:val="16"/>
                  <w:color w:val="0000FF"/>
                  <w:w w:val="97"/>
                </w:rPr>
                <w:t>Form of Indemnity Agreement (incorporated by reference to Exhibit 10.8 to Amendment No. 3 to our Registration Statement on Form S-4 filed on June</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12, 2017).</w:t>
              </w:r>
            </w:hyperlink>
          </w:p>
        </w:tc>
        <w:tc>
          <w:tcPr>
            <w:tcW w:w="5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w w:val="99"/>
              </w:rPr>
            </w:pPr>
            <w:hyperlink r:id="rId96">
              <w:r>
                <w:rPr>
                  <w:rFonts w:ascii="Arial" w:cs="Arial" w:eastAsia="Arial" w:hAnsi="Arial"/>
                  <w:sz w:val="16"/>
                  <w:szCs w:val="16"/>
                  <w:color w:val="0000FF"/>
                  <w:w w:val="99"/>
                </w:rPr>
                <w:t>The Simply Good Foods Company Amended and Restated Executive Severance Compensation Plan (Effective January 20, 2022) (incorporated by</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720" w:type="dxa"/>
            <w:vAlign w:val="bottom"/>
            <w:tcBorders>
              <w:top w:val="single" w:sz="8" w:color="0000FF"/>
              <w:bottom w:val="single" w:sz="8" w:color="0000FF"/>
            </w:tcBorders>
            <w:gridSpan w:val="16"/>
            <w:shd w:val="clear" w:color="auto" w:fill="CCEEFF"/>
          </w:tcPr>
          <w:p>
            <w:pPr>
              <w:spacing w:after="0" w:line="142" w:lineRule="exact"/>
              <w:rPr>
                <w:rFonts w:ascii="Arial" w:cs="Arial" w:eastAsia="Arial" w:hAnsi="Arial"/>
                <w:sz w:val="16"/>
                <w:szCs w:val="16"/>
                <w:color w:val="0000FF"/>
                <w:w w:val="92"/>
              </w:rPr>
            </w:pPr>
            <w:hyperlink r:id="rId96">
              <w:r>
                <w:rPr>
                  <w:rFonts w:ascii="Arial" w:cs="Arial" w:eastAsia="Arial" w:hAnsi="Arial"/>
                  <w:sz w:val="16"/>
                  <w:szCs w:val="16"/>
                  <w:color w:val="0000FF"/>
                  <w:w w:val="92"/>
                </w:rPr>
                <w:t>reference to Exhibit 10.2 to our Current Report on Form 8-K filed on January 25, 2022).</w:t>
              </w:r>
            </w:hyperlink>
          </w:p>
        </w:tc>
        <w:tc>
          <w:tcPr>
            <w:tcW w:w="452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10.6†</w:t>
            </w: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7"/>
              </w:rPr>
            </w:pPr>
            <w:hyperlink r:id="rId97">
              <w:r>
                <w:rPr>
                  <w:rFonts w:ascii="Arial" w:cs="Arial" w:eastAsia="Arial" w:hAnsi="Arial"/>
                  <w:sz w:val="16"/>
                  <w:szCs w:val="16"/>
                  <w:color w:val="0000FF"/>
                  <w:w w:val="97"/>
                </w:rPr>
                <w:t>Form of Executive Severance Compensation Plan, Tier I Participation Agreement, dated July 23, 2018 (incorporated by reference to Exhibit 10.2 to our</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Current Report on Form 8-K filed on July 27,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rPr>
            </w:pPr>
            <w:hyperlink r:id="rId98">
              <w:r>
                <w:rPr>
                  <w:rFonts w:ascii="Arial" w:cs="Arial" w:eastAsia="Arial" w:hAnsi="Arial"/>
                  <w:sz w:val="16"/>
                  <w:szCs w:val="16"/>
                  <w:color w:val="0000FF"/>
                </w:rPr>
                <w:t>Credit Agreement, dated July 7, 2017, among Atkins Intermediate Holdings, LLC, Conyers Park Parent Merger Sub, Inc., Conyers Park Acquisition</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260" w:type="dxa"/>
            <w:vAlign w:val="bottom"/>
            <w:tcBorders>
              <w:top w:val="single" w:sz="8" w:color="0000FF"/>
              <w:bottom w:val="single" w:sz="8" w:color="0000FF"/>
            </w:tcBorders>
            <w:gridSpan w:val="39"/>
            <w:shd w:val="clear" w:color="auto" w:fill="CCEEFF"/>
          </w:tcPr>
          <w:p>
            <w:pPr>
              <w:spacing w:after="0" w:line="142" w:lineRule="exact"/>
              <w:rPr>
                <w:rFonts w:ascii="Arial" w:cs="Arial" w:eastAsia="Arial" w:hAnsi="Arial"/>
                <w:sz w:val="16"/>
                <w:szCs w:val="16"/>
                <w:color w:val="0000FF"/>
                <w:w w:val="94"/>
              </w:rPr>
            </w:pPr>
            <w:hyperlink r:id="rId98">
              <w:r>
                <w:rPr>
                  <w:rFonts w:ascii="Arial" w:cs="Arial" w:eastAsia="Arial" w:hAnsi="Arial"/>
                  <w:sz w:val="16"/>
                  <w:szCs w:val="16"/>
                  <w:color w:val="0000FF"/>
                  <w:w w:val="94"/>
                </w:rPr>
                <w:t>Corp., Conyers Park Merger Sub 1, Inc., Conyers Park Merger Sub 2, Inc., Conyers Park Merger Sub 3, Inc., Conyers Park Merger Sub 4, Inc., NCP-ATK</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80" w:type="dxa"/>
            <w:vAlign w:val="bottom"/>
            <w:gridSpan w:val="40"/>
            <w:shd w:val="clear" w:color="auto" w:fill="CCEEFF"/>
          </w:tcPr>
          <w:p>
            <w:pPr>
              <w:spacing w:after="0" w:line="142" w:lineRule="exact"/>
              <w:rPr>
                <w:rFonts w:ascii="Arial" w:cs="Arial" w:eastAsia="Arial" w:hAnsi="Arial"/>
                <w:sz w:val="16"/>
                <w:szCs w:val="16"/>
                <w:color w:val="0000FF"/>
                <w:w w:val="98"/>
              </w:rPr>
            </w:pPr>
            <w:hyperlink r:id="rId98">
              <w:r>
                <w:rPr>
                  <w:rFonts w:ascii="Arial" w:cs="Arial" w:eastAsia="Arial" w:hAnsi="Arial"/>
                  <w:sz w:val="16"/>
                  <w:szCs w:val="16"/>
                  <w:color w:val="0000FF"/>
                  <w:w w:val="98"/>
                </w:rPr>
                <w:t>Holdings, Inc., Atkins Nutritionals Holdings, Inc., Atkins Nutritionals Holdings II, Inc., Atkins Nutritionals, Inc., the lenders party thereto and Barclays</w:t>
              </w:r>
            </w:hyperlink>
          </w:p>
        </w:tc>
        <w:tc>
          <w:tcPr>
            <w:tcW w:w="40" w:type="dxa"/>
            <w:vAlign w:val="bottom"/>
            <w:gridSpan w:val="2"/>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140" w:type="dxa"/>
            <w:vAlign w:val="bottom"/>
            <w:tcBorders>
              <w:top w:val="single" w:sz="8" w:color="0000FF"/>
              <w:bottom w:val="single" w:sz="8" w:color="0000FF"/>
            </w:tcBorders>
            <w:gridSpan w:val="23"/>
            <w:shd w:val="clear" w:color="auto" w:fill="CCEEFF"/>
          </w:tcPr>
          <w:p>
            <w:pPr>
              <w:spacing w:after="0" w:line="142" w:lineRule="exact"/>
              <w:rPr>
                <w:rFonts w:ascii="Arial" w:cs="Arial" w:eastAsia="Arial" w:hAnsi="Arial"/>
                <w:sz w:val="16"/>
                <w:szCs w:val="16"/>
                <w:color w:val="0000FF"/>
                <w:w w:val="92"/>
              </w:rPr>
            </w:pPr>
            <w:hyperlink r:id="rId98">
              <w:r>
                <w:rPr>
                  <w:rFonts w:ascii="Arial" w:cs="Arial" w:eastAsia="Arial" w:hAnsi="Arial"/>
                  <w:sz w:val="16"/>
                  <w:szCs w:val="16"/>
                  <w:color w:val="0000FF"/>
                  <w:w w:val="92"/>
                </w:rPr>
                <w:t>Bank PLC, as the administrative agent (incorporated by reference to Exhibit 10.1 to our Current Report on Form 8-K filed on July 13, 2017).</w:t>
              </w:r>
            </w:hyperlink>
          </w:p>
        </w:tc>
        <w:tc>
          <w:tcPr>
            <w:tcW w:w="106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8"/>
              </w:rPr>
            </w:pPr>
            <w:hyperlink r:id="rId99">
              <w:r>
                <w:rPr>
                  <w:rFonts w:ascii="Arial" w:cs="Arial" w:eastAsia="Arial" w:hAnsi="Arial"/>
                  <w:sz w:val="16"/>
                  <w:szCs w:val="16"/>
                  <w:color w:val="0000FF"/>
                  <w:w w:val="98"/>
                </w:rPr>
                <w:t>Amendment No. 2 (Incremental Facility Amendment), dated November 7, 2019, among Atkins Intermediate Holdings, LLC, , Conyers Park Acquisition</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Corp., Atkins Nutritionals, Inc., Atkins Nutritionals Holdings, Inc., Atkins Nutritionals Holdings II, Inc., NCP-ATK Holdings, Inc., the financial</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w w:val="93"/>
              </w:rPr>
            </w:pPr>
            <w:hyperlink r:id="rId99">
              <w:r>
                <w:rPr>
                  <w:rFonts w:ascii="Arial" w:cs="Arial" w:eastAsia="Arial" w:hAnsi="Arial"/>
                  <w:sz w:val="16"/>
                  <w:szCs w:val="16"/>
                  <w:color w:val="0000FF"/>
                  <w:w w:val="93"/>
                </w:rPr>
                <w:t>institutions set forth on Schedule A thereto as Additional Term Lenders, and acknowledged by Barclays Bank PLC, as administrative agent (incorporated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0" w:type="dxa"/>
            <w:vAlign w:val="bottom"/>
            <w:gridSpan w:val="46"/>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by reference to Exhibit 10.1 of our Current Report on Form 8-K filed on November 7, 2019).</w:t>
              </w:r>
            </w:hyperlink>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rPr>
            </w:pPr>
            <w:hyperlink r:id="rId100">
              <w:r>
                <w:rPr>
                  <w:rFonts w:ascii="Arial" w:cs="Arial" w:eastAsia="Arial" w:hAnsi="Arial"/>
                  <w:sz w:val="16"/>
                  <w:szCs w:val="16"/>
                  <w:color w:val="0000FF"/>
                </w:rPr>
                <w:t>Extension Amendment, dated December 16, 2021, among Atkins Intermediate Holdings, LLC, Conyers Park Acquisition Corp., Simply Good Foods</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80" w:type="dxa"/>
            <w:vAlign w:val="bottom"/>
            <w:tcBorders>
              <w:top w:val="single" w:sz="8" w:color="0000FF"/>
            </w:tcBorders>
            <w:gridSpan w:val="45"/>
            <w:shd w:val="clear" w:color="auto" w:fill="CCEEFF"/>
          </w:tcPr>
          <w:p>
            <w:pPr>
              <w:spacing w:after="0" w:line="142" w:lineRule="exact"/>
              <w:rPr>
                <w:rFonts w:ascii="Arial" w:cs="Arial" w:eastAsia="Arial" w:hAnsi="Arial"/>
                <w:sz w:val="16"/>
                <w:szCs w:val="16"/>
                <w:color w:val="0000FF"/>
                <w:w w:val="99"/>
              </w:rPr>
            </w:pPr>
            <w:hyperlink r:id="rId100">
              <w:r>
                <w:rPr>
                  <w:rFonts w:ascii="Arial" w:cs="Arial" w:eastAsia="Arial" w:hAnsi="Arial"/>
                  <w:sz w:val="16"/>
                  <w:szCs w:val="16"/>
                  <w:color w:val="0000FF"/>
                  <w:w w:val="99"/>
                </w:rPr>
                <w:t>USA, Inc., Atkins Nutritionals Holdings, Inc., Atkins Nutritionals Holdings II, Inc., NCP-ATK Holdings, Inc., the financial institutions party thereto, and</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900" w:type="dxa"/>
            <w:vAlign w:val="bottom"/>
            <w:tcBorders>
              <w:top w:val="single" w:sz="8" w:color="0000FF"/>
              <w:bottom w:val="single" w:sz="8" w:color="0000FF"/>
            </w:tcBorders>
            <w:gridSpan w:val="26"/>
            <w:shd w:val="clear" w:color="auto" w:fill="CCEEFF"/>
          </w:tcPr>
          <w:p>
            <w:pPr>
              <w:spacing w:after="0" w:line="142" w:lineRule="exact"/>
              <w:rPr>
                <w:rFonts w:ascii="Arial" w:cs="Arial" w:eastAsia="Arial" w:hAnsi="Arial"/>
                <w:sz w:val="16"/>
                <w:szCs w:val="16"/>
                <w:color w:val="0000FF"/>
                <w:w w:val="92"/>
              </w:rPr>
            </w:pPr>
            <w:hyperlink r:id="rId100">
              <w:r>
                <w:rPr>
                  <w:rFonts w:ascii="Arial" w:cs="Arial" w:eastAsia="Arial" w:hAnsi="Arial"/>
                  <w:sz w:val="16"/>
                  <w:szCs w:val="16"/>
                  <w:color w:val="0000FF"/>
                  <w:w w:val="92"/>
                </w:rPr>
                <w:t>Barclays Bank PLC, as administrative agent (incorporated by reference to Exhibit 10.1 to our Current Report on Form 8-K filed on December 22, 2021).</w:t>
              </w:r>
            </w:hyperlink>
          </w:p>
        </w:tc>
        <w:tc>
          <w:tcPr>
            <w:tcW w:w="32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7"/>
              </w:rPr>
            </w:pPr>
            <w:hyperlink r:id="rId101">
              <w:r>
                <w:rPr>
                  <w:rFonts w:ascii="Arial" w:cs="Arial" w:eastAsia="Arial" w:hAnsi="Arial"/>
                  <w:sz w:val="16"/>
                  <w:szCs w:val="16"/>
                  <w:color w:val="0000FF"/>
                  <w:w w:val="97"/>
                </w:rPr>
                <w:t>Repricing Amendment, dated January 21, 2022, among Atkins Intermediate Holdings, LLC, Conyers Park Acquisition Corp., Simply Good Foods USA,</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w w:val="96"/>
              </w:rPr>
            </w:pPr>
            <w:hyperlink r:id="rId101">
              <w:r>
                <w:rPr>
                  <w:rFonts w:ascii="Arial" w:cs="Arial" w:eastAsia="Arial" w:hAnsi="Arial"/>
                  <w:sz w:val="16"/>
                  <w:szCs w:val="16"/>
                  <w:color w:val="0000FF"/>
                  <w:w w:val="96"/>
                </w:rPr>
                <w:t>Inc., Atkins Nutritionals Holdings, Inc., Atkins Nutritionals Holdings II, Inc., NCP-ATK Holdings, Inc., the other guarantors party thereto, the financial</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60" w:type="dxa"/>
            <w:vAlign w:val="bottom"/>
            <w:tcBorders>
              <w:bottom w:val="single" w:sz="8" w:color="0000FF"/>
            </w:tcBorders>
            <w:gridSpan w:val="8"/>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60" w:type="dxa"/>
            <w:vAlign w:val="bottom"/>
            <w:gridSpan w:val="44"/>
          </w:tcPr>
          <w:p>
            <w:pPr>
              <w:spacing w:after="0" w:line="142" w:lineRule="exact"/>
              <w:rPr>
                <w:rFonts w:ascii="Arial" w:cs="Arial" w:eastAsia="Arial" w:hAnsi="Arial"/>
                <w:sz w:val="16"/>
                <w:szCs w:val="16"/>
                <w:color w:val="0000FF"/>
                <w:w w:val="97"/>
              </w:rPr>
            </w:pPr>
            <w:hyperlink r:id="rId101">
              <w:r>
                <w:rPr>
                  <w:rFonts w:ascii="Arial" w:cs="Arial" w:eastAsia="Arial" w:hAnsi="Arial"/>
                  <w:sz w:val="16"/>
                  <w:szCs w:val="16"/>
                  <w:color w:val="0000FF"/>
                  <w:w w:val="97"/>
                </w:rPr>
                <w:t>institutions party thereto and Barclays Bank PLC, as administrative agent (incorporated by reference to Exhibit 10.1 to our Current Report on Form 8-K</w:t>
              </w:r>
            </w:hyperlink>
          </w:p>
        </w:tc>
        <w:tc>
          <w:tcPr>
            <w:tcW w:w="6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filed on January 25, 2022).</w:t>
              </w:r>
            </w:hyperlink>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Repricing Amendment, dated March 16, 2018, among Atkins Intermediate Holdings, LLC, Conyers Park Acquisition Corp., Atkins Nutritionals, Inc.,</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w w:val="96"/>
              </w:rPr>
            </w:pPr>
            <w:hyperlink r:id="rId102">
              <w:r>
                <w:rPr>
                  <w:rFonts w:ascii="Arial" w:cs="Arial" w:eastAsia="Arial" w:hAnsi="Arial"/>
                  <w:sz w:val="16"/>
                  <w:szCs w:val="16"/>
                  <w:color w:val="0000FF"/>
                  <w:w w:val="96"/>
                </w:rPr>
                <w:t>Atkins Nutritionals Holdings, Inc., Atkins Nutritionals Holdings II, Inc. NCP-ATK Holdings, Inc. and Barclays Bank PLC (incorporated by reference to</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0" w:type="dxa"/>
            <w:vAlign w:val="bottom"/>
            <w:tcBorders>
              <w:top w:val="single" w:sz="8" w:color="CCEEFF"/>
            </w:tcBorders>
            <w:gridSpan w:val="10"/>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4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Exhibit 10.1 to our Current Report on Form 8-K filed on March 20, 2018).</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00" w:type="dxa"/>
            <w:vAlign w:val="bottom"/>
            <w:tcBorders>
              <w:top w:val="single" w:sz="8" w:color="CCEEFF"/>
            </w:tcBorders>
            <w:gridSpan w:val="10"/>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10.12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Repricing Amendment, dated April 25, 2023, among Atkins Intermediate Holdings, LLC, Conyers Park Acquisition Corp., Simply Good Foods USA,</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1"/>
          </w:tcPr>
          <w:p>
            <w:pPr>
              <w:spacing w:after="0" w:line="142" w:lineRule="exact"/>
              <w:rPr>
                <w:rFonts w:ascii="Arial" w:cs="Arial" w:eastAsia="Arial" w:hAnsi="Arial"/>
                <w:sz w:val="16"/>
                <w:szCs w:val="16"/>
                <w:color w:val="0000FF"/>
                <w:w w:val="97"/>
              </w:rPr>
            </w:pPr>
            <w:hyperlink r:id="rId103">
              <w:r>
                <w:rPr>
                  <w:rFonts w:ascii="Arial" w:cs="Arial" w:eastAsia="Arial" w:hAnsi="Arial"/>
                  <w:sz w:val="16"/>
                  <w:szCs w:val="16"/>
                  <w:color w:val="0000FF"/>
                  <w:w w:val="97"/>
                </w:rPr>
                <w:t>Inc., Atkins Nutritional Holdings, Inc., Atkins Nutritional Holdings II, Inc., NCP-ATK Holdings, Inc., and Barclays Bank PLC, as Administrative Agent</w:t>
              </w:r>
            </w:hyperlink>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8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and Replacement Lender (incorporated by reference to Exhibit 10.1 to our Current Report on Form 8-K filed on April 27, 2023)</w:t>
              </w:r>
            </w:hyperlink>
          </w:p>
        </w:tc>
        <w:tc>
          <w:tcPr>
            <w:tcW w:w="4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10.13†</w:t>
            </w: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04">
              <w:r>
                <w:rPr>
                  <w:rFonts w:ascii="Arial" w:cs="Arial" w:eastAsia="Arial" w:hAnsi="Arial"/>
                  <w:sz w:val="16"/>
                  <w:szCs w:val="16"/>
                  <w:color w:val="0000FF"/>
                  <w:w w:val="96"/>
                </w:rPr>
                <w:t>Amended and Restated Employment Agreement, dated July 7, 2017, between The Simply Good Foods Company and Joseph E. Scalzo (incorporated by</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4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reference to Exhibit 10.8 to our Current Report on Form 8-K filed on July 13, 2017).</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00" w:type="dxa"/>
            <w:vAlign w:val="bottom"/>
            <w:tcBorders>
              <w:top w:val="single" w:sz="8" w:color="CCEEFF"/>
            </w:tcBorders>
            <w:gridSpan w:val="10"/>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10.14†</w:t>
            </w: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5"/>
              </w:rPr>
            </w:pPr>
            <w:hyperlink r:id="rId105">
              <w:r>
                <w:rPr>
                  <w:rFonts w:ascii="Arial" w:cs="Arial" w:eastAsia="Arial" w:hAnsi="Arial"/>
                  <w:sz w:val="16"/>
                  <w:szCs w:val="16"/>
                  <w:color w:val="0000FF"/>
                  <w:w w:val="95"/>
                </w:rPr>
                <w:t>First Amendment to Amended and Restated Employment Agreement, dated October 16, 2019, between The Simply Good Foods Company and Joseph E.</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6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Scalzo. (Incorporated by reference to Exhibit 10.1 to our Current Report on Form 8-K filed on October 18, 2019)</w:t>
              </w:r>
            </w:hyperlink>
          </w:p>
        </w:tc>
        <w:tc>
          <w:tcPr>
            <w:tcW w:w="60" w:type="dxa"/>
            <w:vAlign w:val="bottom"/>
            <w:gridSpan w:val="3"/>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10.15†</w:t>
            </w: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w w:val="98"/>
              </w:rPr>
            </w:pPr>
            <w:hyperlink r:id="rId106">
              <w:r>
                <w:rPr>
                  <w:rFonts w:ascii="Arial" w:cs="Arial" w:eastAsia="Arial" w:hAnsi="Arial"/>
                  <w:sz w:val="16"/>
                  <w:szCs w:val="16"/>
                  <w:color w:val="0000FF"/>
                  <w:w w:val="98"/>
                </w:rPr>
                <w:t>Second Amendment to the Amended and Restated Employment Agreement, dated August 13, 2021 between The Simply Good Foods Company and</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800" w:type="dxa"/>
            <w:vAlign w:val="bottom"/>
            <w:tcBorders>
              <w:top w:val="single" w:sz="8" w:color="0000FF"/>
              <w:bottom w:val="single" w:sz="8" w:color="0000FF"/>
            </w:tcBorders>
            <w:gridSpan w:val="20"/>
            <w:shd w:val="clear" w:color="auto" w:fill="CCEEFF"/>
          </w:tcPr>
          <w:p>
            <w:pPr>
              <w:spacing w:after="0" w:line="142" w:lineRule="exact"/>
              <w:rPr>
                <w:rFonts w:ascii="Arial" w:cs="Arial" w:eastAsia="Arial" w:hAnsi="Arial"/>
                <w:sz w:val="16"/>
                <w:szCs w:val="16"/>
                <w:color w:val="0000FF"/>
                <w:w w:val="92"/>
              </w:rPr>
            </w:pPr>
            <w:hyperlink r:id="rId106">
              <w:r>
                <w:rPr>
                  <w:rFonts w:ascii="Arial" w:cs="Arial" w:eastAsia="Arial" w:hAnsi="Arial"/>
                  <w:sz w:val="16"/>
                  <w:szCs w:val="16"/>
                  <w:color w:val="0000FF"/>
                  <w:w w:val="92"/>
                </w:rPr>
                <w:t>Joseph Scalzo. (Incorporated by reference to Exhibit 10.1 to our Current Report on Form 8-K filed on August 13, 2021.)</w:t>
              </w:r>
            </w:hyperlink>
          </w:p>
        </w:tc>
        <w:tc>
          <w:tcPr>
            <w:tcW w:w="252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10.16†</w:t>
            </w: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7"/>
              </w:rPr>
            </w:pPr>
            <w:hyperlink r:id="rId107">
              <w:r>
                <w:rPr>
                  <w:rFonts w:ascii="Arial" w:cs="Arial" w:eastAsia="Arial" w:hAnsi="Arial"/>
                  <w:sz w:val="16"/>
                  <w:szCs w:val="16"/>
                  <w:color w:val="0000FF"/>
                  <w:w w:val="97"/>
                </w:rPr>
                <w:t>Transition Agreement, dated January 27, 2023, between The Simply Good Foods Company and Joseph E. Scalzo (incorporated by reference to Exhibit</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January 30, 2023).</w:t>
              </w:r>
            </w:hyperlink>
          </w:p>
        </w:tc>
        <w:tc>
          <w:tcPr>
            <w:tcW w:w="300" w:type="dxa"/>
            <w:vAlign w:val="bottom"/>
            <w:gridSpan w:val="15"/>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10.17†</w:t>
            </w:r>
          </w:p>
        </w:tc>
        <w:tc>
          <w:tcPr>
            <w:tcW w:w="20" w:type="dxa"/>
            <w:vAlign w:val="bottom"/>
            <w:shd w:val="clear" w:color="auto" w:fill="CCEEFF"/>
          </w:tcPr>
          <w:p>
            <w:pPr>
              <w:spacing w:after="0"/>
              <w:rPr>
                <w:sz w:val="15"/>
                <w:szCs w:val="15"/>
                <w:color w:val="auto"/>
              </w:rPr>
            </w:pPr>
          </w:p>
        </w:tc>
        <w:tc>
          <w:tcPr>
            <w:tcW w:w="10420" w:type="dxa"/>
            <w:vAlign w:val="bottom"/>
            <w:gridSpan w:val="47"/>
            <w:shd w:val="clear" w:color="auto" w:fill="CCEEFF"/>
          </w:tcPr>
          <w:p>
            <w:pPr>
              <w:spacing w:after="0" w:line="175" w:lineRule="exact"/>
              <w:rPr>
                <w:rFonts w:ascii="Arial" w:cs="Arial" w:eastAsia="Arial" w:hAnsi="Arial"/>
                <w:sz w:val="16"/>
                <w:szCs w:val="16"/>
                <w:color w:val="0000FF"/>
                <w:w w:val="99"/>
              </w:rPr>
            </w:pPr>
            <w:hyperlink r:id="rId108">
              <w:r>
                <w:rPr>
                  <w:rFonts w:ascii="Arial" w:cs="Arial" w:eastAsia="Arial" w:hAnsi="Arial"/>
                  <w:sz w:val="16"/>
                  <w:szCs w:val="16"/>
                  <w:color w:val="0000FF"/>
                  <w:w w:val="99"/>
                </w:rPr>
                <w:t>Offer Letter, dated October 16, 2022, between The Simply Good Foods Company and Shaun Mara (incorporated by reference to Exhibit 10.1 to our</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24"/>
            <w:shd w:val="clear" w:color="auto" w:fill="CCEEFF"/>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Current Report on Form 8-K filed on October 27, 2022).</w:t>
              </w:r>
            </w:hyperlink>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22"/>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10.18†</w:t>
            </w:r>
          </w:p>
        </w:tc>
        <w:tc>
          <w:tcPr>
            <w:tcW w:w="20" w:type="dxa"/>
            <w:vAlign w:val="bottom"/>
          </w:tcPr>
          <w:p>
            <w:pPr>
              <w:spacing w:after="0"/>
              <w:rPr>
                <w:sz w:val="15"/>
                <w:szCs w:val="15"/>
                <w:color w:val="auto"/>
              </w:rPr>
            </w:pPr>
          </w:p>
        </w:tc>
        <w:tc>
          <w:tcPr>
            <w:tcW w:w="10420" w:type="dxa"/>
            <w:vAlign w:val="bottom"/>
            <w:gridSpan w:val="47"/>
          </w:tcPr>
          <w:p>
            <w:pPr>
              <w:spacing w:after="0" w:line="175" w:lineRule="exact"/>
              <w:rPr>
                <w:rFonts w:ascii="Arial" w:cs="Arial" w:eastAsia="Arial" w:hAnsi="Arial"/>
                <w:sz w:val="16"/>
                <w:szCs w:val="16"/>
                <w:color w:val="0000FF"/>
                <w:w w:val="99"/>
              </w:rPr>
            </w:pPr>
            <w:hyperlink r:id="rId107">
              <w:r>
                <w:rPr>
                  <w:rFonts w:ascii="Arial" w:cs="Arial" w:eastAsia="Arial" w:hAnsi="Arial"/>
                  <w:sz w:val="16"/>
                  <w:szCs w:val="16"/>
                  <w:color w:val="0000FF"/>
                  <w:w w:val="99"/>
                </w:rPr>
                <w:t>Offer Letter, dated January 27, 2023, between The Simply Good Foods Company and Geoff Tanner (incorporated by reference to Exhibit 10.1 to our</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Current Report on Form 8-K filed on January 30, 2023).</w:t>
              </w:r>
            </w:hyperlink>
          </w:p>
        </w:tc>
        <w:tc>
          <w:tcPr>
            <w:tcW w:w="780" w:type="dxa"/>
            <w:vAlign w:val="bottom"/>
            <w:gridSpan w:val="2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21.1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0000FF"/>
            </w:tcBorders>
            <w:gridSpan w:val="8"/>
            <w:shd w:val="clear" w:color="auto" w:fill="CCEEFF"/>
          </w:tcPr>
          <w:p>
            <w:pPr>
              <w:spacing w:after="0" w:line="175" w:lineRule="exact"/>
              <w:rPr>
                <w:sz w:val="20"/>
                <w:szCs w:val="20"/>
                <w:color w:val="auto"/>
              </w:rPr>
            </w:pPr>
            <w:r>
              <w:rPr>
                <w:rFonts w:ascii="Arial" w:cs="Arial" w:eastAsia="Arial" w:hAnsi="Arial"/>
                <w:sz w:val="16"/>
                <w:szCs w:val="16"/>
                <w:color w:val="0000FF"/>
                <w:w w:val="91"/>
              </w:rPr>
              <w:t>Subsidiaries of The Simply Good Foods Company.</w:t>
            </w:r>
          </w:p>
        </w:tc>
        <w:tc>
          <w:tcPr>
            <w:tcW w:w="7120" w:type="dxa"/>
            <w:vAlign w:val="bottom"/>
            <w:tcBorders>
              <w:bottom w:val="single" w:sz="8" w:color="CCEEFF"/>
            </w:tcBorders>
            <w:gridSpan w:val="39"/>
            <w:shd w:val="clear" w:color="auto" w:fill="CCEEFF"/>
          </w:tcPr>
          <w:p>
            <w:pPr>
              <w:spacing w:after="0"/>
              <w:rPr>
                <w:sz w:val="17"/>
                <w:szCs w:val="17"/>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23.1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bottom w:val="single" w:sz="8" w:color="0000FF"/>
            </w:tcBorders>
            <w:gridSpan w:val="6"/>
          </w:tcPr>
          <w:p>
            <w:pPr>
              <w:spacing w:after="0" w:line="175" w:lineRule="exact"/>
              <w:rPr>
                <w:sz w:val="20"/>
                <w:szCs w:val="20"/>
                <w:color w:val="auto"/>
              </w:rPr>
            </w:pPr>
            <w:r>
              <w:rPr>
                <w:rFonts w:ascii="Arial" w:cs="Arial" w:eastAsia="Arial" w:hAnsi="Arial"/>
                <w:sz w:val="16"/>
                <w:szCs w:val="16"/>
                <w:color w:val="0000FF"/>
                <w:w w:val="92"/>
              </w:rPr>
              <w:t>Consent of Deloitte &amp; Touche LLP.</w:t>
            </w:r>
          </w:p>
        </w:tc>
        <w:tc>
          <w:tcPr>
            <w:tcW w:w="8120" w:type="dxa"/>
            <w:vAlign w:val="bottom"/>
            <w:gridSpan w:val="41"/>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gridSpan w:val="5"/>
          </w:tcPr>
          <w:p>
            <w:pPr>
              <w:ind w:left="20"/>
              <w:spacing w:after="0"/>
              <w:rPr>
                <w:sz w:val="20"/>
                <w:szCs w:val="20"/>
                <w:color w:val="auto"/>
              </w:rPr>
            </w:pPr>
            <w:r>
              <w:rPr>
                <w:rFonts w:ascii="Arial" w:cs="Arial" w:eastAsia="Arial" w:hAnsi="Arial"/>
                <w:sz w:val="16"/>
                <w:szCs w:val="16"/>
                <w:b w:val="1"/>
                <w:bCs w:val="1"/>
                <w:color w:val="auto"/>
              </w:rPr>
              <w:t>Document</w:t>
            </w:r>
          </w:p>
        </w:tc>
      </w:tr>
      <w:tr>
        <w:trPr>
          <w:trHeight w:val="175"/>
        </w:trPr>
        <w:tc>
          <w:tcPr>
            <w:tcW w:w="10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31.1</w:t>
            </w:r>
          </w:p>
        </w:tc>
        <w:tc>
          <w:tcPr>
            <w:tcW w:w="140" w:type="dxa"/>
            <w:vAlign w:val="bottom"/>
            <w:tcBorders>
              <w:top w:val="single" w:sz="8" w:color="CCEEFF"/>
            </w:tcBorders>
            <w:shd w:val="clear" w:color="auto" w:fill="CCEEFF"/>
          </w:tcPr>
          <w:p>
            <w:pPr>
              <w:spacing w:after="0"/>
              <w:rPr>
                <w:sz w:val="15"/>
                <w:szCs w:val="15"/>
                <w:color w:val="auto"/>
              </w:rPr>
            </w:pPr>
          </w:p>
        </w:tc>
        <w:tc>
          <w:tcPr>
            <w:tcW w:w="10080" w:type="dxa"/>
            <w:vAlign w:val="bottom"/>
            <w:tcBorders>
              <w:top w:val="single" w:sz="8" w:color="auto"/>
            </w:tcBorders>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Certification of Principal Executive Officer pursuant to Section 302 of the Sarbanes Oxley Act of 2002.</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140" w:type="dxa"/>
            <w:vAlign w:val="bottom"/>
          </w:tcPr>
          <w:p>
            <w:pPr>
              <w:spacing w:after="0"/>
              <w:rPr>
                <w:sz w:val="15"/>
                <w:szCs w:val="15"/>
                <w:color w:val="auto"/>
              </w:rPr>
            </w:pPr>
          </w:p>
        </w:tc>
        <w:tc>
          <w:tcPr>
            <w:tcW w:w="10080" w:type="dxa"/>
            <w:vAlign w:val="bottom"/>
            <w:gridSpan w:val="5"/>
          </w:tcPr>
          <w:p>
            <w:pPr>
              <w:ind w:left="20"/>
              <w:spacing w:after="0" w:line="175" w:lineRule="exact"/>
              <w:rPr>
                <w:sz w:val="20"/>
                <w:szCs w:val="20"/>
                <w:color w:val="auto"/>
              </w:rPr>
            </w:pPr>
            <w:r>
              <w:rPr>
                <w:rFonts w:ascii="Arial" w:cs="Arial" w:eastAsia="Arial" w:hAnsi="Arial"/>
                <w:sz w:val="16"/>
                <w:szCs w:val="16"/>
                <w:color w:val="0000FF"/>
              </w:rPr>
              <w:t>Certification of Principal Financial Officer pursuant to Section 302 of the Sarbanes Oxley Act of 2002.</w:t>
            </w: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140" w:type="dxa"/>
            <w:vAlign w:val="bottom"/>
            <w:shd w:val="clear" w:color="auto" w:fill="CCEEFF"/>
          </w:tcPr>
          <w:p>
            <w:pPr>
              <w:spacing w:after="0"/>
              <w:rPr>
                <w:sz w:val="15"/>
                <w:szCs w:val="15"/>
                <w:color w:val="auto"/>
              </w:rPr>
            </w:pPr>
          </w:p>
        </w:tc>
        <w:tc>
          <w:tcPr>
            <w:tcW w:w="1008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Certification of Principal Executive Officer and Principal Financial Officer pursuant to Section 906 of the Sarbanes Oxley Act.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r>
      <w:tr>
        <w:trPr>
          <w:trHeight w:val="166"/>
        </w:trPr>
        <w:tc>
          <w:tcPr>
            <w:tcW w:w="11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101.INS</w:t>
            </w:r>
          </w:p>
        </w:tc>
        <w:tc>
          <w:tcPr>
            <w:tcW w:w="10080" w:type="dxa"/>
            <w:vAlign w:val="bottom"/>
            <w:gridSpan w:val="5"/>
          </w:tcPr>
          <w:p>
            <w:pPr>
              <w:ind w:left="20"/>
              <w:spacing w:after="0" w:line="166" w:lineRule="exact"/>
              <w:rPr>
                <w:sz w:val="20"/>
                <w:szCs w:val="20"/>
                <w:color w:val="auto"/>
              </w:rPr>
            </w:pPr>
            <w:r>
              <w:rPr>
                <w:rFonts w:ascii="Arial" w:cs="Arial" w:eastAsia="Arial" w:hAnsi="Arial"/>
                <w:sz w:val="16"/>
                <w:szCs w:val="16"/>
                <w:color w:val="auto"/>
                <w:w w:val="94"/>
              </w:rPr>
              <w:t>XBRL Instance Document - the instance document does not appear in the Interactive Data File because its XBRL tags are embedded within the Inline</w:t>
            </w: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5"/>
          </w:tcPr>
          <w:p>
            <w:pPr>
              <w:ind w:left="20"/>
              <w:spacing w:after="0"/>
              <w:rPr>
                <w:sz w:val="20"/>
                <w:szCs w:val="20"/>
                <w:color w:val="auto"/>
              </w:rPr>
            </w:pPr>
            <w:r>
              <w:rPr>
                <w:rFonts w:ascii="Arial" w:cs="Arial" w:eastAsia="Arial" w:hAnsi="Arial"/>
                <w:sz w:val="16"/>
                <w:szCs w:val="16"/>
                <w:color w:val="auto"/>
              </w:rPr>
              <w:t>XBRL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100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1008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100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1008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100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4" w:lineRule="exact"/>
        <w:rPr>
          <w:sz w:val="20"/>
          <w:szCs w:val="20"/>
          <w:color w:val="auto"/>
        </w:rPr>
      </w:pPr>
    </w:p>
    <w:p>
      <w:pPr>
        <w:ind w:left="1180" w:hanging="1154"/>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9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____________________</w:t>
      </w:r>
    </w:p>
    <w:p>
      <w:pPr>
        <w:spacing w:after="0" w:line="153" w:lineRule="exact"/>
        <w:rPr>
          <w:sz w:val="20"/>
          <w:szCs w:val="20"/>
          <w:color w:val="auto"/>
        </w:rPr>
      </w:pPr>
    </w:p>
    <w:p>
      <w:pPr>
        <w:ind w:left="360" w:hanging="334"/>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32" w:lineRule="exact"/>
        <w:rPr>
          <w:sz w:val="20"/>
          <w:szCs w:val="20"/>
          <w:color w:val="auto"/>
        </w:rPr>
      </w:pPr>
    </w:p>
    <w:p>
      <w:pPr>
        <w:ind w:left="360" w:right="440" w:hanging="334"/>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THE SIMPLY GOOD FOODS COMPANY</w:t>
      </w:r>
    </w:p>
    <w:p>
      <w:pPr>
        <w:spacing w:after="0" w:line="200" w:lineRule="exact"/>
        <w:rPr>
          <w:sz w:val="20"/>
          <w:szCs w:val="20"/>
          <w:color w:val="auto"/>
        </w:rPr>
      </w:pPr>
    </w:p>
    <w:p>
      <w:pPr>
        <w:spacing w:after="0" w:line="241" w:lineRule="exact"/>
        <w:rPr>
          <w:sz w:val="20"/>
          <w:szCs w:val="20"/>
          <w:color w:val="auto"/>
        </w:rPr>
      </w:pPr>
    </w:p>
    <w:tbl>
      <w:tblPr>
        <w:tblLayout w:type="fixed"/>
        <w:tblInd w:w="166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540" w:type="dxa"/>
            <w:vAlign w:val="bottom"/>
            <w:gridSpan w:val="2"/>
          </w:tcPr>
          <w:p>
            <w:pPr>
              <w:ind w:left="880"/>
              <w:spacing w:after="0"/>
              <w:rPr>
                <w:sz w:val="20"/>
                <w:szCs w:val="20"/>
                <w:color w:val="auto"/>
              </w:rPr>
            </w:pPr>
            <w:r>
              <w:rPr>
                <w:rFonts w:ascii="Arial" w:cs="Arial" w:eastAsia="Arial" w:hAnsi="Arial"/>
                <w:sz w:val="16"/>
                <w:szCs w:val="16"/>
                <w:color w:val="auto"/>
              </w:rPr>
              <w:t>By: /s/ Geoff E. Tanner</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6"/>
                <w:szCs w:val="16"/>
                <w:color w:val="auto"/>
              </w:rPr>
              <w:t>Date:</w:t>
            </w:r>
          </w:p>
        </w:tc>
        <w:tc>
          <w:tcPr>
            <w:tcW w:w="1920" w:type="dxa"/>
            <w:vAlign w:val="bottom"/>
            <w:vMerge w:val="restart"/>
          </w:tcPr>
          <w:p>
            <w:pPr>
              <w:ind w:left="120"/>
              <w:spacing w:after="0"/>
              <w:rPr>
                <w:sz w:val="20"/>
                <w:szCs w:val="20"/>
                <w:color w:val="auto"/>
              </w:rPr>
            </w:pPr>
            <w:r>
              <w:rPr>
                <w:rFonts w:ascii="Arial" w:cs="Arial" w:eastAsia="Arial" w:hAnsi="Arial"/>
                <w:sz w:val="16"/>
                <w:szCs w:val="16"/>
                <w:color w:val="auto"/>
              </w:rPr>
              <w:t>October 24, 2023</w:t>
            </w:r>
          </w:p>
        </w:tc>
        <w:tc>
          <w:tcPr>
            <w:tcW w:w="114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5540" w:type="dxa"/>
            <w:vAlign w:val="bottom"/>
            <w:gridSpan w:val="2"/>
            <w:vMerge w:val="restart"/>
          </w:tcPr>
          <w:p>
            <w:pPr>
              <w:ind w:left="680"/>
              <w:spacing w:after="0"/>
              <w:rPr>
                <w:sz w:val="20"/>
                <w:szCs w:val="20"/>
                <w:color w:val="auto"/>
              </w:rPr>
            </w:pPr>
            <w:r>
              <w:rPr>
                <w:rFonts w:ascii="Arial" w:cs="Arial" w:eastAsia="Arial" w:hAnsi="Arial"/>
                <w:sz w:val="16"/>
                <w:szCs w:val="16"/>
                <w:color w:val="auto"/>
              </w:rPr>
              <w:t>Name: Geoff E. Tanner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760"/>
              <w:spacing w:after="0"/>
              <w:rPr>
                <w:sz w:val="20"/>
                <w:szCs w:val="20"/>
                <w:color w:val="auto"/>
              </w:rPr>
            </w:pPr>
            <w:r>
              <w:rPr>
                <w:rFonts w:ascii="Arial" w:cs="Arial" w:eastAsia="Arial" w:hAnsi="Arial"/>
                <w:sz w:val="16"/>
                <w:szCs w:val="16"/>
                <w:color w:val="auto"/>
              </w:rPr>
              <w:t>Title: President, Chief Executive Officer and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81" w:name="page82"/>
    <w:bookmarkEnd w:id="81"/>
    <w:p>
      <w:pPr>
        <w:ind w:firstLine="2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92" w:right="339" w:bottom="1440" w:gutter="0" w:footer="0" w:header="0"/>
        </w:sectPr>
      </w:pPr>
    </w:p>
    <w:p>
      <w:pPr>
        <w:spacing w:after="0" w:line="373" w:lineRule="exact"/>
        <w:rPr>
          <w:sz w:val="20"/>
          <w:szCs w:val="20"/>
          <w:color w:val="auto"/>
        </w:rPr>
      </w:pPr>
    </w:p>
    <w:tbl>
      <w:tblPr>
        <w:tblLayout w:type="fixed"/>
        <w:tblInd w:w="1620" w:type="dxa"/>
        <w:tblCellMar>
          <w:top w:w="0" w:type="dxa"/>
          <w:left w:w="0" w:type="dxa"/>
          <w:bottom w:w="0" w:type="dxa"/>
          <w:right w:w="0" w:type="dxa"/>
        </w:tblCellMar>
      </w:tblPr>
      <w:tr>
        <w:trPr>
          <w:trHeight w:val="210"/>
        </w:trPr>
        <w:tc>
          <w:tcPr>
            <w:tcW w:w="2320" w:type="dxa"/>
            <w:vAlign w:val="bottom"/>
          </w:tcPr>
          <w:p>
            <w:pPr>
              <w:ind w:left="820"/>
              <w:spacing w:after="0"/>
              <w:rPr>
                <w:sz w:val="20"/>
                <w:szCs w:val="20"/>
                <w:color w:val="auto"/>
              </w:rPr>
            </w:pPr>
            <w:r>
              <w:rPr>
                <w:rFonts w:ascii="Arial" w:cs="Arial" w:eastAsia="Arial" w:hAnsi="Arial"/>
                <w:sz w:val="16"/>
                <w:szCs w:val="16"/>
                <w:b w:val="1"/>
                <w:bCs w:val="1"/>
                <w:color w:val="auto"/>
              </w:rPr>
              <w:t>Signature</w:t>
            </w:r>
          </w:p>
        </w:tc>
        <w:tc>
          <w:tcPr>
            <w:tcW w:w="3820" w:type="dxa"/>
            <w:vAlign w:val="bottom"/>
          </w:tcPr>
          <w:p>
            <w:pPr>
              <w:ind w:left="2040"/>
              <w:spacing w:after="0"/>
              <w:rPr>
                <w:sz w:val="20"/>
                <w:szCs w:val="20"/>
                <w:color w:val="auto"/>
              </w:rPr>
            </w:pPr>
            <w:r>
              <w:rPr>
                <w:rFonts w:ascii="Arial" w:cs="Arial" w:eastAsia="Arial" w:hAnsi="Arial"/>
                <w:sz w:val="16"/>
                <w:szCs w:val="16"/>
                <w:b w:val="1"/>
                <w:bCs w:val="1"/>
                <w:color w:val="auto"/>
              </w:rPr>
              <w:t>Title</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Geoff E. Tanner</w:t>
            </w:r>
          </w:p>
        </w:tc>
        <w:tc>
          <w:tcPr>
            <w:tcW w:w="3820" w:type="dxa"/>
            <w:vAlign w:val="bottom"/>
          </w:tcPr>
          <w:p>
            <w:pPr>
              <w:ind w:left="140"/>
              <w:spacing w:after="0"/>
              <w:rPr>
                <w:sz w:val="20"/>
                <w:szCs w:val="20"/>
                <w:color w:val="auto"/>
              </w:rPr>
            </w:pPr>
            <w:r>
              <w:rPr>
                <w:rFonts w:ascii="Arial" w:cs="Arial" w:eastAsia="Arial" w:hAnsi="Arial"/>
                <w:sz w:val="16"/>
                <w:szCs w:val="16"/>
                <w:color w:val="auto"/>
              </w:rPr>
              <w:t>President, Chief Executive Officer and 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Geoff E. Tanner</w:t>
            </w:r>
          </w:p>
        </w:tc>
        <w:tc>
          <w:tcPr>
            <w:tcW w:w="3820" w:type="dxa"/>
            <w:vAlign w:val="bottom"/>
          </w:tcPr>
          <w:p>
            <w:pPr>
              <w:ind w:left="140"/>
              <w:spacing w:after="0"/>
              <w:rPr>
                <w:sz w:val="20"/>
                <w:szCs w:val="20"/>
                <w:color w:val="auto"/>
              </w:rPr>
            </w:pPr>
            <w:r>
              <w:rPr>
                <w:rFonts w:ascii="Arial" w:cs="Arial" w:eastAsia="Arial" w:hAnsi="Arial"/>
                <w:sz w:val="16"/>
                <w:szCs w:val="16"/>
                <w:color w:val="auto"/>
              </w:rPr>
              <w:t>(Principal Executive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Shaun P. Mara</w:t>
            </w:r>
          </w:p>
        </w:tc>
        <w:tc>
          <w:tcPr>
            <w:tcW w:w="38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Shaun P. Mara</w:t>
            </w:r>
          </w:p>
        </w:tc>
        <w:tc>
          <w:tcPr>
            <w:tcW w:w="3820" w:type="dxa"/>
            <w:vAlign w:val="bottom"/>
          </w:tcPr>
          <w:p>
            <w:pPr>
              <w:ind w:left="140"/>
              <w:spacing w:after="0"/>
              <w:rPr>
                <w:sz w:val="20"/>
                <w:szCs w:val="20"/>
                <w:color w:val="auto"/>
              </w:rPr>
            </w:pPr>
            <w:r>
              <w:rPr>
                <w:rFonts w:ascii="Arial" w:cs="Arial" w:eastAsia="Arial" w:hAnsi="Arial"/>
                <w:sz w:val="16"/>
                <w:szCs w:val="16"/>
                <w:color w:val="auto"/>
              </w:rPr>
              <w:t>(Principal Financial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A. Matthews</w:t>
            </w:r>
          </w:p>
        </w:tc>
        <w:tc>
          <w:tcPr>
            <w:tcW w:w="3820" w:type="dxa"/>
            <w:vAlign w:val="bottom"/>
          </w:tcPr>
          <w:p>
            <w:pPr>
              <w:ind w:left="140"/>
              <w:spacing w:after="0"/>
              <w:rPr>
                <w:sz w:val="20"/>
                <w:szCs w:val="20"/>
                <w:color w:val="auto"/>
              </w:rPr>
            </w:pPr>
            <w:r>
              <w:rPr>
                <w:rFonts w:ascii="Arial" w:cs="Arial" w:eastAsia="Arial" w:hAnsi="Arial"/>
                <w:sz w:val="16"/>
                <w:szCs w:val="16"/>
                <w:color w:val="auto"/>
                <w:w w:val="93"/>
              </w:rPr>
              <w:t>Vice President, Controller and Chief Accounting Officer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Timothy A. Matthews</w:t>
            </w:r>
          </w:p>
        </w:tc>
        <w:tc>
          <w:tcPr>
            <w:tcW w:w="3820" w:type="dxa"/>
            <w:vAlign w:val="bottom"/>
          </w:tcPr>
          <w:p>
            <w:pPr>
              <w:ind w:left="140"/>
              <w:spacing w:after="0"/>
              <w:rPr>
                <w:sz w:val="20"/>
                <w:szCs w:val="20"/>
                <w:color w:val="auto"/>
              </w:rPr>
            </w:pPr>
            <w:r>
              <w:rPr>
                <w:rFonts w:ascii="Arial" w:cs="Arial" w:eastAsia="Arial" w:hAnsi="Arial"/>
                <w:sz w:val="16"/>
                <w:szCs w:val="16"/>
                <w:color w:val="auto"/>
              </w:rPr>
              <w:t>(Principal Accounting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M. Kilts</w:t>
            </w:r>
          </w:p>
        </w:tc>
        <w:tc>
          <w:tcPr>
            <w:tcW w:w="3820" w:type="dxa"/>
            <w:vAlign w:val="bottom"/>
          </w:tcPr>
          <w:p>
            <w:pPr>
              <w:ind w:left="140"/>
              <w:spacing w:after="0"/>
              <w:rPr>
                <w:sz w:val="20"/>
                <w:szCs w:val="20"/>
                <w:color w:val="auto"/>
              </w:rPr>
            </w:pPr>
            <w:r>
              <w:rPr>
                <w:rFonts w:ascii="Arial" w:cs="Arial" w:eastAsia="Arial" w:hAnsi="Arial"/>
                <w:sz w:val="16"/>
                <w:szCs w:val="16"/>
                <w:color w:val="auto"/>
              </w:rPr>
              <w:t>Chairman of the Board of Directors</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James M. Kilts</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Clayton C. Daley, Jr.</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Clayton C. Daley, Jr.</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Nomi P. Ghez</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Nomi P. Ghez</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Michelle P. Goolsby</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Michelle P. Goolsby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G. Montgomery</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Robert G. Montgomery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K. Ratzan</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Brian K. Ratzan</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W. Ritterbush</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David W. Ritterbush</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E. Scalzo</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J. Schena</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Joseph J. Schena</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J. West</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David J. West</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D. White</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James D. White</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Date</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24, 2023</w:t>
      </w:r>
    </w:p>
    <w:p>
      <w:pPr>
        <w:spacing w:after="0" w:line="501" w:lineRule="exact"/>
        <w:rPr>
          <w:sz w:val="20"/>
          <w:szCs w:val="20"/>
          <w:color w:val="auto"/>
        </w:rPr>
      </w:pPr>
    </w:p>
    <w:p>
      <w:pPr>
        <w:sectPr>
          <w:pgSz w:w="11900" w:h="16838" w:orient="portrait"/>
          <w:cols w:equalWidth="0" w:num="2">
            <w:col w:w="7760" w:space="600"/>
            <w:col w:w="2880"/>
          </w:cols>
          <w:pgMar w:left="320" w:top="692"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692" w:right="3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Subsidiaries of The Simply Good Foods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478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Jurisdiction</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Atkins Intermediate Holdings, LLC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Conyers Park Acquisition Corp.,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NCP-ATK Holdings, Inc.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Atkins Nutritional Holdings,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Atkins Nutritional Holdings II, Inc.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Simply Good Foods USA,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92"/>
              </w:rPr>
              <w:t>New York</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Simply Good Foods Canada Inc.</w:t>
            </w:r>
          </w:p>
        </w:tc>
        <w:tc>
          <w:tcPr>
            <w:tcW w:w="4780" w:type="dxa"/>
            <w:vAlign w:val="bottom"/>
            <w:shd w:val="clear" w:color="auto" w:fill="CCEEFF"/>
          </w:tcPr>
          <w:p>
            <w:pPr>
              <w:jc w:val="center"/>
              <w:ind w:right="550"/>
              <w:spacing w:after="0"/>
              <w:rPr>
                <w:sz w:val="20"/>
                <w:szCs w:val="20"/>
                <w:color w:val="auto"/>
              </w:rPr>
            </w:pPr>
            <w:r>
              <w:rPr>
                <w:rFonts w:ascii="Arial" w:cs="Arial" w:eastAsia="Arial" w:hAnsi="Arial"/>
                <w:sz w:val="18"/>
                <w:szCs w:val="18"/>
                <w:color w:val="auto"/>
                <w:w w:val="89"/>
              </w:rPr>
              <w:t>Ontario, Canada</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Simply Good Foods Australia PTY LTD</w:t>
            </w:r>
          </w:p>
        </w:tc>
        <w:tc>
          <w:tcPr>
            <w:tcW w:w="4780" w:type="dxa"/>
            <w:vAlign w:val="bottom"/>
          </w:tcPr>
          <w:p>
            <w:pPr>
              <w:jc w:val="center"/>
              <w:ind w:right="550"/>
              <w:spacing w:after="0"/>
              <w:rPr>
                <w:sz w:val="20"/>
                <w:szCs w:val="20"/>
                <w:color w:val="auto"/>
              </w:rPr>
            </w:pPr>
            <w:r>
              <w:rPr>
                <w:rFonts w:ascii="Arial" w:cs="Arial" w:eastAsia="Arial" w:hAnsi="Arial"/>
                <w:sz w:val="18"/>
                <w:szCs w:val="18"/>
                <w:color w:val="auto"/>
                <w:w w:val="94"/>
              </w:rPr>
              <w:t>Australia</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Simply Good Foods NZ Limited</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0"/>
              </w:rPr>
              <w:t>New Zealand</w:t>
            </w:r>
          </w:p>
        </w:tc>
      </w:tr>
      <w:tr>
        <w:trPr>
          <w:trHeight w:val="256"/>
        </w:trPr>
        <w:tc>
          <w:tcPr>
            <w:tcW w:w="4420" w:type="dxa"/>
            <w:vAlign w:val="bottom"/>
          </w:tcPr>
          <w:p>
            <w:pPr>
              <w:ind w:left="20"/>
              <w:spacing w:after="0"/>
              <w:rPr>
                <w:sz w:val="20"/>
                <w:szCs w:val="20"/>
                <w:color w:val="auto"/>
              </w:rPr>
            </w:pPr>
            <w:r>
              <w:rPr>
                <w:rFonts w:ascii="Arial" w:cs="Arial" w:eastAsia="Arial" w:hAnsi="Arial"/>
                <w:sz w:val="18"/>
                <w:szCs w:val="18"/>
                <w:color w:val="auto"/>
              </w:rPr>
              <w:t>VMG Quest Blocker,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Voyage Holdings, LLC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Quest Nutrition, LLC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220"/>
          </w:cols>
          <w:pgMar w:left="134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333-220776 on Form S-8 and Nos. 333-228696 and 333-234004 on Form S-3 of our reports dated October 24, 2023, relating to the financial statements of The Simply Good Foods Company and subsidiaries and the effectiveness of The Simply Good Foods Company and subsidiaries’ internal control over financial reporting appearing in this Annual Report on Form 10-K of The Simply Good Foods Company for the fifty-two weeks ended August 26,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ectPr>
          <w:pgSz w:w="11900" w:h="16838" w:orient="portrait"/>
          <w:cols w:equalWidth="0" w:num="1">
            <w:col w:w="11240"/>
          </w:cols>
          <w:pgMar w:left="320" w:top="89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4"/>
        <w:spacing w:after="0" w:line="263" w:lineRule="auto"/>
        <w:tabs>
          <w:tab w:leader="none" w:pos="534"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7"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Date: October 24, 2023  By:</w:t>
            </w:r>
          </w:p>
        </w:tc>
        <w:tc>
          <w:tcPr>
            <w:tcW w:w="3480" w:type="dxa"/>
            <w:vAlign w:val="bottom"/>
          </w:tcPr>
          <w:p>
            <w:pPr>
              <w:ind w:left="20"/>
              <w:spacing w:after="0"/>
              <w:rPr>
                <w:sz w:val="20"/>
                <w:szCs w:val="20"/>
                <w:color w:val="auto"/>
              </w:rPr>
            </w:pPr>
            <w:r>
              <w:rPr>
                <w:rFonts w:ascii="Arial" w:cs="Arial" w:eastAsia="Arial" w:hAnsi="Arial"/>
                <w:sz w:val="16"/>
                <w:szCs w:val="16"/>
                <w:color w:val="auto"/>
              </w:rPr>
              <w:t>/s/ Geoff E. Tanner</w:t>
            </w:r>
          </w:p>
        </w:tc>
        <w:tc>
          <w:tcPr>
            <w:tcW w:w="0" w:type="dxa"/>
            <w:vAlign w:val="bottom"/>
          </w:tcPr>
          <w:p>
            <w:pPr>
              <w:spacing w:after="0"/>
              <w:rPr>
                <w:sz w:val="1"/>
                <w:szCs w:val="1"/>
                <w:color w:val="auto"/>
              </w:rPr>
            </w:pPr>
          </w:p>
        </w:tc>
      </w:tr>
      <w:tr>
        <w:trPr>
          <w:trHeight w:val="46"/>
        </w:trPr>
        <w:tc>
          <w:tcPr>
            <w:tcW w:w="2320" w:type="dxa"/>
            <w:vAlign w:val="bottom"/>
            <w:vMerge w:val="restart"/>
          </w:tcPr>
          <w:p>
            <w:pPr>
              <w:ind w:left="166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32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Geoff E. Tanner</w:t>
            </w:r>
          </w:p>
        </w:tc>
        <w:tc>
          <w:tcPr>
            <w:tcW w:w="0" w:type="dxa"/>
            <w:vAlign w:val="bottom"/>
          </w:tcPr>
          <w:p>
            <w:pPr>
              <w:spacing w:after="0"/>
              <w:rPr>
                <w:sz w:val="1"/>
                <w:szCs w:val="1"/>
                <w:color w:val="auto"/>
              </w:rPr>
            </w:pPr>
          </w:p>
        </w:tc>
      </w:tr>
      <w:tr>
        <w:trPr>
          <w:trHeight w:val="256"/>
        </w:trPr>
        <w:tc>
          <w:tcPr>
            <w:tcW w:w="2320" w:type="dxa"/>
            <w:vAlign w:val="bottom"/>
          </w:tcPr>
          <w:p>
            <w:pPr>
              <w:ind w:left="166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Shaun P. Mara, certify that:</w:t>
      </w:r>
    </w:p>
    <w:p>
      <w:pPr>
        <w:spacing w:after="0" w:line="225" w:lineRule="exact"/>
        <w:rPr>
          <w:sz w:val="20"/>
          <w:szCs w:val="20"/>
          <w:color w:val="auto"/>
        </w:rPr>
      </w:pPr>
    </w:p>
    <w:p>
      <w:pPr>
        <w:ind w:left="420" w:hanging="23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4"/>
        <w:spacing w:after="0" w:line="263" w:lineRule="auto"/>
        <w:tabs>
          <w:tab w:leader="none" w:pos="534" w:val="left"/>
        </w:tabs>
        <w:numPr>
          <w:ilvl w:val="3"/>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7"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Date: October 24, 2023  By:</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/s/ Shaun P. Mara</w:t>
            </w:r>
          </w:p>
        </w:tc>
        <w:tc>
          <w:tcPr>
            <w:tcW w:w="0" w:type="dxa"/>
            <w:vAlign w:val="bottom"/>
          </w:tcPr>
          <w:p>
            <w:pPr>
              <w:spacing w:after="0"/>
              <w:rPr>
                <w:sz w:val="1"/>
                <w:szCs w:val="1"/>
                <w:color w:val="auto"/>
              </w:rPr>
            </w:pPr>
          </w:p>
        </w:tc>
      </w:tr>
      <w:tr>
        <w:trPr>
          <w:trHeight w:val="59"/>
        </w:trPr>
        <w:tc>
          <w:tcPr>
            <w:tcW w:w="232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66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Shaun P. Mara</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66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66"/>
        <w:spacing w:after="0" w:line="286" w:lineRule="auto"/>
        <w:rPr>
          <w:sz w:val="20"/>
          <w:szCs w:val="20"/>
          <w:color w:val="auto"/>
        </w:rPr>
      </w:pPr>
      <w:r>
        <w:rPr>
          <w:rFonts w:ascii="Arial" w:cs="Arial" w:eastAsia="Arial" w:hAnsi="Arial"/>
          <w:sz w:val="17"/>
          <w:szCs w:val="17"/>
          <w:color w:val="auto"/>
        </w:rPr>
        <w:t>In connection with the Annual Report of The Simply Good Foods Company (the “Company”) on Form 10-K for the fiscal year ended August 26, 2023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59"/>
        <w:spacing w:after="0" w:line="277" w:lineRule="auto"/>
        <w:tabs>
          <w:tab w:leader="none" w:pos="4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82"/>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Arial" w:cs="Arial" w:eastAsia="Arial" w:hAnsi="Arial"/>
                <w:sz w:val="16"/>
                <w:szCs w:val="16"/>
                <w:color w:val="auto"/>
                <w:w w:val="93"/>
              </w:rPr>
              <w:t>Date: October 24, 2023</w:t>
            </w:r>
          </w:p>
        </w:tc>
        <w:tc>
          <w:tcPr>
            <w:tcW w:w="74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Pr>
          <w:p>
            <w:pPr>
              <w:ind w:left="20"/>
              <w:spacing w:after="0"/>
              <w:rPr>
                <w:sz w:val="20"/>
                <w:szCs w:val="20"/>
                <w:color w:val="auto"/>
              </w:rPr>
            </w:pPr>
            <w:r>
              <w:rPr>
                <w:rFonts w:ascii="Arial" w:cs="Arial" w:eastAsia="Arial" w:hAnsi="Arial"/>
                <w:sz w:val="16"/>
                <w:szCs w:val="16"/>
                <w:color w:val="auto"/>
              </w:rPr>
              <w:t>/s/ Geoff E. Tanner</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Geoff E. Tanner</w:t>
            </w: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80" w:type="dxa"/>
            <w:vAlign w:val="bottom"/>
          </w:tcPr>
          <w:p>
            <w:pPr>
              <w:spacing w:after="0"/>
              <w:rPr>
                <w:sz w:val="20"/>
                <w:szCs w:val="20"/>
                <w:color w:val="auto"/>
              </w:rPr>
            </w:pPr>
            <w:r>
              <w:rPr>
                <w:rFonts w:ascii="Arial" w:cs="Arial" w:eastAsia="Arial" w:hAnsi="Arial"/>
                <w:sz w:val="16"/>
                <w:szCs w:val="16"/>
                <w:color w:val="auto"/>
                <w:w w:val="93"/>
              </w:rPr>
              <w:t>Date: October 24, 2023</w:t>
            </w:r>
          </w:p>
        </w:tc>
        <w:tc>
          <w:tcPr>
            <w:tcW w:w="74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Shaun P. Mara</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Shaun P. Mara</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lowerRoman"/>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lvl w:ilvl="1">
      <w:lvlJc w:val="left"/>
      <w:lvlText w:val="◦"/>
      <w:numFmt w:val="bullet"/>
      <w:start w:val="1"/>
    </w:lvl>
  </w:abstractNum>
  <w:abstractNum w:abstractNumId="29">
    <w:nsid w:val="77465F01"/>
    <w:multiLevelType w:val="hybridMultilevel"/>
    <w:lvl w:ilvl="0">
      <w:lvlJc w:val="left"/>
      <w:lvlText w:val="%1."/>
      <w:numFmt w:val="decimal"/>
      <w:start w:val="3"/>
    </w:lvl>
  </w:abstractNum>
  <w:abstractNum w:abstractNumId="30">
    <w:nsid w:val="7724C67E"/>
    <w:multiLevelType w:val="hybridMultilevel"/>
    <w:lvl w:ilvl="0">
      <w:lvlJc w:val="left"/>
      <w:lvlText w:val="%1."/>
      <w:numFmt w:val="decimal"/>
      <w:start w:val="5"/>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1."/>
      <w:numFmt w:val="decimal"/>
      <w:start w:val="8"/>
    </w:lvl>
  </w:abstractNum>
  <w:abstractNum w:abstractNumId="33">
    <w:nsid w:val="5E884ADC"/>
    <w:multiLevelType w:val="hybridMultilevel"/>
    <w:lvl w:ilvl="0">
      <w:lvlJc w:val="left"/>
      <w:lvlText w:val="%1."/>
      <w:numFmt w:val="decimal"/>
      <w:start w:val="9"/>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04"/>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40">
    <w:nsid w:val="6A2342E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41">
    <w:nsid w:val="2A487CB0"/>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42">
    <w:nsid w:val="1D4ED43B"/>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43">
    <w:nsid w:val="725A06FB"/>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88" Type="http://schemas.openxmlformats.org/officeDocument/2006/relationships/hyperlink" Target="https://www.sec.gov/ix?doc=/Archives/edgar/data/1702744/000110465923006556/tm234352d1_8k.htm" TargetMode="External"/><Relationship Id="rId89" Type="http://schemas.openxmlformats.org/officeDocument/2006/relationships/hyperlink" Target="https://www.sec.gov/ix?doc=/Archives/edgar/data/1702744/000170274423000063/smpl-20230713.htm" TargetMode="External"/><Relationship Id="rId90" Type="http://schemas.openxmlformats.org/officeDocument/2006/relationships/hyperlink" Target="http://www.sec.gov/Archives/edgar/data/1672985/000121390017006350/fs42017ex4i_simplygood.htm" TargetMode="External"/><Relationship Id="rId91" Type="http://schemas.openxmlformats.org/officeDocument/2006/relationships/hyperlink" Target="https://www.sec.gov/Archives/edgar/data/1702744/000170274420000100/exhibit44-10k2020.htm" TargetMode="External"/><Relationship Id="rId92" Type="http://schemas.openxmlformats.org/officeDocument/2006/relationships/hyperlink" Target="https://www.sec.gov/Archives/edgar/data/1702744/000121390017007546/f8k070717ex10iii_simplygood.htm" TargetMode="External"/><Relationship Id="rId93" Type="http://schemas.openxmlformats.org/officeDocument/2006/relationships/hyperlink" Target="http://www.sec.gov/Archives/edgar/data/1672985/000121390017006350/fs42017ex10iii_simplygood.htm" TargetMode="External"/><Relationship Id="rId94" Type="http://schemas.openxmlformats.org/officeDocument/2006/relationships/hyperlink" Target="https://www.sec.gov/ix?doc=/Archives/edgar/data/1702744/000170274420000100/smpl10k2020.htm" TargetMode="External"/><Relationship Id="rId95" Type="http://schemas.openxmlformats.org/officeDocument/2006/relationships/hyperlink" Target="http://www.sec.gov/Archives/edgar/data/1672985/000121390017006350/fs42017ex10viii_simplygood.htm" TargetMode="External"/><Relationship Id="rId96" Type="http://schemas.openxmlformats.org/officeDocument/2006/relationships/hyperlink" Target="https://www.sec.gov/Archives/edgar/data/1702744/000110465922007427/tm224221d1_ex10-2.htm" TargetMode="External"/><Relationship Id="rId97" Type="http://schemas.openxmlformats.org/officeDocument/2006/relationships/hyperlink" Target="http://www.sec.gov/Archives/edgar/data/1702744/000170274418000057/smpl_072718x8kxex102.htm" TargetMode="External"/><Relationship Id="rId98" Type="http://schemas.openxmlformats.org/officeDocument/2006/relationships/hyperlink" Target="http://www.sec.gov/Archives/edgar/data/1702744/000121390017007546/f8k070717ex10i_simplygood.htm" TargetMode="External"/><Relationship Id="rId99" Type="http://schemas.openxmlformats.org/officeDocument/2006/relationships/hyperlink" Target="https://www.sec.gov/Archives/edgar/data/1702744/000110465919060856/a19-22146_1ex10d1.htm" TargetMode="External"/><Relationship Id="rId100" Type="http://schemas.openxmlformats.org/officeDocument/2006/relationships/hyperlink" Target="https://www.sec.gov/Archives/edgar/data/1702744/000110465921152628/tm2136016d1_ex10-1.htm" TargetMode="External"/><Relationship Id="rId101" Type="http://schemas.openxmlformats.org/officeDocument/2006/relationships/hyperlink" Target="https://www.sec.gov/Archives/edgar/data/1702744/000110465922007427/tm224221d1_ex10-1.htm" TargetMode="External"/><Relationship Id="rId102" Type="http://schemas.openxmlformats.org/officeDocument/2006/relationships/hyperlink" Target="http://www.sec.gov/Archives/edgar/data/1702744/000121390018003172/f8k032018_simplygoodfood.htm" TargetMode="External"/><Relationship Id="rId103" Type="http://schemas.openxmlformats.org/officeDocument/2006/relationships/hyperlink" Target="https://www.sec.gov/ix?doc=/Archives/edgar/data/1702744/000110465923051350/tm2313759d1_8k.htm" TargetMode="External"/><Relationship Id="rId104" Type="http://schemas.openxmlformats.org/officeDocument/2006/relationships/hyperlink" Target="http://www.sec.gov/Archives/edgar/data/1702744/000121390017007546/f8k070717ex10viii_simplygood.htm" TargetMode="External"/><Relationship Id="rId105" Type="http://schemas.openxmlformats.org/officeDocument/2006/relationships/hyperlink" Target="http://www.sec.gov/Archives/edgar/data/1702744/000170274419000044/smpl_exhibitx101.htm" TargetMode="External"/><Relationship Id="rId106" Type="http://schemas.openxmlformats.org/officeDocument/2006/relationships/hyperlink" Target="https://www.sec.gov/Archives/edgar/data/1702744/000170274421000077/a101_q4x2021xemploymentxle.htm" TargetMode="External"/><Relationship Id="rId107" Type="http://schemas.openxmlformats.org/officeDocument/2006/relationships/hyperlink" Target="https://www.sec.gov/ix?doc=/Archives/edgar/data/1702744/000110465923007982/tm234709d1_8k.htm" TargetMode="External"/><Relationship Id="rId108" Type="http://schemas.openxmlformats.org/officeDocument/2006/relationships/hyperlink" Target="https://www.sec.gov/ix?doc=/Archives/edgar/data/1702744/000170274422000077/smpl-2022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2023-10-24T13:01:44Z</dcterms:created>
  <dcterms:modified xsi:type="dcterms:W3CDTF">2023-10-24T13:01:44Z</dcterms:modified>
</cp:coreProperties>
</file>