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25, 2023</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72"/>
        <w:spacing w:after="0" w:line="245" w:lineRule="auto"/>
        <w:tabs>
          <w:tab w:leader="none" w:pos="222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85725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ectPr>
          <w:pgSz w:w="11900" w:h="16864" w:orient="portrait"/>
          <w:cols w:equalWidth="0" w:num="1">
            <w:col w:w="11240"/>
          </w:cols>
          <w:pgMar w:left="320" w:top="695"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p>
      <w:pPr>
        <w:sectPr>
          <w:pgSz w:w="11900" w:h="16864" w:orient="portrait"/>
          <w:cols w:equalWidth="0" w:num="2">
            <w:col w:w="7860" w:space="720"/>
            <w:col w:w="2660"/>
          </w:cols>
          <w:pgMar w:left="320" w:top="695"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64" w:orient="portrait"/>
          <w:cols w:equalWidth="0" w:num="1">
            <w:col w:w="11240"/>
          </w:cols>
          <w:pgMar w:left="320" w:top="695" w:right="339" w:bottom="0" w:gutter="0" w:footer="0" w:header="0"/>
          <w:type w:val="continuous"/>
        </w:sectPr>
      </w:pPr>
    </w:p>
    <w:p>
      <w:pPr>
        <w:spacing w:after="0" w:line="126"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ind w:left="680"/>
        <w:spacing w:after="0" w:line="18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64" w:orient="portrait"/>
          <w:cols w:equalWidth="0" w:num="3">
            <w:col w:w="4080" w:space="540"/>
            <w:col w:w="1060" w:space="720"/>
            <w:col w:w="4840"/>
          </w:cols>
          <w:pgMar w:left="320" w:top="695"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December 26, 2023, there were 99,812,510 shares of common stock, par value $0.01 per share, issued and outstanding.</w:t>
      </w:r>
    </w:p>
    <w:p>
      <w:pPr>
        <w:sectPr>
          <w:pgSz w:w="11900" w:h="16864" w:orient="portrait"/>
          <w:cols w:equalWidth="0" w:num="1">
            <w:col w:w="11240"/>
          </w:cols>
          <w:pgMar w:left="320" w:top="695"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NOVEMBER 25,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18</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26</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26</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28</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25, 2023</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371,652</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1,104,318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49,318</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2,115,059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52,712</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35,062</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89,857</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116,133</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38,346</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525,985</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102,175,233 and 101,929,868</w:t>
            </w:r>
          </w:p>
        </w:tc>
        <w:tc>
          <w:tcPr>
            <w:tcW w:w="10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at November 25, 2023 and August 26, 2023, respectively</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Treasury stock, 2,365,100 shares and 2,365,100 shares at cost at November 25, 2023 and August</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26, 2023, respectively</w:t>
            </w: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1,607,178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2,115,059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November 25, 2023</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23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308,678</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300,878</w:t>
            </w:r>
          </w:p>
        </w:tc>
      </w:tr>
      <w:tr>
        <w:trPr>
          <w:trHeight w:val="25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193,560</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189,886</w:t>
            </w:r>
          </w:p>
        </w:tc>
      </w:tr>
      <w:tr>
        <w:trPr>
          <w:trHeight w:val="23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115,118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110,992</w:t>
            </w:r>
          </w:p>
        </w:tc>
      </w:tr>
      <w:tr>
        <w:trPr>
          <w:trHeight w:val="257"/>
        </w:trPr>
        <w:tc>
          <w:tcPr>
            <w:tcW w:w="6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31,990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28,534</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26,950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25,641</w:t>
            </w:r>
          </w:p>
        </w:tc>
      </w:tr>
      <w:tr>
        <w:trPr>
          <w:trHeight w:val="25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4,358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4,327</w:t>
            </w:r>
          </w:p>
        </w:tc>
      </w:tr>
      <w:tr>
        <w:trPr>
          <w:trHeight w:val="24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63,298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58,502</w:t>
            </w:r>
          </w:p>
        </w:tc>
      </w:tr>
      <w:tr>
        <w:trPr>
          <w:trHeight w:val="257"/>
        </w:trPr>
        <w:tc>
          <w:tcPr>
            <w:tcW w:w="6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51,820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52,490</w:t>
            </w:r>
          </w:p>
        </w:tc>
      </w:tr>
      <w:tr>
        <w:trPr>
          <w:trHeight w:val="257"/>
        </w:trPr>
        <w:tc>
          <w:tcPr>
            <w:tcW w:w="6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5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r>
      <w:tr>
        <w:trPr>
          <w:trHeight w:val="25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57"/>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(6,934)</w:t>
            </w:r>
          </w:p>
        </w:tc>
      </w:tr>
      <w:tr>
        <w:trPr>
          <w:trHeight w:val="260"/>
        </w:trPr>
        <w:tc>
          <w:tcPr>
            <w:tcW w:w="6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47,108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45,556</w:t>
            </w:r>
          </w:p>
        </w:tc>
      </w:tr>
      <w:tr>
        <w:trPr>
          <w:trHeight w:val="25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11,547</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Pr>
          <w:p>
            <w:pPr>
              <w:spacing w:after="0"/>
              <w:rPr>
                <w:sz w:val="20"/>
                <w:szCs w:val="20"/>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35,860</w:t>
            </w:r>
          </w:p>
        </w:tc>
      </w:tr>
      <w:tr>
        <w:trPr>
          <w:trHeight w:val="260"/>
        </w:trPr>
        <w:tc>
          <w:tcPr>
            <w:tcW w:w="6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4"/>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378"/>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net of reclassification adjustments</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35,833</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3"/>
        </w:trPr>
        <w:tc>
          <w:tcPr>
            <w:tcW w:w="6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5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54"/>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spacing w:after="0"/>
              <w:rPr>
                <w:sz w:val="22"/>
                <w:szCs w:val="22"/>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5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99,629,188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99,200,557</w:t>
            </w:r>
          </w:p>
        </w:tc>
      </w:tr>
      <w:tr>
        <w:trPr>
          <w:trHeight w:val="26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101,094,736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100,723,036</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25, 2023</w:t>
            </w:r>
          </w:p>
        </w:tc>
        <w:tc>
          <w:tcPr>
            <w:tcW w:w="100" w:type="dxa"/>
            <w:vAlign w:val="bottom"/>
          </w:tcPr>
          <w:p>
            <w:pPr>
              <w:spacing w:after="0"/>
              <w:rPr>
                <w:sz w:val="18"/>
                <w:szCs w:val="18"/>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35,860</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4,952</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3,313</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foreign currency transactions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3,206</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1,660</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9,869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(26,288)</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638</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8,631</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(14,843)</w:t>
            </w:r>
          </w:p>
        </w:tc>
      </w:tr>
      <w:tr>
        <w:trPr>
          <w:trHeight w:val="213"/>
        </w:trPr>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47,523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r>
      <w:tr>
        <w:trPr>
          <w:trHeight w:val="131"/>
        </w:trPr>
        <w:tc>
          <w:tcPr>
            <w:tcW w:w="6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131"/>
        </w:trPr>
        <w:tc>
          <w:tcPr>
            <w:tcW w:w="6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4,563</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r>
      <w:tr>
        <w:trPr>
          <w:trHeight w:val="213"/>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(6,500)</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(20,761)</w:t>
            </w:r>
          </w:p>
        </w:tc>
      </w:tr>
      <w:tr>
        <w:trPr>
          <w:trHeight w:val="131"/>
        </w:trPr>
        <w:tc>
          <w:tcPr>
            <w:tcW w:w="6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(13,281)</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3"/>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87,715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67,494</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121,391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54,144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25, 2023</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253"/>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0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6,426</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16"/>
                <w:szCs w:val="16"/>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Accumulated 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40"/>
              <w:spacing w:after="0" w:line="148" w:lineRule="exact"/>
              <w:rPr>
                <w:sz w:val="20"/>
                <w:szCs w:val="20"/>
                <w:color w:val="auto"/>
              </w:rPr>
            </w:pPr>
            <w:r>
              <w:rPr>
                <w:rFonts w:ascii="Times New Roman" w:cs="Times New Roman" w:eastAsia="Times New Roman" w:hAnsi="Times New Roman"/>
                <w:sz w:val="16"/>
                <w:szCs w:val="16"/>
                <w:color w:val="auto"/>
              </w:rPr>
              <w:t>Paid-In</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restart"/>
          </w:tcPr>
          <w:p>
            <w:pPr>
              <w:jc w:val="center"/>
              <w:ind w:right="260"/>
              <w:spacing w:after="0" w:line="148" w:lineRule="exact"/>
              <w:rPr>
                <w:sz w:val="20"/>
                <w:szCs w:val="20"/>
                <w:color w:val="auto"/>
              </w:rPr>
            </w:pPr>
            <w:r>
              <w:rPr>
                <w:rFonts w:ascii="Times New Roman" w:cs="Times New Roman" w:eastAsia="Times New Roman" w:hAnsi="Times New Roman"/>
                <w:sz w:val="16"/>
                <w:szCs w:val="16"/>
                <w:color w:val="auto"/>
                <w:w w:val="99"/>
              </w:rPr>
              <w:t>Comprehensive</w:t>
            </w:r>
          </w:p>
        </w:tc>
        <w:tc>
          <w:tcPr>
            <w:tcW w:w="180" w:type="dxa"/>
            <w:vAlign w:val="bottom"/>
          </w:tcPr>
          <w:p>
            <w:pPr>
              <w:spacing w:after="0"/>
              <w:rPr>
                <w:sz w:val="7"/>
                <w:szCs w:val="7"/>
                <w:color w:val="auto"/>
              </w:rPr>
            </w:pPr>
          </w:p>
        </w:tc>
        <w:tc>
          <w:tcPr>
            <w:tcW w:w="800" w:type="dxa"/>
            <w:vAlign w:val="bottom"/>
            <w:vMerge w:val="restart"/>
          </w:tcPr>
          <w:p>
            <w:pPr>
              <w:jc w:val="right"/>
              <w:ind w:right="239"/>
              <w:spacing w:after="0" w:line="148"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Amount</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4"/>
                <w:szCs w:val="4"/>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1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Capital</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7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26,</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101,929,868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245,365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102,175,233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383,517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1,607,178</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25, 2023</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1720" w:type="dxa"/>
            <w:vAlign w:val="bottom"/>
          </w:tcPr>
          <w:p>
            <w:pPr>
              <w:spacing w:after="0"/>
              <w:rPr>
                <w:sz w:val="24"/>
                <w:szCs w:val="24"/>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Accumulated Other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w w:val="99"/>
              </w:rPr>
              <w:t>Comprehensive</w:t>
            </w:r>
          </w:p>
        </w:tc>
        <w:tc>
          <w:tcPr>
            <w:tcW w:w="18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Amount</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Capital</w:t>
            </w: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27,</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101,322,834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1,818,754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(62,003)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1,287,224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214,381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1,438,664</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546,346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(16,448)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180,342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stock</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appreciation rights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353,281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101,856,457</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1,292,720</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250,241</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1,463,356</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26, 2022</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1" w:right="7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Quest® and Atkins®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and Atkins® for those following a low-carb lifestyle.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367"/>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26, 2023, included in the Company’s Annual Report on Form 10-K (“Annual Report”) filed with the SEC on October 24,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are applied on a prospective basis.</w:t>
      </w:r>
    </w:p>
    <w:p>
      <w:pPr>
        <w:spacing w:after="0" w:line="216"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issues Accounting Standard Update (“ASU”) No. 2023-07, Segment Reporting (Topic 280): Improvements to Reportable Segment Disclosures,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provisions of the amendments and the effect on its future consolidated financial statements.</w:t>
      </w:r>
    </w:p>
    <w:p>
      <w:pPr>
        <w:spacing w:after="0" w:line="201" w:lineRule="exact"/>
        <w:rPr>
          <w:sz w:val="20"/>
          <w:szCs w:val="20"/>
          <w:color w:val="auto"/>
        </w:rPr>
      </w:pPr>
    </w:p>
    <w:p>
      <w:pPr>
        <w:ind w:right="660" w:firstLine="18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88" w:lineRule="exact"/>
        <w:rPr>
          <w:sz w:val="20"/>
          <w:szCs w:val="20"/>
          <w:color w:val="auto"/>
        </w:rPr>
      </w:pPr>
    </w:p>
    <w:tbl>
      <w:tblPr>
        <w:tblLayout w:type="fixed"/>
        <w:tblInd w:w="186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4"/>
          </w:tcPr>
          <w:p>
            <w:pPr>
              <w:jc w:val="right"/>
              <w:ind w:right="113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53"/>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November 25, 2023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253"/>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7"/>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119,498</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131,745</w:t>
            </w:r>
          </w:p>
        </w:tc>
      </w:tr>
      <w:tr>
        <w:trPr>
          <w:trHeight w:val="270"/>
        </w:trPr>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181,463</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161,472</w:t>
            </w:r>
          </w:p>
        </w:tc>
      </w:tr>
      <w:tr>
        <w:trPr>
          <w:trHeight w:val="250"/>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293,217</w:t>
            </w:r>
          </w:p>
        </w:tc>
      </w:tr>
      <w:tr>
        <w:trPr>
          <w:trHeight w:val="27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7,661</w:t>
            </w:r>
          </w:p>
        </w:tc>
      </w:tr>
      <w:tr>
        <w:trPr>
          <w:trHeight w:val="226"/>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308,678</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300,878</w:t>
            </w:r>
          </w:p>
        </w:tc>
      </w:tr>
      <w:tr>
        <w:trPr>
          <w:trHeight w:val="20"/>
        </w:trPr>
        <w:tc>
          <w:tcPr>
            <w:tcW w:w="3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jc w:val="both"/>
        <w:ind w:left="1960" w:right="1860" w:hanging="85"/>
        <w:spacing w:after="0" w:line="227" w:lineRule="auto"/>
        <w:tabs>
          <w:tab w:leader="none" w:pos="2028"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8" w:lineRule="exact"/>
        <w:rPr>
          <w:sz w:val="20"/>
          <w:szCs w:val="20"/>
          <w:color w:val="auto"/>
        </w:rPr>
      </w:pPr>
    </w:p>
    <w:p>
      <w:pPr>
        <w:jc w:val="both"/>
        <w:ind w:firstLine="304"/>
        <w:spacing w:after="0" w:line="258" w:lineRule="auto"/>
        <w:rPr>
          <w:sz w:val="20"/>
          <w:szCs w:val="20"/>
          <w:color w:val="auto"/>
        </w:rPr>
      </w:pPr>
      <w:r>
        <w:rPr>
          <w:rFonts w:ascii="Times New Roman" w:cs="Times New Roman" w:eastAsia="Times New Roman" w:hAnsi="Times New Roman"/>
          <w:sz w:val="18"/>
          <w:szCs w:val="18"/>
          <w:color w:val="auto"/>
        </w:rPr>
        <w:t>Charges related to credit loss on accounts receivables from transactions with external customers were $0.1 million for the thirteen weeks ended November 25, 2023, and $(0.1) million for the thirteen weeks ended November 26, 2022. As of November 25, 2023 and August 26, 2023, the allowances for doubtful accounts related to these accounts receivable were $0.9 million and $1.1 million, respectively. Additionally, as of November 25, 2023, the Company had an expected credit loss reserve of $1.0 million on a $3.0 million note receivable related to the Company’s sale of its SimplyProtein® brand and related assets during its fiscal year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212"/>
        <w:spacing w:after="0" w:line="284" w:lineRule="auto"/>
        <w:rPr>
          <w:sz w:val="20"/>
          <w:szCs w:val="20"/>
          <w:color w:val="auto"/>
        </w:rPr>
      </w:pPr>
      <w:r>
        <w:rPr>
          <w:rFonts w:ascii="Times New Roman" w:cs="Times New Roman" w:eastAsia="Times New Roman" w:hAnsi="Times New Roman"/>
          <w:sz w:val="18"/>
          <w:szCs w:val="18"/>
          <w:color w:val="auto"/>
        </w:rPr>
        <w:t xml:space="preserve">As of November 25, 2023 and August 26, 2023,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$543.1 million. There were no impairment charges related to goodwill during the thirteen weeks ended November 25, 2023 or since the inception of the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November 25, 2023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56,203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10,977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6,381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5,633</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1,183,512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79,194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1,104,318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August 26, 2023</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75,288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thirteen weeks ended November 25, 2023 were primarily related to recurring amortization expense. Amortization expense related to intangible assets was $3.9 million for the thirteen weeks ended November 25, 2023 and $3.9 million for the thirteen weeks ended November 26, 2022. There were no impairment charges related to intangible assets during the thirteen weeks ended November 25, 2023 and November 26, 2022.</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2024</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11,721</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13,740</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2029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63,620</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130,134</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right="20" w:firstLine="18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2023 Repricing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5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75"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extensions in excess of 30% of the total amount of commitments available under the Revolving Credit Facility. Any failure to comply with the restrictions of the credit facilities may result in an event of default. The Company was in compliance with all covenants as of November 25, 2023 and August 26, 2023, respectively.</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25, 2023</w:t>
            </w:r>
          </w:p>
        </w:tc>
        <w:tc>
          <w:tcPr>
            <w:tcW w:w="1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12"/>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Facility (effective rate of 8.0% at November 25, 2023)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285,000</w:t>
            </w:r>
          </w:p>
        </w:tc>
      </w:tr>
      <w:tr>
        <w:trPr>
          <w:trHeight w:val="21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lease liabilities (effective rate of 5.6% at November 25, 2023)</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w:t>
            </w:r>
          </w:p>
        </w:tc>
      </w:tr>
      <w:tr>
        <w:trPr>
          <w:trHeight w:val="207"/>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272,115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281,792</w:t>
            </w: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272,032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281,649</w:t>
            </w: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November 25,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March 2027.</w:t>
      </w:r>
    </w:p>
    <w:p>
      <w:pPr>
        <w:spacing w:after="0" w:line="220" w:lineRule="exact"/>
        <w:rPr>
          <w:sz w:val="20"/>
          <w:szCs w:val="20"/>
          <w:color w:val="auto"/>
        </w:rPr>
      </w:pPr>
    </w:p>
    <w:p>
      <w:pPr>
        <w:jc w:val="both"/>
        <w:ind w:firstLine="207"/>
        <w:spacing w:after="0" w:line="250" w:lineRule="auto"/>
        <w:rPr>
          <w:sz w:val="20"/>
          <w:szCs w:val="20"/>
          <w:color w:val="auto"/>
        </w:rPr>
      </w:pPr>
      <w:r>
        <w:rPr>
          <w:rFonts w:ascii="Times New Roman" w:cs="Times New Roman" w:eastAsia="Times New Roman" w:hAnsi="Times New Roman"/>
          <w:sz w:val="18"/>
          <w:szCs w:val="18"/>
          <w:color w:val="auto"/>
        </w:rPr>
        <w:t>As of November 25, 2023, the Company had letters of credit in the amount of $3.5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at November 25, 2023.</w:t>
      </w:r>
    </w:p>
    <w:p>
      <w:pPr>
        <w:spacing w:after="0" w:line="217"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November 25, 2023 and August 26, 2023,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approximated fair value as of November 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30"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4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November 25, 2023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25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47,108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45,556</w:t>
            </w:r>
          </w:p>
        </w:tc>
      </w:tr>
      <w:tr>
        <w:trPr>
          <w:trHeight w:val="26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11,547</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9,696</w:t>
            </w:r>
          </w:p>
        </w:tc>
      </w:tr>
      <w:tr>
        <w:trPr>
          <w:trHeight w:val="27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r>
    </w:tbl>
    <w:p>
      <w:pPr>
        <w:spacing w:after="0" w:line="319" w:lineRule="exact"/>
        <w:rPr>
          <w:sz w:val="20"/>
          <w:szCs w:val="20"/>
          <w:color w:val="auto"/>
        </w:rPr>
      </w:pPr>
    </w:p>
    <w:p>
      <w:pPr>
        <w:ind w:right="20" w:firstLine="296"/>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25, 2023 was 3.2% more than the effective tax rate for the thirteen weeks ended November 26, 2022, which was primarily driven by permanent differences.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Statements of Operations Caption</w:t>
            </w:r>
          </w:p>
        </w:tc>
        <w:tc>
          <w:tcPr>
            <w:tcW w:w="12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25, 2023</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212"/>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4"/>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 and General and administrative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18"/>
        </w:trPr>
        <w:tc>
          <w:tcPr>
            <w:tcW w:w="2700" w:type="dxa"/>
            <w:vAlign w:val="bottom"/>
            <w:gridSpan w:val="2"/>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 and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07"/>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w:t>
            </w:r>
          </w:p>
        </w:tc>
      </w:tr>
      <w:tr>
        <w:trPr>
          <w:trHeight w:val="219"/>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3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4"/>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8"/>
        </w:trPr>
        <w:tc>
          <w:tcPr>
            <w:tcW w:w="2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05"/>
        </w:trPr>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spacing w:after="0"/>
              <w:rPr>
                <w:sz w:val="17"/>
                <w:szCs w:val="17"/>
                <w:color w:val="auto"/>
              </w:rPr>
            </w:pPr>
          </w:p>
        </w:tc>
      </w:tr>
      <w:tr>
        <w:trPr>
          <w:trHeight w:val="209"/>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w:t>
            </w:r>
          </w:p>
        </w:tc>
      </w:tr>
      <w:tr>
        <w:trPr>
          <w:trHeight w:val="21"/>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820" w:hanging="146"/>
        <w:spacing w:after="0"/>
        <w:tabs>
          <w:tab w:leader="none" w:pos="82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cost primarily consists of common area maintenance, such as cleaning and repairs.</w:t>
      </w:r>
    </w:p>
    <w:p>
      <w:pPr>
        <w:spacing w:after="0" w:line="3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November 25, 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38,286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40,022</w:t>
            </w: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1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26"/>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38,359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40,147</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10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0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37,272</w:t>
            </w:r>
          </w:p>
        </w:tc>
      </w:tr>
      <w:tr>
        <w:trPr>
          <w:trHeight w:val="270"/>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Long-term debt, less current maturities</w:t>
            </w:r>
          </w:p>
        </w:tc>
        <w:tc>
          <w:tcPr>
            <w:tcW w:w="1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43,113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44,981</w:t>
            </w: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November 25, 2023 were as follows:</w:t>
      </w:r>
    </w:p>
    <w:p>
      <w:pPr>
        <w:spacing w:after="0" w:line="336"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 ending:</w:t>
            </w: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Remainder of 2024</w:t>
            </w:r>
          </w:p>
        </w:tc>
        <w:tc>
          <w:tcPr>
            <w:tcW w:w="14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84</w:t>
            </w:r>
          </w:p>
        </w:tc>
      </w:tr>
      <w:tr>
        <w:trPr>
          <w:trHeight w:val="27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84</w:t>
            </w:r>
          </w:p>
        </w:tc>
      </w:tr>
      <w:tr>
        <w:trPr>
          <w:trHeight w:val="270"/>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(1)</w:t>
            </w:r>
          </w:p>
        </w:tc>
      </w:tr>
      <w:tr>
        <w:trPr>
          <w:trHeight w:val="226"/>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43,030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83</w:t>
            </w:r>
          </w:p>
        </w:tc>
      </w:tr>
      <w:tr>
        <w:trPr>
          <w:trHeight w:val="21"/>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November 25, 2023</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73"/>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r>
      <w:tr>
        <w:trPr>
          <w:trHeight w:val="267"/>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3"/>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64"/>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25, 2023</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212"/>
        </w:trPr>
        <w:tc>
          <w:tcPr>
            <w:tcW w:w="5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1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r>
      <w:tr>
        <w:trPr>
          <w:trHeight w:val="219"/>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0"/>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and social media influencers to promote and endorse the Quest® and Atkins®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November 25, 2023, the Company will be required to make payments of $2.9 million over the next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thirteen weeks ended November 25, 2023. During the thirteen weeks ended November 26, 2022, the Company repurchased 546,346 shares of common stock at an average share price of $30.11 per share. As of November 25, 2023, approximately $71.5 million remained available under the stock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203"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 The following table reconciles the numerators and denominators used in the computations of both basic and diluted earnings per share:</w:t>
      </w:r>
    </w:p>
    <w:p>
      <w:pPr>
        <w:spacing w:after="0" w:line="5"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5"/>
          </w:tcPr>
          <w:p>
            <w:pPr>
              <w:ind w:left="860"/>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November 25, 2023</w:t>
            </w:r>
          </w:p>
        </w:tc>
        <w:tc>
          <w:tcPr>
            <w:tcW w:w="1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November 26, 2022</w:t>
            </w:r>
          </w:p>
        </w:tc>
        <w:tc>
          <w:tcPr>
            <w:tcW w:w="120" w:type="dxa"/>
            <w:vAlign w:val="bottom"/>
            <w:tcBorders>
              <w:bottom w:val="single" w:sz="8" w:color="CCEEFF"/>
            </w:tcBorders>
          </w:tcPr>
          <w:p>
            <w:pPr>
              <w:spacing w:after="0"/>
              <w:rPr>
                <w:sz w:val="18"/>
                <w:szCs w:val="18"/>
                <w:color w:val="auto"/>
              </w:rPr>
            </w:pPr>
          </w:p>
        </w:tc>
      </w:tr>
      <w:tr>
        <w:trPr>
          <w:trHeight w:val="253"/>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67"/>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3"/>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shd w:val="clear" w:color="auto" w:fill="CCEEFF"/>
          </w:tcPr>
          <w:p>
            <w:pPr>
              <w:spacing w:after="0"/>
              <w:rPr>
                <w:sz w:val="23"/>
                <w:szCs w:val="23"/>
                <w:color w:val="auto"/>
              </w:rPr>
            </w:pPr>
          </w:p>
        </w:tc>
      </w:tr>
      <w:tr>
        <w:trPr>
          <w:trHeight w:val="267"/>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5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99,629,188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99,200,557</w:t>
            </w:r>
          </w:p>
        </w:tc>
        <w:tc>
          <w:tcPr>
            <w:tcW w:w="120" w:type="dxa"/>
            <w:vAlign w:val="bottom"/>
            <w:shd w:val="clear" w:color="auto" w:fill="CCEEFF"/>
          </w:tcPr>
          <w:p>
            <w:pPr>
              <w:spacing w:after="0"/>
              <w:rPr>
                <w:sz w:val="18"/>
                <w:szCs w:val="18"/>
                <w:color w:val="auto"/>
              </w:rPr>
            </w:pPr>
          </w:p>
        </w:tc>
      </w:tr>
      <w:tr>
        <w:trPr>
          <w:trHeight w:val="226"/>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9"/>
                <w:szCs w:val="19"/>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67"/>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3"/>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67"/>
        </w:trPr>
        <w:tc>
          <w:tcPr>
            <w:tcW w:w="5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tcBorders>
              <w:bottom w:val="single" w:sz="8" w:color="CCEEFF"/>
            </w:tcBorders>
          </w:tcPr>
          <w:p>
            <w:pPr>
              <w:spacing w:after="0"/>
              <w:rPr>
                <w:sz w:val="23"/>
                <w:szCs w:val="23"/>
                <w:color w:val="auto"/>
              </w:rPr>
            </w:pPr>
          </w:p>
        </w:tc>
      </w:tr>
      <w:tr>
        <w:trPr>
          <w:trHeight w:val="253"/>
        </w:trPr>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shd w:val="clear" w:color="auto" w:fill="CCEEFF"/>
          </w:tcPr>
          <w:p>
            <w:pPr>
              <w:spacing w:after="0"/>
              <w:rPr>
                <w:sz w:val="22"/>
                <w:szCs w:val="22"/>
                <w:color w:val="auto"/>
              </w:rPr>
            </w:pPr>
          </w:p>
        </w:tc>
      </w:tr>
      <w:tr>
        <w:trPr>
          <w:trHeight w:val="247"/>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9"/>
        </w:trPr>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99,629,188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99,200,557</w:t>
            </w:r>
          </w:p>
        </w:tc>
        <w:tc>
          <w:tcPr>
            <w:tcW w:w="120" w:type="dxa"/>
            <w:vAlign w:val="bottom"/>
            <w:shd w:val="clear" w:color="auto" w:fill="CCEEFF"/>
          </w:tcPr>
          <w:p>
            <w:pPr>
              <w:spacing w:after="0"/>
              <w:rPr>
                <w:sz w:val="19"/>
                <w:szCs w:val="19"/>
                <w:color w:val="auto"/>
              </w:rPr>
            </w:pPr>
          </w:p>
        </w:tc>
      </w:tr>
      <w:tr>
        <w:trPr>
          <w:trHeight w:val="267"/>
        </w:trPr>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Employee stock options</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1,172,483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1,299,543</w:t>
            </w:r>
          </w:p>
        </w:tc>
        <w:tc>
          <w:tcPr>
            <w:tcW w:w="120" w:type="dxa"/>
            <w:vAlign w:val="bottom"/>
          </w:tcPr>
          <w:p>
            <w:pPr>
              <w:spacing w:after="0"/>
              <w:rPr>
                <w:sz w:val="23"/>
                <w:szCs w:val="23"/>
                <w:color w:val="auto"/>
              </w:rPr>
            </w:pPr>
          </w:p>
        </w:tc>
      </w:tr>
      <w:tr>
        <w:trPr>
          <w:trHeight w:val="270"/>
        </w:trPr>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Non-vested stock units</w:t>
            </w: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293,065</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222,936</w:t>
            </w:r>
          </w:p>
        </w:tc>
        <w:tc>
          <w:tcPr>
            <w:tcW w:w="120" w:type="dxa"/>
            <w:vAlign w:val="bottom"/>
            <w:shd w:val="clear" w:color="auto" w:fill="CCEEFF"/>
          </w:tcPr>
          <w:p>
            <w:pPr>
              <w:spacing w:after="0"/>
              <w:rPr>
                <w:sz w:val="23"/>
                <w:szCs w:val="23"/>
                <w:color w:val="auto"/>
              </w:rPr>
            </w:pPr>
          </w:p>
        </w:tc>
      </w:tr>
      <w:tr>
        <w:trPr>
          <w:trHeight w:val="250"/>
        </w:trPr>
        <w:tc>
          <w:tcPr>
            <w:tcW w:w="5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101,094,736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100,723,036</w:t>
            </w:r>
          </w:p>
        </w:tc>
        <w:tc>
          <w:tcPr>
            <w:tcW w:w="120" w:type="dxa"/>
            <w:vAlign w:val="bottom"/>
            <w:tcBorders>
              <w:bottom w:val="single" w:sz="8" w:color="CCEEFF"/>
            </w:tcBorders>
          </w:tcPr>
          <w:p>
            <w:pPr>
              <w:spacing w:after="0"/>
              <w:rPr>
                <w:sz w:val="21"/>
                <w:szCs w:val="21"/>
                <w:color w:val="auto"/>
              </w:rPr>
            </w:pPr>
          </w:p>
        </w:tc>
      </w:tr>
      <w:tr>
        <w:trPr>
          <w:trHeight w:val="251"/>
        </w:trPr>
        <w:tc>
          <w:tcPr>
            <w:tcW w:w="5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215"/>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25, 2023 and November 26, 2022 excluded 0.8 million and 0.4 million shares of common stock issuable upon exercise of stock options, respectively, that would have been anti-dilutive.</w:t>
      </w:r>
    </w:p>
    <w:p>
      <w:pPr>
        <w:spacing w:after="0" w:line="189" w:lineRule="exact"/>
        <w:rPr>
          <w:sz w:val="20"/>
          <w:szCs w:val="20"/>
          <w:color w:val="auto"/>
        </w:rPr>
      </w:pPr>
    </w:p>
    <w:p>
      <w:pPr>
        <w:jc w:val="both"/>
        <w:ind w:firstLine="240"/>
        <w:spacing w:after="0" w:line="282" w:lineRule="auto"/>
        <w:rPr>
          <w:sz w:val="20"/>
          <w:szCs w:val="20"/>
          <w:color w:val="auto"/>
        </w:rPr>
      </w:pPr>
      <w:r>
        <w:rPr>
          <w:rFonts w:ascii="Times New Roman" w:cs="Times New Roman" w:eastAsia="Times New Roman" w:hAnsi="Times New Roman"/>
          <w:sz w:val="18"/>
          <w:szCs w:val="18"/>
          <w:color w:val="auto"/>
        </w:rPr>
        <w:t>Diluted earnings per share calculations for the thirteen weeks ended November 25, 2023 and November 26, 2022 excluded an immaterial number of shares and 0.1 million shares of non-vested stock units, respectively, that would have been anti-dilutive.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for equity-classified awards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expense, which is the same financial statement caption where the recipient’s other compensation is reported.</w:t>
      </w:r>
    </w:p>
    <w:p>
      <w:pPr>
        <w:spacing w:after="0" w:line="207" w:lineRule="exact"/>
        <w:rPr>
          <w:sz w:val="20"/>
          <w:szCs w:val="20"/>
          <w:color w:val="auto"/>
        </w:rPr>
      </w:pPr>
    </w:p>
    <w:p>
      <w:pPr>
        <w:jc w:val="both"/>
        <w:ind w:firstLine="341"/>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$4.2 million and $3.3 million in the thirteen weeks ended November 25, 2023 and November 26, 2022,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thirteen weeks ended November 25, 2023:</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2,668,462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20.41</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33.02</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39.38</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25,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2,682,280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20.47</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November 25,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2,682,280</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20.47</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November 25,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2,188,820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16.69</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78"/>
        <w:spacing w:after="0" w:line="266" w:lineRule="auto"/>
        <w:rPr>
          <w:sz w:val="20"/>
          <w:szCs w:val="20"/>
          <w:color w:val="auto"/>
        </w:rPr>
      </w:pPr>
      <w:r>
        <w:rPr>
          <w:rFonts w:ascii="Times New Roman" w:cs="Times New Roman" w:eastAsia="Times New Roman" w:hAnsi="Times New Roman"/>
          <w:sz w:val="18"/>
          <w:szCs w:val="18"/>
          <w:color w:val="auto"/>
        </w:rPr>
        <w:t>As of November 25, 2023, the Company had $4.8 million of total unrecognized compensation cost related to stock options that will be recognized over a weighted average period of 1.5 years. During the thirteen weeks ended November 25, 2023 the Company did not receive cash from stock option exercises. During the thirteen weeks ended November 26, 2022, the Company received $4.6 million in cash from stock option exercises.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thirteen weeks ended November 25, 2023:</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514,498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194,353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(151,239)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38.69</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25,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550,023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284"/>
        <w:spacing w:after="0" w:line="282" w:lineRule="auto"/>
        <w:rPr>
          <w:sz w:val="20"/>
          <w:szCs w:val="20"/>
          <w:color w:val="auto"/>
        </w:rPr>
      </w:pPr>
      <w:r>
        <w:rPr>
          <w:rFonts w:ascii="Times New Roman" w:cs="Times New Roman" w:eastAsia="Times New Roman" w:hAnsi="Times New Roman"/>
          <w:sz w:val="18"/>
          <w:szCs w:val="18"/>
          <w:color w:val="auto"/>
        </w:rPr>
        <w:t>As of November 25, 2023, the Company had $15.6 million of total unrecognized compensation cost related to restricted stock units that will be recognized over a weighted average period of 1.8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222"/>
        <w:spacing w:after="0" w:line="266" w:lineRule="auto"/>
        <w:rPr>
          <w:sz w:val="20"/>
          <w:szCs w:val="20"/>
          <w:color w:val="auto"/>
        </w:rPr>
      </w:pPr>
      <w:r>
        <w:rPr>
          <w:rFonts w:ascii="Times New Roman" w:cs="Times New Roman" w:eastAsia="Times New Roman" w:hAnsi="Times New Roman"/>
          <w:sz w:val="18"/>
          <w:szCs w:val="18"/>
          <w:color w:val="auto"/>
        </w:rPr>
        <w:t>During the thirteen weeks ended November 25, 2023, the Company granted performance stock units under its equity compensation plan. Performance stock units vest in a range between 0% and 200% based upon certain performance criteria in a three-year period. Performance stock units were valued using a Monte Carlo simulation.</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thirteen weeks ended November 25, 2023:</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0" w:type="dxa"/>
            <w:vAlign w:val="bottom"/>
          </w:tcPr>
          <w:p>
            <w:pPr>
              <w:spacing w:after="0"/>
              <w:rPr>
                <w:sz w:val="1"/>
                <w:szCs w:val="1"/>
                <w:color w:val="auto"/>
              </w:rPr>
            </w:pPr>
          </w:p>
        </w:tc>
      </w:tr>
      <w:tr>
        <w:trPr>
          <w:trHeight w:val="250"/>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67"/>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November 25,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261"/>
        <w:spacing w:after="0" w:line="282" w:lineRule="auto"/>
        <w:rPr>
          <w:sz w:val="20"/>
          <w:szCs w:val="20"/>
          <w:color w:val="auto"/>
        </w:rPr>
      </w:pPr>
      <w:r>
        <w:rPr>
          <w:rFonts w:ascii="Times New Roman" w:cs="Times New Roman" w:eastAsia="Times New Roman" w:hAnsi="Times New Roman"/>
          <w:sz w:val="18"/>
          <w:szCs w:val="18"/>
          <w:color w:val="auto"/>
        </w:rPr>
        <w:t>As of November 25, 2023, the Company had $7.6 million of total unrecognized compensation cost related to performance stock units that will be recognized over a weighted average period of 2.2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have been met. The SARs outstanding as of November 25, 2023 cliff vest two years from the date of grant and must be exercised within five years.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thirteen weeks ended November 25, 2023:</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November 25,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292" w:lineRule="exact"/>
        <w:rPr>
          <w:sz w:val="20"/>
          <w:szCs w:val="20"/>
          <w:color w:val="auto"/>
        </w:rPr>
      </w:pPr>
    </w:p>
    <w:p>
      <w:pPr>
        <w:jc w:val="both"/>
        <w:ind w:right="180" w:firstLine="177"/>
        <w:spacing w:after="0" w:line="250" w:lineRule="auto"/>
        <w:rPr>
          <w:sz w:val="20"/>
          <w:szCs w:val="20"/>
          <w:color w:val="auto"/>
        </w:rPr>
      </w:pPr>
      <w:r>
        <w:rPr>
          <w:rFonts w:ascii="Times New Roman" w:cs="Times New Roman" w:eastAsia="Times New Roman" w:hAnsi="Times New Roman"/>
          <w:sz w:val="18"/>
          <w:szCs w:val="18"/>
          <w:color w:val="auto"/>
        </w:rPr>
        <w:t>The SARs exercised in the thirteen weeks ended November 26, 2022 resulted in a net issuance of 38,850 shares of the Company’s common stock. The SARs granted in the thirteen weeks ended November 26, 2022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2"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26, 2023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and Atkins®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and Atkins® for those following a low-carb lifestyle.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210"/>
        <w:spacing w:after="0" w:line="282" w:lineRule="auto"/>
        <w:rPr>
          <w:sz w:val="20"/>
          <w:szCs w:val="20"/>
          <w:color w:val="auto"/>
        </w:rPr>
      </w:pPr>
      <w:r>
        <w:rPr>
          <w:rFonts w:ascii="Times New Roman" w:cs="Times New Roman" w:eastAsia="Times New Roman" w:hAnsi="Times New Roman"/>
          <w:sz w:val="18"/>
          <w:szCs w:val="18"/>
          <w:color w:val="auto"/>
        </w:rPr>
        <w:t>During fiscal 2023 the Company was affected by the unfavorable effects of higher raw material costs, higher co-manufacturing costs, and supply chain challenges, including supply chain disruptions resulting from labor shortages and disruptions in ingredients.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thirteen weeks ended November 25, 2023, our business performance improved as strong Quest sales volume growth more than offset Atkins softness. The Company benefited from lower ingredient and packaging costs which resulted in gross margin expansion versus the year ago period. The Company continues to engage and have discussions with its contract manufacturers and logistics and transportation providers to have its cost structure reflect lower market prices. We believe the Company's strategy and positioning will continue to drive profitable growth for our product offerings and growth within the growing nutritional snacking category.</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actively monitor the dynamic supply chain environment in the United States and elsewhere as well as consumer purchasing behavior. Current or future governmental policies may increase the risk of inflation and possible economic recession, which could increase the costs of ingredients, packaging, logistics and finished goods for our business as well as negatively effect consumer behavior and demand for our products.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right="20"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The 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executive transition costs,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194"/>
        <w:spacing w:after="0" w:line="266" w:lineRule="auto"/>
        <w:rPr>
          <w:sz w:val="20"/>
          <w:szCs w:val="20"/>
          <w:color w:val="auto"/>
        </w:rPr>
      </w:pPr>
      <w:r>
        <w:rPr>
          <w:rFonts w:ascii="Times New Roman" w:cs="Times New Roman" w:eastAsia="Times New Roman" w:hAnsi="Times New Roman"/>
          <w:sz w:val="18"/>
          <w:szCs w:val="18"/>
          <w:color w:val="auto"/>
        </w:rPr>
        <w:t>During the thirteen weeks ended November 25, 2023, our net sales increased to $308.7 million compared to $300.9 million for the thirteen weeks ended November 26, 2022, driven by Quest volume growth, which offset softness in Atkins net sales, resulting in a 2.6% increase in our aggregate North America net sales. Gross profit and gross profit margin improved driven by higher sales volumes and lower ingredient and packaging costs.</w:t>
      </w:r>
    </w:p>
    <w:p>
      <w:pPr>
        <w:spacing w:after="0" w:line="203"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November 25, 2023 and the Thirteen Weeks Ended November 26, 2022</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57"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Thirteen Weeks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Thirteen Weeks</w:t>
            </w:r>
          </w:p>
        </w:tc>
        <w:tc>
          <w:tcPr>
            <w:tcW w:w="15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Ended</w:t>
            </w:r>
          </w:p>
        </w:tc>
        <w:tc>
          <w:tcPr>
            <w:tcW w:w="1500" w:type="dxa"/>
            <w:vAlign w:val="bottom"/>
          </w:tcPr>
          <w:p>
            <w:pPr>
              <w:spacing w:after="0"/>
              <w:rPr>
                <w:sz w:val="18"/>
                <w:szCs w:val="18"/>
                <w:color w:val="auto"/>
              </w:rPr>
            </w:pPr>
          </w:p>
        </w:tc>
      </w:tr>
      <w:tr>
        <w:trPr>
          <w:trHeight w:val="25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November 25, 2023</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November 26, 2022</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308,678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300,878</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67"/>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193,560</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189,886</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110,992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31,990</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28,534</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25,641</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67"/>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5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52,490</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3"/>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67"/>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on foreign currency transactions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7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(6,934)</w:t>
            </w:r>
          </w:p>
        </w:tc>
        <w:tc>
          <w:tcPr>
            <w:tcW w:w="12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47,108</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45,556</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15.1 %</w:t>
            </w:r>
          </w:p>
        </w:tc>
      </w:tr>
      <w:tr>
        <w:trPr>
          <w:trHeight w:val="27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2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3"/>
        </w:trPr>
        <w:tc>
          <w:tcPr>
            <w:tcW w:w="3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61,965</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60,766</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r>
    </w:tbl>
    <w:p>
      <w:pPr>
        <w:ind w:left="700" w:right="720" w:hanging="80"/>
        <w:spacing w:after="0" w:line="228" w:lineRule="auto"/>
        <w:tabs>
          <w:tab w:leader="none" w:pos="76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-226695</wp:posOffset>
            </wp:positionV>
            <wp:extent cx="4003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302" w:lineRule="exact"/>
        <w:rPr>
          <w:sz w:val="20"/>
          <w:szCs w:val="20"/>
          <w:color w:val="auto"/>
        </w:rPr>
      </w:pPr>
    </w:p>
    <w:p>
      <w:pPr>
        <w:jc w:val="both"/>
        <w:ind w:firstLine="23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$308.7 million for the thirteen weeks ended November 25, 2023 compared to $300.9 million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26, 2022, representing an increase of $7.8 million, driven primarily by Quest volume growth which offset Atkins softness. North America net sales increased 2.6% in the thirteen weeks ended November 25, 2023 compared to the thirteen weeks ended November 26, 2022, and International net sales increased 0.7% during the same period.</w:t>
      </w:r>
    </w:p>
    <w:p>
      <w:pPr>
        <w:spacing w:after="0" w:line="203"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$3.7 million, or 1.9%, for the thirteen weeks ended November 25, 2023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26, 2022. The cost of goods sold increase was primarily driven by higher sales volumes in the thirteen weeks ended November 25, 2023.</w:t>
      </w:r>
    </w:p>
    <w:p>
      <w:pPr>
        <w:spacing w:after="0" w:line="182" w:lineRule="exact"/>
        <w:rPr>
          <w:sz w:val="20"/>
          <w:szCs w:val="20"/>
          <w:color w:val="auto"/>
        </w:rPr>
      </w:pPr>
    </w:p>
    <w:p>
      <w:pPr>
        <w:jc w:val="both"/>
        <w:ind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$4.1 million, or 3.7%, for the thirteen weeks ended November 25, 2023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26, 2022. Additionally, gross profit of $115.1 million, or 37.3% of net sales, for the thirteen weeks ended November 25, 2023 increased 40 basis points from 36.9% of net sales for the thirteen weeks ended November 26, 2022. The increase in gross profit margin was primarily driven by lower ingredient and packaging costs.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firstLine="23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$4.8 million, or 8.2%, for the thirteen weeks ended November 25, 2023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November 26, 2022 due to the following:</w:t>
      </w:r>
    </w:p>
    <w:p>
      <w:pPr>
        <w:spacing w:after="0" w:line="184" w:lineRule="exact"/>
        <w:rPr>
          <w:sz w:val="20"/>
          <w:szCs w:val="20"/>
          <w:color w:val="auto"/>
        </w:rPr>
      </w:pPr>
    </w:p>
    <w:p>
      <w:pPr>
        <w:ind w:left="660" w:right="2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$3.5 million, or 12.1%, for the thirteen weeks ended November 25,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November 26, 2022, due to expenses related to growth initiatives.</w:t>
      </w:r>
    </w:p>
    <w:p>
      <w:pPr>
        <w:spacing w:after="0" w:line="50"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$1.3 million, or 5.1%, for the thirteen weeks ended November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the thirteen weeks ended November 26, 2022. The increase in general and administrative expenses was primarily attributable to $0.7 million of stock based compensation expense, $0.4 million of executive transition costs, and other investments in organizational capabilities.</w:t>
      </w:r>
    </w:p>
    <w:p>
      <w:pPr>
        <w:spacing w:after="0" w:line="6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was $4.4 million for the thirteen weeks ended November 25, 2023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 million for the thirteen weeks ended November 26, 2022, respectively.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by $1.0 million for the thirteen weeks ended November 25, 2023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26, 2022, due to higher cash balances, the increase in interest rates, and other sources of interest income.</w:t>
      </w:r>
    </w:p>
    <w:p>
      <w:pPr>
        <w:spacing w:after="0" w:line="182" w:lineRule="exact"/>
        <w:rPr>
          <w:sz w:val="20"/>
          <w:szCs w:val="20"/>
          <w:color w:val="auto"/>
        </w:rPr>
      </w:pPr>
    </w:p>
    <w:p>
      <w:pPr>
        <w:jc w:val="both"/>
        <w:ind w:firstLine="2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$1.0 million for the thirteen weeks ended November 25, 2023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26, 2022, primarily due to the effect of principal payments reducing the outstanding balance of the Term Facility (as defined below) to $275.0 million as of November 25, 2023, from $400.0 million as of November 26, 2022. The reduction in the outstanding balance of the Term Facility was partially offset by the increase in interest rates on our Term Facility to 8.0% as of November 25, 2023 from 7.7% as of November 26, 2022. Additionally, interest expense related to the amortization of deferred financing costs and debt discount decreased $0.1 million for the thirteen weeks ended November 25, 2023 compared to the thirteen weeks ended November 26, 2022.</w:t>
      </w:r>
    </w:p>
    <w:p>
      <w:pPr>
        <w:spacing w:after="0" w:line="209"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foreign currency transactions. </w:t>
      </w:r>
      <w:r>
        <w:rPr>
          <w:rFonts w:ascii="Times New Roman" w:cs="Times New Roman" w:eastAsia="Times New Roman" w:hAnsi="Times New Roman"/>
          <w:sz w:val="18"/>
          <w:szCs w:val="18"/>
          <w:color w:val="auto"/>
        </w:rPr>
        <w:t>Foreign currency transactions resulted in a gain of $0.2 million and a gain of $0.1 million for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25, 2023 and November 26, 2022, respectively. The variance is attributable to changes in foreign currency rates related to our international operations.</w:t>
      </w:r>
    </w:p>
    <w:p>
      <w:pPr>
        <w:spacing w:after="0" w:line="198"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$1.9 million for the thirteen weeks ended November 25, 2023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26, 2022. The increase in our income tax expense was primarily driven by higher income from operations and changes in permanent differences.</w:t>
      </w:r>
    </w:p>
    <w:p>
      <w:pPr>
        <w:spacing w:after="0" w:line="182"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$35.6 million for the thirteen weeks ended November 25, 2023, a decrease of $0.3 million compared to net income of $35.9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thirteen weeks ended November 26, 2022. Net income benefited by higher gross profit, higher interest income, and lower interest expense, partially offset by growth in marketing expenses, higher stock based compensation expenses, executive transition costs, and higher income tax expense.</w:t>
      </w:r>
    </w:p>
    <w:p>
      <w:pPr>
        <w:spacing w:after="0" w:line="198" w:lineRule="exact"/>
        <w:rPr>
          <w:sz w:val="20"/>
          <w:szCs w:val="20"/>
          <w:color w:val="auto"/>
        </w:rPr>
      </w:pPr>
    </w:p>
    <w:p>
      <w:pPr>
        <w:jc w:val="both"/>
        <w:ind w:right="20"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$1.2 million, or 2.0% for the thirteen weeks ended November 25, 2023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November 26, 2022, driven primarily by higher gross profit, partially offset by growth in marketing expenses. For a reconciliation of Adjusted EBITDA to its most directly comparable GAAP measure, see “Reconciliation of EBITDA and Adjusted EBITDA”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weeks ended November 25, 2023 and November 26, 2022:</w:t>
      </w:r>
    </w:p>
    <w:p>
      <w:pPr>
        <w:spacing w:after="0" w:line="234" w:lineRule="exact"/>
        <w:rPr>
          <w:sz w:val="20"/>
          <w:szCs w:val="20"/>
          <w:color w:val="auto"/>
        </w:rPr>
      </w:pPr>
    </w:p>
    <w:tbl>
      <w:tblPr>
        <w:tblLayout w:type="fixed"/>
        <w:tblInd w:w="210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1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November 25, 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November 26, 2022</w:t>
            </w:r>
          </w:p>
        </w:tc>
      </w:tr>
      <w:tr>
        <w:trPr>
          <w:trHeight w:val="25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35,860</w:t>
            </w:r>
          </w:p>
        </w:tc>
      </w:tr>
      <w:tr>
        <w:trPr>
          <w:trHeight w:val="26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73"/>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r>
      <w:tr>
        <w:trPr>
          <w:trHeight w:val="26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9,696</w:t>
            </w:r>
          </w:p>
        </w:tc>
      </w:tr>
      <w:tr>
        <w:trPr>
          <w:trHeight w:val="27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r>
      <w:tr>
        <w:trPr>
          <w:trHeight w:val="25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57,556</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r>
      <w:tr>
        <w:trPr>
          <w:trHeight w:val="26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60,766</w:t>
            </w:r>
          </w:p>
        </w:tc>
      </w:tr>
      <w:tr>
        <w:trPr>
          <w:trHeight w:val="21"/>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2260" w:hanging="142"/>
        <w:spacing w:after="0"/>
        <w:tabs>
          <w:tab w:leader="none" w:pos="226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79"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244"/>
        <w:spacing w:after="0" w:line="245" w:lineRule="auto"/>
        <w:rPr>
          <w:sz w:val="20"/>
          <w:szCs w:val="20"/>
          <w:color w:val="auto"/>
        </w:rPr>
      </w:pPr>
      <w:r>
        <w:rPr>
          <w:rFonts w:ascii="Times New Roman" w:cs="Times New Roman" w:eastAsia="Times New Roman" w:hAnsi="Times New Roman"/>
          <w:sz w:val="18"/>
          <w:szCs w:val="18"/>
          <w:color w:val="auto"/>
        </w:rPr>
        <w:t>We had $121.4 million in cash as of November 25, 2023.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8"/>
          <w:szCs w:val="18"/>
          <w:color w:val="auto"/>
        </w:rPr>
        <w:t>On July 7, 2017, we (through certain of our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89" w:lineRule="exact"/>
        <w:rPr>
          <w:sz w:val="20"/>
          <w:szCs w:val="20"/>
          <w:color w:val="auto"/>
        </w:rPr>
      </w:pPr>
    </w:p>
    <w:p>
      <w:pPr>
        <w:jc w:val="both"/>
        <w:ind w:firstLine="220"/>
        <w:spacing w:after="0" w:line="239"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2023 Repricing Amendment, the interest rate per annum for the Initial Term Loans is based on either:</w:t>
      </w:r>
    </w:p>
    <w:p>
      <w:pPr>
        <w:spacing w:after="0" w:line="90" w:lineRule="exact"/>
        <w:rPr>
          <w:sz w:val="20"/>
          <w:szCs w:val="20"/>
          <w:color w:val="auto"/>
        </w:rPr>
      </w:pPr>
    </w:p>
    <w:p>
      <w:pPr>
        <w:jc w:val="both"/>
        <w:ind w:left="660" w:hanging="328"/>
        <w:spacing w:after="0" w:line="266"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right="20" w:hanging="328"/>
        <w:spacing w:after="0" w:line="282" w:lineRule="auto"/>
        <w:tabs>
          <w:tab w:leader="none" w:pos="6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75"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November 25, 2023 and August 26, 2023, respectively.</w:t>
      </w:r>
    </w:p>
    <w:p>
      <w:pPr>
        <w:spacing w:after="0" w:line="216" w:lineRule="exact"/>
        <w:rPr>
          <w:sz w:val="20"/>
          <w:szCs w:val="20"/>
          <w:color w:val="auto"/>
        </w:rPr>
      </w:pPr>
    </w:p>
    <w:p>
      <w:pPr>
        <w:jc w:val="both"/>
        <w:ind w:firstLine="205"/>
        <w:spacing w:after="0" w:line="266" w:lineRule="auto"/>
        <w:rPr>
          <w:sz w:val="20"/>
          <w:szCs w:val="20"/>
          <w:color w:val="auto"/>
        </w:rPr>
      </w:pPr>
      <w:r>
        <w:rPr>
          <w:rFonts w:ascii="Times New Roman" w:cs="Times New Roman" w:eastAsia="Times New Roman" w:hAnsi="Times New Roman"/>
          <w:sz w:val="18"/>
          <w:szCs w:val="18"/>
          <w:color w:val="auto"/>
        </w:rPr>
        <w:t>At November 25, 2023, the outstanding balance of the Term Facility was $275.0 million. We are not required to make principal payments on the Term Facility over the twelve months following the period ended November 25, 2023. The outstanding balance of the Term Facility is due upon its maturity in March 2027. As of November 25, 2023,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had approved the addition of $50.0 million to our stock repurchase program, resulting in authorized stock repurchases of up to an aggregate of $150.0 million. The Company did not repurchase any shares of common stock during the thirteen weeks ended November 25, 2023. During the thirteen weeks ended November 26, 2022, the Company repurchased 546,346 shares of common stock at an average share price of $30.11 per share.</w:t>
      </w:r>
    </w:p>
    <w:p>
      <w:pPr>
        <w:spacing w:after="0" w:line="207" w:lineRule="exact"/>
        <w:rPr>
          <w:sz w:val="20"/>
          <w:szCs w:val="20"/>
          <w:color w:val="auto"/>
        </w:rPr>
      </w:pPr>
    </w:p>
    <w:p>
      <w:pPr>
        <w:jc w:val="both"/>
        <w:ind w:firstLine="179"/>
        <w:spacing w:after="0" w:line="266" w:lineRule="auto"/>
        <w:rPr>
          <w:sz w:val="20"/>
          <w:szCs w:val="20"/>
          <w:color w:val="auto"/>
        </w:rPr>
      </w:pPr>
      <w:r>
        <w:rPr>
          <w:rFonts w:ascii="Times New Roman" w:cs="Times New Roman" w:eastAsia="Times New Roman" w:hAnsi="Times New Roman"/>
          <w:sz w:val="18"/>
          <w:szCs w:val="18"/>
          <w:color w:val="auto"/>
        </w:rPr>
        <w:t>As of November 25, 2023, approximately $71.5 million remained available for repurchases under our $150.0 million stock repurchase program. Refer to Note 10, Stockholders’ Equity, of the Notes to Unaudited Consolidated Financial Statements in this Report for additional information related to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color w:val="auto"/>
              </w:rPr>
              <w:t>Thirteen Weeks Ended</w:t>
            </w:r>
          </w:p>
        </w:tc>
      </w:tr>
      <w:tr>
        <w:trPr>
          <w:trHeight w:val="237"/>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November 25, 2023</w:t>
            </w:r>
          </w:p>
        </w:tc>
        <w:tc>
          <w:tcPr>
            <w:tcW w:w="1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November 26, 2022</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(20,761)</w:t>
            </w:r>
          </w:p>
        </w:tc>
      </w:tr>
    </w:tbl>
    <w:p>
      <w:pPr>
        <w:spacing w:after="0" w:line="304" w:lineRule="exact"/>
        <w:rPr>
          <w:sz w:val="20"/>
          <w:szCs w:val="20"/>
          <w:color w:val="auto"/>
        </w:rPr>
      </w:pPr>
    </w:p>
    <w:p>
      <w:pPr>
        <w:jc w:val="both"/>
        <w:ind w:firstLine="20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$38.8 million to $47.5 million for the thirteen weeks ended November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$8.7 million for the thirteen weeks ended November 26, 2022. The increase in cash provided by operating activities was primarily attributable changes in working capital for the thirteen weeks ended November 25, 2023 as compared to the thirteen weeks ended November 26, 2022. Changes in working capital, comprised of changes in accounts receivable, net, inventories, prepaid expenses, accounts payable, and accrued expenses and other current liabilities, which are driven by the timing of payments and receipts and seasonal building of inventory, consumed cash of $7.7 million in the thirteen weeks ended November 25, 2023 compared to $47.6 million of cash consumed in the thirteen weeks ended November 26, 2022. These increases in cash provided by operating activities were partially offset by the $0.7 million decrease in income from operations to $51.8 million for the thirteen weeks ended November 25, 2023 as compared to $52.5 million for the thirteen weeks ended November 26, 2022. Additionally, cash paid for interest was $2.1 million</w:t>
      </w:r>
    </w:p>
    <w:p>
      <w:pPr>
        <w:sectPr>
          <w:pgSz w:w="11900" w:h="16838" w:orient="portrait"/>
          <w:cols w:equalWidth="0" w:num="1">
            <w:col w:w="11240"/>
          </w:cols>
          <w:pgMar w:left="320" w:top="121" w:right="339" w:bottom="1440" w:gutter="0" w:footer="0" w:header="0"/>
        </w:sect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thirteen weeks ended November 25, 2023, which was a decrease of $4.3 million as compared to the $6.4 million paid for interest in the thirteen weeks ended November 26, 2022. Interest income increased by $1.0 million for the thirteen weeks ended November 25, 2023 compared to the thirteen weeks ended November 26, 2022, due to higher cash balances, the increase in interest rates, and other sources of interest income. In addition, cash paid for taxes increased $0.6 million.</w:t>
      </w:r>
    </w:p>
    <w:p>
      <w:pPr>
        <w:spacing w:after="0" w:line="205"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$0.8 million for the thirteen weeks ended November 25, 2023 compared to $1.2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thirteen weeks ended November 26, 2022. Our net cash used in investing activities for the thirteen weeks ended November 25, 2023 primarily comprised $0.7 million of purchases of property and equipment. The $1.2 million of net cash used in investing activities for the thirteen weeks ended November 26, 2022 primarily comprised $1.2 million of purchases of property and equipment.</w:t>
      </w:r>
    </w:p>
    <w:p>
      <w:pPr>
        <w:spacing w:after="0" w:line="207" w:lineRule="exact"/>
        <w:rPr>
          <w:sz w:val="20"/>
          <w:szCs w:val="20"/>
          <w:color w:val="auto"/>
        </w:rPr>
      </w:pPr>
    </w:p>
    <w:p>
      <w:pPr>
        <w:jc w:val="both"/>
        <w:ind w:firstLine="220"/>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$13.1 million for the thirteen weeks ended November 25, 2023 compared to $20.8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November 26, 2022. Net cash used in financing activities for the thirteen weeks ended November 25, 2023 primarily consisted of $10.0 million in principal payments on the Term Facility, and $3.6 million in tax payments related to issuance of restricted stock units and performance stock units, partially offset by $0.6 million of cash proceeds received from the partial repayment of an outstanding note receivable. Net cash used in financing activities for the thirteen weeks ended November 26, 2022 primarily consisted of $16.4 million in repurchases of common stock, $6.5 million in principal payments on the Term Facility, and $2.3 million in tax payments related to issuance of restricted stock units and performance stock units, partially offset by $4.6 million of cash proceeds received from option exercises.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04"/>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 week period ended November 25, 2023.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November 25, 2023,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181"/>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November 25, 2023,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jc w:val="both"/>
        <w:ind w:firstLine="186"/>
        <w:spacing w:after="0" w:line="282" w:lineRule="auto"/>
        <w:rPr>
          <w:sz w:val="20"/>
          <w:szCs w:val="20"/>
          <w:color w:val="auto"/>
        </w:rPr>
      </w:pPr>
      <w:r>
        <w:rPr>
          <w:rFonts w:ascii="Times New Roman" w:cs="Times New Roman" w:eastAsia="Times New Roman" w:hAnsi="Times New Roman"/>
          <w:sz w:val="18"/>
          <w:szCs w:val="18"/>
          <w:color w:val="auto"/>
        </w:rPr>
        <w:t>In the three months ended November 23, 2023,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2"/>
        </w:trPr>
        <w:tc>
          <w:tcPr>
            <w:tcW w:w="960" w:type="dxa"/>
            <w:vAlign w:val="bottom"/>
            <w:tcBorders>
              <w:top w:val="single" w:sz="8" w:color="auto"/>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auto"/>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88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6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888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1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888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3"/>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9"/>
        </w:trPr>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8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9"/>
        </w:trPr>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8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3"/>
        </w:trPr>
        <w:tc>
          <w:tcPr>
            <w:tcW w:w="11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8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9"/>
        </w:trPr>
        <w:tc>
          <w:tcPr>
            <w:tcW w:w="1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8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ind w:left="660" w:right="1720" w:hanging="6"/>
        <w:spacing w:after="0" w:line="281" w:lineRule="auto"/>
        <w:tabs>
          <w:tab w:leader="none" w:pos="175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January 4, 2024</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460"/>
          </w:cols>
          <w:pgMar w:left="320" w:top="121" w:right="11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4, 2024  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2260" w:type="dxa"/>
            <w:vAlign w:val="bottom"/>
            <w:vMerge w:val="restart"/>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2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4, 2024  By:</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Mara</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Mara</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November 25, 2023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4, 2024</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Date: January 4, 2024</w:t>
            </w: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Mara</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w:t>
            </w:r>
          </w:p>
        </w:tc>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Mara</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Roman"/>
      <w:start w:val="1"/>
    </w:lvl>
  </w:abstractNum>
  <w:abstractNum w:abstractNumId="4">
    <w:nsid w:val="66EF438D"/>
    <w:multiLevelType w:val="hybridMultilevel"/>
    <w:lvl w:ilvl="0">
      <w:lvlJc w:val="left"/>
      <w:lvlText w:val="%1."/>
      <w:numFmt w:val="decimal"/>
      <w:start w:val="7"/>
    </w:lvl>
  </w:abstractNum>
  <w:abstractNum w:abstractNumId="5">
    <w:nsid w:val="140E0F76"/>
    <w:multiLevelType w:val="hybridMultilevel"/>
    <w:lvl w:ilvl="0">
      <w:lvlJc w:val="left"/>
      <w:lvlText w:val="%1."/>
      <w:numFmt w:val="decimal"/>
      <w:start w:val="8"/>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lowerRoman"/>
      <w:start w:val="2"/>
    </w:lvl>
  </w:abstractNum>
  <w:abstractNum w:abstractNumId="13">
    <w:nsid w:val="4E6AFB66"/>
    <w:multiLevelType w:val="hybridMultilevel"/>
    <w:lvl w:ilvl="0">
      <w:lvlJc w:val="left"/>
      <w:lvlText w:val="%1"/>
      <w:numFmt w:val="decimal"/>
      <w:start w:val="104"/>
    </w:lvl>
  </w:abstractNum>
  <w:abstractNum w:abstractNumId="14">
    <w:nsid w:val="25E45D3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6">
    <w:nsid w:val="431BD7B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7C83E45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2024-01-04T12:12:50Z</dcterms:created>
  <dcterms:modified xsi:type="dcterms:W3CDTF">2024-01-04T12:12:50Z</dcterms:modified>
</cp:coreProperties>
</file>