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jc w:val="center"/>
        <w:ind w:left="360"/>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144780" cy="19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6215"/>
                    </a:xfrm>
                    <a:prstGeom prst="rect">
                      <a:avLst/>
                    </a:prstGeom>
                    <a:noFill/>
                  </pic:spPr>
                </pic:pic>
              </a:graphicData>
            </a:graphic>
          </wp:anchor>
        </w:drawing>
      </w:r>
    </w:p>
    <w:p>
      <w:pPr>
        <w:jc w:val="both"/>
        <w:ind w:left="360" w:right="38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5494655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-1684020</wp:posOffset>
            </wp:positionH>
            <wp:positionV relativeFrom="paragraph">
              <wp:posOffset>20955</wp:posOffset>
            </wp:positionV>
            <wp:extent cx="7323455" cy="4928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82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40" w:space="300"/>
            <w:col w:w="888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HEALEY JAMES E</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GREENWICH OFFICE PARK, 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Conyers Park Acquisition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CPAA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6" w:lineRule="exact"/>
        <w:rPr>
          <w:sz w:val="24"/>
          <w:szCs w:val="24"/>
          <w:color w:val="auto"/>
        </w:rPr>
      </w:pPr>
    </w:p>
    <w:p>
      <w:pPr>
        <w:sectPr>
          <w:pgSz w:w="11900" w:h="16838" w:orient="portrait"/>
          <w:cols w:equalWidth="0" w:num="3">
            <w:col w:w="3480" w:space="580"/>
            <w:col w:w="3520" w:space="457"/>
            <w:col w:w="3483"/>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GREENWICH</w:t>
            </w:r>
          </w:p>
        </w:tc>
        <w:tc>
          <w:tcPr>
            <w:tcW w:w="940" w:type="dxa"/>
            <w:vAlign w:val="bottom"/>
          </w:tcPr>
          <w:p>
            <w:pPr>
              <w:ind w:left="120"/>
              <w:spacing w:after="0"/>
              <w:rPr>
                <w:sz w:val="20"/>
                <w:szCs w:val="20"/>
                <w:color w:val="auto"/>
              </w:rPr>
            </w:pPr>
            <w:r>
              <w:rPr>
                <w:rFonts w:ascii="Arial" w:cs="Arial" w:eastAsia="Arial" w:hAnsi="Arial"/>
                <w:sz w:val="17"/>
                <w:szCs w:val="17"/>
                <w:color w:val="0000FF"/>
              </w:rPr>
              <w:t>CT</w:t>
            </w:r>
          </w:p>
        </w:tc>
        <w:tc>
          <w:tcPr>
            <w:tcW w:w="1680" w:type="dxa"/>
            <w:vAlign w:val="bottom"/>
          </w:tcPr>
          <w:p>
            <w:pPr>
              <w:ind w:left="440"/>
              <w:spacing w:after="0"/>
              <w:rPr>
                <w:sz w:val="20"/>
                <w:szCs w:val="20"/>
                <w:color w:val="auto"/>
              </w:rPr>
            </w:pPr>
            <w:r>
              <w:rPr>
                <w:rFonts w:ascii="Arial" w:cs="Arial" w:eastAsia="Arial" w:hAnsi="Arial"/>
                <w:sz w:val="17"/>
                <w:szCs w:val="17"/>
                <w:color w:val="0000FF"/>
              </w:rPr>
              <w:t>06831</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07/07/2017</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00" w:type="dxa"/>
            <w:vAlign w:val="bottom"/>
          </w:tcPr>
          <w:p>
            <w:pPr>
              <w:ind w:left="200"/>
              <w:spacing w:after="0"/>
              <w:rPr>
                <w:sz w:val="20"/>
                <w:szCs w:val="20"/>
                <w:color w:val="auto"/>
              </w:rPr>
            </w:pPr>
            <w:r>
              <w:rPr>
                <w:rFonts w:ascii="Arial" w:cs="Arial" w:eastAsia="Arial" w:hAnsi="Arial"/>
                <w:sz w:val="17"/>
                <w:szCs w:val="17"/>
                <w:color w:val="0000FF"/>
                <w:w w:val="89"/>
              </w:rPr>
              <w:t>5,000</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60" w:type="dxa"/>
            <w:vAlign w:val="bottom"/>
          </w:tcPr>
          <w:p>
            <w:pPr>
              <w:jc w:val="right"/>
              <w:ind w:right="57"/>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700"/>
              <w:spacing w:after="0"/>
              <w:rPr>
                <w:sz w:val="20"/>
                <w:szCs w:val="20"/>
                <w:color w:val="auto"/>
              </w:rPr>
            </w:pPr>
            <w:r>
              <w:rPr>
                <w:rFonts w:ascii="Arial" w:cs="Arial" w:eastAsia="Arial" w:hAnsi="Arial"/>
                <w:sz w:val="15"/>
                <w:szCs w:val="15"/>
                <w:color w:val="0000FF"/>
                <w:w w:val="71"/>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jc w:val="right"/>
              <w:ind w:right="5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6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25,000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07/07/2017</w:t>
            </w:r>
          </w:p>
        </w:tc>
        <w:tc>
          <w:tcPr>
            <w:tcW w:w="1180" w:type="dxa"/>
            <w:vAlign w:val="bottom"/>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3"/>
                <w:szCs w:val="13"/>
                <w:color w:val="0000FF"/>
              </w:rPr>
              <w:t>D</w:t>
            </w:r>
          </w:p>
        </w:tc>
        <w:tc>
          <w:tcPr>
            <w:tcW w:w="960" w:type="dxa"/>
            <w:vAlign w:val="bottom"/>
          </w:tcPr>
          <w:p>
            <w:pPr>
              <w:ind w:left="480"/>
              <w:spacing w:after="0" w:line="148" w:lineRule="exact"/>
              <w:rPr>
                <w:sz w:val="20"/>
                <w:szCs w:val="20"/>
                <w:color w:val="auto"/>
              </w:rPr>
            </w:pPr>
            <w:r>
              <w:rPr>
                <w:rFonts w:ascii="Arial" w:cs="Arial" w:eastAsia="Arial" w:hAnsi="Arial"/>
                <w:sz w:val="13"/>
                <w:szCs w:val="13"/>
                <w:color w:val="0000FF"/>
              </w:rPr>
              <w:t>25,000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6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0" w:type="dxa"/>
            <w:vAlign w:val="bottom"/>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connection with the merger of Conyers Park Acquisition Corp. (the "Issuer") with and into a subsidiary of The Simply Good Foods Company ("SGFC"), and a series of related transactions (collectively, the "Business Combination"), the Reporting Person exchanged his Class A common stock, par value $0.0001 per share, and his Class B common stock, par value $0.0001 per share, of the Issuer and for common stock, par value $0.01 per share, of SGFC. Upon consummation of the Business Combination, the Reporting Person will no longer be subject to the reporting requirements of Section 16 with respect to the Issuer's securities.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Power of Attorney</w:t>
      </w:r>
    </w:p>
    <w:p>
      <w:pPr>
        <w:sectPr>
          <w:pgSz w:w="11900" w:h="16838" w:orient="portrait"/>
          <w:cols w:equalWidth="0" w:num="1">
            <w:col w:w="11520"/>
          </w:cols>
          <w:pgMar w:left="240" w:top="225" w:right="139" w:bottom="144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David J. West,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6350</wp:posOffset>
            </wp:positionV>
            <wp:extent cx="1354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 for James E. Healey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0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0000FF"/>
        </w:rPr>
        <w:t>07/11/2017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00" w:space="1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KNOW ALL BY THESE PRESENTS, that the undersigned hereby makes, constitutes and appoints Brian K. Ratzan and David J. West, signing singly, the undersigned's true and lawful attorneys-in-fact, with full power and authority as hereinafter described on behalf of and in the name, place and stead of the undersigned to:</w:t>
      </w:r>
    </w:p>
    <w:p>
      <w:pPr>
        <w:spacing w:after="0" w:line="181" w:lineRule="exact"/>
        <w:rPr>
          <w:sz w:val="20"/>
          <w:szCs w:val="20"/>
          <w:color w:val="auto"/>
        </w:rPr>
      </w:pPr>
    </w:p>
    <w:p>
      <w:pPr>
        <w:jc w:val="both"/>
        <w:ind w:left="1300" w:hanging="648"/>
        <w:spacing w:after="0" w:line="25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officer or beneficial owner of shares of common stock of Conyers Park Acquisition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any Forms 3, 4, and 5 and any amendments, supplements or exhibits thereto required to be filed by the undersigned under Section 16(a) of the Exchange Act;</w:t>
      </w:r>
    </w:p>
    <w:p>
      <w:pPr>
        <w:spacing w:after="0" w:line="189" w:lineRule="exact"/>
        <w:rPr>
          <w:rFonts w:ascii="Arial" w:cs="Arial" w:eastAsia="Arial" w:hAnsi="Arial"/>
          <w:sz w:val="18"/>
          <w:szCs w:val="18"/>
          <w:color w:val="auto"/>
        </w:rPr>
      </w:pPr>
    </w:p>
    <w:p>
      <w:pPr>
        <w:jc w:val="both"/>
        <w:ind w:left="1300" w:hanging="648"/>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Schedule 13D, Schedule 13G, Form 3, 4, or 5 and timely file such forms with the United States Securities and Exchange Commission and any stock exchange on which the Common Stock of the Company is then listed; and</w:t>
      </w:r>
    </w:p>
    <w:p>
      <w:pPr>
        <w:spacing w:after="0" w:line="181" w:lineRule="exact"/>
        <w:rPr>
          <w:rFonts w:ascii="Arial" w:cs="Arial" w:eastAsia="Arial" w:hAnsi="Arial"/>
          <w:sz w:val="18"/>
          <w:szCs w:val="18"/>
          <w:color w:val="auto"/>
        </w:rPr>
      </w:pPr>
    </w:p>
    <w:p>
      <w:pPr>
        <w:jc w:val="both"/>
        <w:ind w:left="1300" w:hanging="648"/>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17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reports or schedules under Section 13 or Section 16 of the Exchange Act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440690</wp:posOffset>
            </wp:positionV>
            <wp:extent cx="7247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July 2017.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Healey</w:t>
            </w:r>
          </w:p>
        </w:tc>
      </w:tr>
      <w:tr>
        <w:trPr>
          <w:trHeight w:val="200"/>
        </w:trPr>
        <w:tc>
          <w:tcPr>
            <w:tcW w:w="7440" w:type="dxa"/>
            <w:vAlign w:val="bottom"/>
          </w:tcPr>
          <w:p>
            <w:pPr>
              <w:ind w:left="686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James E. Healey</w:t>
            </w:r>
          </w:p>
        </w:tc>
      </w:tr>
      <w:tr>
        <w:trPr>
          <w:trHeight w:val="229"/>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651"/>
        </w:trPr>
        <w:tc>
          <w:tcPr>
            <w:tcW w:w="7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9801" TargetMode="External"/><Relationship Id="rId13" Type="http://schemas.openxmlformats.org/officeDocument/2006/relationships/hyperlink" Target="http://www.sec.gov/cgi-bin/browse-edgar?action=getcompany&amp;CIK=0001672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2019-12-24T04:55:28Z</dcterms:created>
  <dcterms:modified xsi:type="dcterms:W3CDTF">2019-12-24T04:55:28Z</dcterms:modified>
</cp:coreProperties>
</file>