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ind w:left="3200"/>
        <w:spacing w:after="0"/>
        <w:rPr>
          <w:sz w:val="20"/>
          <w:szCs w:val="20"/>
          <w:color w:val="auto"/>
        </w:rPr>
      </w:pPr>
      <w:r>
        <w:rPr>
          <w:rFonts w:ascii="Arial" w:cs="Arial" w:eastAsia="Arial" w:hAnsi="Arial"/>
          <w:sz w:val="18"/>
          <w:szCs w:val="18"/>
          <w:color w:val="auto"/>
        </w:rPr>
        <w:t>______________________________________________________</w:t>
      </w:r>
    </w:p>
    <w:p>
      <w:pPr>
        <w:spacing w:after="0" w:line="137"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Current Report</w:t>
      </w:r>
    </w:p>
    <w:p>
      <w:pPr>
        <w:spacing w:after="0" w:line="26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23"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January 21, 2021</w:t>
      </w:r>
    </w:p>
    <w:p>
      <w:pPr>
        <w:spacing w:after="0" w:line="1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The Simply Good Foods Company</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73025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54" w:lineRule="exact"/>
        <w:rPr>
          <w:sz w:val="24"/>
          <w:szCs w:val="24"/>
          <w:color w:val="auto"/>
        </w:rPr>
      </w:pPr>
    </w:p>
    <w:tbl>
      <w:tblPr>
        <w:tblLayout w:type="fixed"/>
        <w:tblInd w:w="1240" w:type="dxa"/>
        <w:tblCellMar>
          <w:top w:w="0" w:type="dxa"/>
          <w:left w:w="0" w:type="dxa"/>
          <w:bottom w:w="0" w:type="dxa"/>
          <w:right w:w="0" w:type="dxa"/>
        </w:tblCellMar>
      </w:tblPr>
      <w:tr>
        <w:trPr>
          <w:trHeight w:val="241"/>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40" w:type="dxa"/>
            <w:vAlign w:val="bottom"/>
          </w:tcPr>
          <w:p>
            <w:pPr>
              <w:spacing w:after="0"/>
              <w:rPr>
                <w:sz w:val="20"/>
                <w:szCs w:val="20"/>
                <w:color w:val="auto"/>
              </w:rPr>
            </w:pPr>
          </w:p>
        </w:tc>
        <w:tc>
          <w:tcPr>
            <w:tcW w:w="28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001-38115</w:t>
            </w:r>
          </w:p>
        </w:tc>
        <w:tc>
          <w:tcPr>
            <w:tcW w:w="12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82-1038121</w:t>
            </w:r>
          </w:p>
        </w:tc>
      </w:tr>
      <w:tr>
        <w:trPr>
          <w:trHeight w:val="242"/>
        </w:trPr>
        <w:tc>
          <w:tcPr>
            <w:tcW w:w="29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(State or other jurisdiction of</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44"/>
        </w:trPr>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incorporation or organization)</w:t>
            </w: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Identification Number)</w:t>
            </w:r>
          </w:p>
        </w:tc>
      </w:tr>
    </w:tbl>
    <w:p>
      <w:pPr>
        <w:spacing w:after="0" w:line="33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1225 17th Street, Suite 1000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Denver, CO 80202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(Address of principal executive offices and zip code)</w:t>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(303) 633-2840</w:t>
      </w:r>
    </w:p>
    <w:p>
      <w:pPr>
        <w:spacing w:after="0" w:line="200" w:lineRule="exact"/>
        <w:rPr>
          <w:sz w:val="24"/>
          <w:szCs w:val="24"/>
          <w:color w:val="auto"/>
        </w:rPr>
      </w:pPr>
    </w:p>
    <w:p>
      <w:pPr>
        <w:spacing w:after="0" w:line="29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51"/>
        </w:trPr>
        <w:tc>
          <w:tcPr>
            <w:tcW w:w="1020" w:type="dxa"/>
            <w:vAlign w:val="bottom"/>
          </w:tcPr>
          <w:p>
            <w:pPr>
              <w:spacing w:after="0"/>
              <w:rPr>
                <w:sz w:val="24"/>
                <w:szCs w:val="24"/>
                <w:color w:val="auto"/>
              </w:rPr>
            </w:pPr>
          </w:p>
        </w:tc>
        <w:tc>
          <w:tcPr>
            <w:tcW w:w="32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7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Trading symbol</w:t>
            </w: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1020" w:type="dxa"/>
            <w:vAlign w:val="bottom"/>
          </w:tcPr>
          <w:p>
            <w:pPr>
              <w:spacing w:after="0"/>
              <w:rPr>
                <w:sz w:val="19"/>
                <w:szCs w:val="19"/>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4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SMPL</w:t>
            </w:r>
          </w:p>
        </w:tc>
        <w:tc>
          <w:tcPr>
            <w:tcW w:w="120" w:type="dxa"/>
            <w:vAlign w:val="bottom"/>
          </w:tcPr>
          <w:p>
            <w:pPr>
              <w:spacing w:after="0"/>
              <w:rPr>
                <w:sz w:val="19"/>
                <w:szCs w:val="19"/>
                <w:color w:val="auto"/>
              </w:rPr>
            </w:pPr>
          </w:p>
        </w:tc>
        <w:tc>
          <w:tcPr>
            <w:tcW w:w="3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09"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30" w:right="4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5.07 Submission of Matters to a Vote of Security Holders.</w:t>
      </w:r>
    </w:p>
    <w:p>
      <w:pPr>
        <w:spacing w:after="0" w:line="25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January 21, 2021, The Simply Good Foods Company (the “Company”) held its 2021 Annual Meeting of Stockholders (the “Annual Meeting”) in virtual format only, via the internet, with no physical in-person meeting. At the Annual Meeting, stockholders present in person, including by means of remote communication, or represented by proxy voted on the matters described below. The final voting results of the matters submitted to a vote of the stockholders were as follows:</w:t>
      </w:r>
    </w:p>
    <w:p>
      <w:pPr>
        <w:spacing w:after="0" w:line="21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Election of four Class I director nominees to serve until the 2022 annual meeting of stockholders and thereafter until their successors are duly elected and qualified:</w:t>
      </w:r>
    </w:p>
    <w:p>
      <w:pPr>
        <w:spacing w:after="0" w:line="234" w:lineRule="exact"/>
        <w:rPr>
          <w:sz w:val="20"/>
          <w:szCs w:val="20"/>
          <w:color w:val="auto"/>
        </w:rPr>
      </w:pPr>
    </w:p>
    <w:tbl>
      <w:tblPr>
        <w:tblLayout w:type="fixed"/>
        <w:tblInd w:w="1940" w:type="dxa"/>
        <w:tblCellMar>
          <w:top w:w="0" w:type="dxa"/>
          <w:left w:w="0" w:type="dxa"/>
          <w:bottom w:w="0" w:type="dxa"/>
          <w:right w:w="0" w:type="dxa"/>
        </w:tblCellMar>
      </w:tblPr>
      <w:tr>
        <w:trPr>
          <w:trHeight w:val="234"/>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Name of Nominee</w:t>
            </w:r>
          </w:p>
        </w:tc>
        <w:tc>
          <w:tcPr>
            <w:tcW w:w="1880" w:type="dxa"/>
            <w:vAlign w:val="bottom"/>
            <w:gridSpan w:val="2"/>
          </w:tcPr>
          <w:p>
            <w:pPr>
              <w:ind w:left="720"/>
              <w:spacing w:after="0"/>
              <w:rPr>
                <w:sz w:val="20"/>
                <w:szCs w:val="20"/>
                <w:color w:val="auto"/>
              </w:rPr>
            </w:pPr>
            <w:r>
              <w:rPr>
                <w:rFonts w:ascii="Arial" w:cs="Arial" w:eastAsia="Arial" w:hAnsi="Arial"/>
                <w:sz w:val="18"/>
                <w:szCs w:val="18"/>
                <w:b w:val="1"/>
                <w:bCs w:val="1"/>
                <w:color w:val="auto"/>
              </w:rPr>
              <w:t>For</w:t>
            </w:r>
          </w:p>
        </w:tc>
        <w:tc>
          <w:tcPr>
            <w:tcW w:w="1860" w:type="dxa"/>
            <w:vAlign w:val="bottom"/>
            <w:gridSpan w:val="2"/>
          </w:tcPr>
          <w:p>
            <w:pPr>
              <w:ind w:left="500"/>
              <w:spacing w:after="0"/>
              <w:rPr>
                <w:sz w:val="20"/>
                <w:szCs w:val="20"/>
                <w:color w:val="auto"/>
              </w:rPr>
            </w:pPr>
            <w:r>
              <w:rPr>
                <w:rFonts w:ascii="Arial" w:cs="Arial" w:eastAsia="Arial" w:hAnsi="Arial"/>
                <w:sz w:val="18"/>
                <w:szCs w:val="18"/>
                <w:b w:val="1"/>
                <w:bCs w:val="1"/>
                <w:color w:val="auto"/>
              </w:rPr>
              <w:t>Withheld</w:t>
            </w:r>
          </w:p>
        </w:tc>
        <w:tc>
          <w:tcPr>
            <w:tcW w:w="1760" w:type="dxa"/>
            <w:vAlign w:val="bottom"/>
          </w:tcPr>
          <w:p>
            <w:pPr>
              <w:jc w:val="right"/>
              <w:ind w:right="90"/>
              <w:spacing w:after="0"/>
              <w:rPr>
                <w:sz w:val="20"/>
                <w:szCs w:val="20"/>
                <w:color w:val="auto"/>
              </w:rPr>
            </w:pPr>
            <w:r>
              <w:rPr>
                <w:rFonts w:ascii="Arial" w:cs="Arial" w:eastAsia="Arial" w:hAnsi="Arial"/>
                <w:sz w:val="18"/>
                <w:szCs w:val="18"/>
                <w:b w:val="1"/>
                <w:bCs w:val="1"/>
                <w:color w:val="auto"/>
              </w:rPr>
              <w:t>Broker Non-Votes</w:t>
            </w:r>
          </w:p>
        </w:tc>
      </w:tr>
      <w:tr>
        <w:trPr>
          <w:trHeight w:val="41"/>
        </w:trPr>
        <w:tc>
          <w:tcPr>
            <w:tcW w:w="1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24"/>
        </w:trPr>
        <w:tc>
          <w:tcPr>
            <w:tcW w:w="1740" w:type="dxa"/>
            <w:vAlign w:val="bottom"/>
          </w:tcPr>
          <w:p>
            <w:pPr>
              <w:spacing w:after="0"/>
              <w:rPr>
                <w:sz w:val="20"/>
                <w:szCs w:val="20"/>
                <w:color w:val="auto"/>
              </w:rPr>
            </w:pPr>
            <w:r>
              <w:rPr>
                <w:rFonts w:ascii="Arial" w:cs="Arial" w:eastAsia="Arial" w:hAnsi="Arial"/>
                <w:sz w:val="18"/>
                <w:szCs w:val="18"/>
                <w:color w:val="auto"/>
                <w:w w:val="93"/>
              </w:rPr>
              <w:t>Robert G. Montgomery</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88,207,752</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307,499</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2,398,024</w:t>
            </w:r>
          </w:p>
        </w:tc>
      </w:tr>
      <w:tr>
        <w:trPr>
          <w:trHeight w:val="256"/>
        </w:trPr>
        <w:tc>
          <w:tcPr>
            <w:tcW w:w="1880" w:type="dxa"/>
            <w:vAlign w:val="bottom"/>
            <w:gridSpan w:val="2"/>
          </w:tcPr>
          <w:p>
            <w:pPr>
              <w:spacing w:after="0"/>
              <w:rPr>
                <w:sz w:val="20"/>
                <w:szCs w:val="20"/>
                <w:color w:val="auto"/>
              </w:rPr>
            </w:pPr>
            <w:r>
              <w:rPr>
                <w:rFonts w:ascii="Arial" w:cs="Arial" w:eastAsia="Arial" w:hAnsi="Arial"/>
                <w:sz w:val="18"/>
                <w:szCs w:val="18"/>
                <w:color w:val="auto"/>
              </w:rPr>
              <w:t>Joseph E. Scalzo</w:t>
            </w:r>
          </w:p>
        </w:tc>
        <w:tc>
          <w:tcPr>
            <w:tcW w:w="1740" w:type="dxa"/>
            <w:vAlign w:val="bottom"/>
          </w:tcPr>
          <w:p>
            <w:pPr>
              <w:jc w:val="right"/>
              <w:spacing w:after="0"/>
              <w:rPr>
                <w:sz w:val="20"/>
                <w:szCs w:val="20"/>
                <w:color w:val="auto"/>
              </w:rPr>
            </w:pPr>
            <w:r>
              <w:rPr>
                <w:rFonts w:ascii="Arial" w:cs="Arial" w:eastAsia="Arial" w:hAnsi="Arial"/>
                <w:sz w:val="18"/>
                <w:szCs w:val="18"/>
                <w:color w:val="auto"/>
              </w:rPr>
              <w:t>88,200,337</w:t>
            </w: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314,914</w:t>
            </w:r>
          </w:p>
        </w:tc>
        <w:tc>
          <w:tcPr>
            <w:tcW w:w="1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2,398,024</w:t>
            </w:r>
          </w:p>
        </w:tc>
      </w:tr>
      <w:tr>
        <w:trPr>
          <w:trHeight w:val="270"/>
        </w:trPr>
        <w:tc>
          <w:tcPr>
            <w:tcW w:w="1880" w:type="dxa"/>
            <w:vAlign w:val="bottom"/>
            <w:gridSpan w:val="2"/>
          </w:tcPr>
          <w:p>
            <w:pPr>
              <w:spacing w:after="0"/>
              <w:rPr>
                <w:sz w:val="20"/>
                <w:szCs w:val="20"/>
                <w:color w:val="auto"/>
              </w:rPr>
            </w:pPr>
            <w:r>
              <w:rPr>
                <w:rFonts w:ascii="Arial" w:cs="Arial" w:eastAsia="Arial" w:hAnsi="Arial"/>
                <w:sz w:val="18"/>
                <w:szCs w:val="18"/>
                <w:color w:val="auto"/>
              </w:rPr>
              <w:t>Joseph J. Schena</w:t>
            </w:r>
          </w:p>
        </w:tc>
        <w:tc>
          <w:tcPr>
            <w:tcW w:w="1740" w:type="dxa"/>
            <w:vAlign w:val="bottom"/>
          </w:tcPr>
          <w:p>
            <w:pPr>
              <w:jc w:val="right"/>
              <w:spacing w:after="0"/>
              <w:rPr>
                <w:sz w:val="20"/>
                <w:szCs w:val="20"/>
                <w:color w:val="auto"/>
              </w:rPr>
            </w:pPr>
            <w:r>
              <w:rPr>
                <w:rFonts w:ascii="Arial" w:cs="Arial" w:eastAsia="Arial" w:hAnsi="Arial"/>
                <w:sz w:val="18"/>
                <w:szCs w:val="18"/>
                <w:color w:val="auto"/>
              </w:rPr>
              <w:t>88,339,873</w:t>
            </w:r>
          </w:p>
        </w:tc>
        <w:tc>
          <w:tcPr>
            <w:tcW w:w="1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175,378</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2,398,024</w:t>
            </w:r>
          </w:p>
        </w:tc>
      </w:tr>
      <w:tr>
        <w:trPr>
          <w:trHeight w:val="270"/>
        </w:trPr>
        <w:tc>
          <w:tcPr>
            <w:tcW w:w="1880" w:type="dxa"/>
            <w:vAlign w:val="bottom"/>
            <w:gridSpan w:val="2"/>
          </w:tcPr>
          <w:p>
            <w:pPr>
              <w:spacing w:after="0"/>
              <w:rPr>
                <w:sz w:val="20"/>
                <w:szCs w:val="20"/>
                <w:color w:val="auto"/>
              </w:rPr>
            </w:pPr>
            <w:r>
              <w:rPr>
                <w:rFonts w:ascii="Arial" w:cs="Arial" w:eastAsia="Arial" w:hAnsi="Arial"/>
                <w:sz w:val="18"/>
                <w:szCs w:val="18"/>
                <w:color w:val="auto"/>
              </w:rPr>
              <w:t>James D. White</w:t>
            </w:r>
          </w:p>
        </w:tc>
        <w:tc>
          <w:tcPr>
            <w:tcW w:w="1740" w:type="dxa"/>
            <w:vAlign w:val="bottom"/>
          </w:tcPr>
          <w:p>
            <w:pPr>
              <w:jc w:val="right"/>
              <w:spacing w:after="0"/>
              <w:rPr>
                <w:sz w:val="20"/>
                <w:szCs w:val="20"/>
                <w:color w:val="auto"/>
              </w:rPr>
            </w:pPr>
            <w:r>
              <w:rPr>
                <w:rFonts w:ascii="Arial" w:cs="Arial" w:eastAsia="Arial" w:hAnsi="Arial"/>
                <w:sz w:val="18"/>
                <w:szCs w:val="18"/>
                <w:color w:val="auto"/>
              </w:rPr>
              <w:t>87,462,786</w:t>
            </w:r>
          </w:p>
        </w:tc>
        <w:tc>
          <w:tcPr>
            <w:tcW w:w="1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1,052,465</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2,398,024</w:t>
            </w:r>
          </w:p>
        </w:tc>
      </w:tr>
    </w:tbl>
    <w:p>
      <w:pPr>
        <w:spacing w:after="0" w:line="36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Ratification of the appointment of Deloitte &amp; Touche LLP as the Company’s independent registered public accounting firm for fiscal year 2021:</w:t>
      </w:r>
    </w:p>
    <w:p>
      <w:pPr>
        <w:spacing w:after="0" w:line="234" w:lineRule="exact"/>
        <w:rPr>
          <w:sz w:val="20"/>
          <w:szCs w:val="20"/>
          <w:color w:val="auto"/>
        </w:rPr>
      </w:pPr>
    </w:p>
    <w:tbl>
      <w:tblPr>
        <w:tblLayout w:type="fixed"/>
        <w:tblInd w:w="1940" w:type="dxa"/>
        <w:tblCellMar>
          <w:top w:w="0" w:type="dxa"/>
          <w:left w:w="0" w:type="dxa"/>
          <w:bottom w:w="0" w:type="dxa"/>
          <w:right w:w="0" w:type="dxa"/>
        </w:tblCellMar>
      </w:tblPr>
      <w:tr>
        <w:trPr>
          <w:trHeight w:val="234"/>
        </w:trPr>
        <w:tc>
          <w:tcPr>
            <w:tcW w:w="1880" w:type="dxa"/>
            <w:vAlign w:val="bottom"/>
            <w:gridSpan w:val="2"/>
          </w:tcPr>
          <w:p>
            <w:pPr>
              <w:ind w:left="720"/>
              <w:spacing w:after="0"/>
              <w:rPr>
                <w:sz w:val="20"/>
                <w:szCs w:val="20"/>
                <w:color w:val="auto"/>
              </w:rPr>
            </w:pPr>
            <w:r>
              <w:rPr>
                <w:rFonts w:ascii="Arial" w:cs="Arial" w:eastAsia="Arial" w:hAnsi="Arial"/>
                <w:sz w:val="18"/>
                <w:szCs w:val="18"/>
                <w:b w:val="1"/>
                <w:bCs w:val="1"/>
                <w:color w:val="auto"/>
              </w:rPr>
              <w:t>For</w:t>
            </w:r>
          </w:p>
        </w:tc>
        <w:tc>
          <w:tcPr>
            <w:tcW w:w="1880" w:type="dxa"/>
            <w:vAlign w:val="bottom"/>
            <w:gridSpan w:val="2"/>
          </w:tcPr>
          <w:p>
            <w:pPr>
              <w:ind w:left="560"/>
              <w:spacing w:after="0"/>
              <w:rPr>
                <w:sz w:val="20"/>
                <w:szCs w:val="20"/>
                <w:color w:val="auto"/>
              </w:rPr>
            </w:pPr>
            <w:r>
              <w:rPr>
                <w:rFonts w:ascii="Arial" w:cs="Arial" w:eastAsia="Arial" w:hAnsi="Arial"/>
                <w:sz w:val="18"/>
                <w:szCs w:val="18"/>
                <w:b w:val="1"/>
                <w:bCs w:val="1"/>
                <w:color w:val="auto"/>
              </w:rPr>
              <w:t>Against</w:t>
            </w:r>
          </w:p>
        </w:tc>
        <w:tc>
          <w:tcPr>
            <w:tcW w:w="1860" w:type="dxa"/>
            <w:vAlign w:val="bottom"/>
            <w:gridSpan w:val="2"/>
          </w:tcPr>
          <w:p>
            <w:pPr>
              <w:ind w:left="560"/>
              <w:spacing w:after="0"/>
              <w:rPr>
                <w:sz w:val="20"/>
                <w:szCs w:val="20"/>
                <w:color w:val="auto"/>
              </w:rPr>
            </w:pPr>
            <w:r>
              <w:rPr>
                <w:rFonts w:ascii="Arial" w:cs="Arial" w:eastAsia="Arial" w:hAnsi="Arial"/>
                <w:sz w:val="18"/>
                <w:szCs w:val="18"/>
                <w:b w:val="1"/>
                <w:bCs w:val="1"/>
                <w:color w:val="auto"/>
              </w:rPr>
              <w:t>Abstain</w:t>
            </w:r>
          </w:p>
        </w:tc>
        <w:tc>
          <w:tcPr>
            <w:tcW w:w="1760" w:type="dxa"/>
            <w:vAlign w:val="bottom"/>
          </w:tcPr>
          <w:p>
            <w:pPr>
              <w:jc w:val="right"/>
              <w:ind w:right="90"/>
              <w:spacing w:after="0"/>
              <w:rPr>
                <w:sz w:val="20"/>
                <w:szCs w:val="20"/>
                <w:color w:val="auto"/>
              </w:rPr>
            </w:pPr>
            <w:r>
              <w:rPr>
                <w:rFonts w:ascii="Arial" w:cs="Arial" w:eastAsia="Arial" w:hAnsi="Arial"/>
                <w:sz w:val="18"/>
                <w:szCs w:val="18"/>
                <w:b w:val="1"/>
                <w:bCs w:val="1"/>
                <w:color w:val="auto"/>
              </w:rPr>
              <w:t>Broker Non-Votes</w:t>
            </w:r>
          </w:p>
        </w:tc>
      </w:tr>
      <w:tr>
        <w:trPr>
          <w:trHeight w:val="40"/>
        </w:trPr>
        <w:tc>
          <w:tcPr>
            <w:tcW w:w="1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24"/>
        </w:trPr>
        <w:tc>
          <w:tcPr>
            <w:tcW w:w="1740" w:type="dxa"/>
            <w:vAlign w:val="bottom"/>
          </w:tcPr>
          <w:p>
            <w:pPr>
              <w:jc w:val="right"/>
              <w:spacing w:after="0"/>
              <w:rPr>
                <w:sz w:val="20"/>
                <w:szCs w:val="20"/>
                <w:color w:val="auto"/>
              </w:rPr>
            </w:pPr>
            <w:r>
              <w:rPr>
                <w:rFonts w:ascii="Arial" w:cs="Arial" w:eastAsia="Arial" w:hAnsi="Arial"/>
                <w:sz w:val="18"/>
                <w:szCs w:val="18"/>
                <w:color w:val="auto"/>
              </w:rPr>
              <w:t>90,276,004</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634,259</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3,012</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The advisory vote to approve the compensation of the Company’s named executive officers:</w:t>
      </w:r>
    </w:p>
    <w:p>
      <w:pPr>
        <w:spacing w:after="0" w:line="289" w:lineRule="exact"/>
        <w:rPr>
          <w:sz w:val="20"/>
          <w:szCs w:val="20"/>
          <w:color w:val="auto"/>
        </w:rPr>
      </w:pPr>
    </w:p>
    <w:tbl>
      <w:tblPr>
        <w:tblLayout w:type="fixed"/>
        <w:tblInd w:w="1940" w:type="dxa"/>
        <w:tblCellMar>
          <w:top w:w="0" w:type="dxa"/>
          <w:left w:w="0" w:type="dxa"/>
          <w:bottom w:w="0" w:type="dxa"/>
          <w:right w:w="0" w:type="dxa"/>
        </w:tblCellMar>
      </w:tblPr>
      <w:tr>
        <w:trPr>
          <w:trHeight w:val="234"/>
        </w:trPr>
        <w:tc>
          <w:tcPr>
            <w:tcW w:w="1880" w:type="dxa"/>
            <w:vAlign w:val="bottom"/>
            <w:gridSpan w:val="2"/>
          </w:tcPr>
          <w:p>
            <w:pPr>
              <w:ind w:left="720"/>
              <w:spacing w:after="0"/>
              <w:rPr>
                <w:sz w:val="20"/>
                <w:szCs w:val="20"/>
                <w:color w:val="auto"/>
              </w:rPr>
            </w:pPr>
            <w:r>
              <w:rPr>
                <w:rFonts w:ascii="Arial" w:cs="Arial" w:eastAsia="Arial" w:hAnsi="Arial"/>
                <w:sz w:val="18"/>
                <w:szCs w:val="18"/>
                <w:b w:val="1"/>
                <w:bCs w:val="1"/>
                <w:color w:val="auto"/>
              </w:rPr>
              <w:t>For</w:t>
            </w:r>
          </w:p>
        </w:tc>
        <w:tc>
          <w:tcPr>
            <w:tcW w:w="1880" w:type="dxa"/>
            <w:vAlign w:val="bottom"/>
            <w:gridSpan w:val="2"/>
          </w:tcPr>
          <w:p>
            <w:pPr>
              <w:ind w:left="560"/>
              <w:spacing w:after="0"/>
              <w:rPr>
                <w:sz w:val="20"/>
                <w:szCs w:val="20"/>
                <w:color w:val="auto"/>
              </w:rPr>
            </w:pPr>
            <w:r>
              <w:rPr>
                <w:rFonts w:ascii="Arial" w:cs="Arial" w:eastAsia="Arial" w:hAnsi="Arial"/>
                <w:sz w:val="18"/>
                <w:szCs w:val="18"/>
                <w:b w:val="1"/>
                <w:bCs w:val="1"/>
                <w:color w:val="auto"/>
              </w:rPr>
              <w:t>Against</w:t>
            </w:r>
          </w:p>
        </w:tc>
        <w:tc>
          <w:tcPr>
            <w:tcW w:w="1860" w:type="dxa"/>
            <w:vAlign w:val="bottom"/>
            <w:gridSpan w:val="2"/>
          </w:tcPr>
          <w:p>
            <w:pPr>
              <w:ind w:left="560"/>
              <w:spacing w:after="0"/>
              <w:rPr>
                <w:sz w:val="20"/>
                <w:szCs w:val="20"/>
                <w:color w:val="auto"/>
              </w:rPr>
            </w:pPr>
            <w:r>
              <w:rPr>
                <w:rFonts w:ascii="Arial" w:cs="Arial" w:eastAsia="Arial" w:hAnsi="Arial"/>
                <w:sz w:val="18"/>
                <w:szCs w:val="18"/>
                <w:b w:val="1"/>
                <w:bCs w:val="1"/>
                <w:color w:val="auto"/>
              </w:rPr>
              <w:t>Abstain</w:t>
            </w:r>
          </w:p>
        </w:tc>
        <w:tc>
          <w:tcPr>
            <w:tcW w:w="1760" w:type="dxa"/>
            <w:vAlign w:val="bottom"/>
          </w:tcPr>
          <w:p>
            <w:pPr>
              <w:jc w:val="right"/>
              <w:ind w:right="90"/>
              <w:spacing w:after="0"/>
              <w:rPr>
                <w:sz w:val="20"/>
                <w:szCs w:val="20"/>
                <w:color w:val="auto"/>
              </w:rPr>
            </w:pPr>
            <w:r>
              <w:rPr>
                <w:rFonts w:ascii="Arial" w:cs="Arial" w:eastAsia="Arial" w:hAnsi="Arial"/>
                <w:sz w:val="18"/>
                <w:szCs w:val="18"/>
                <w:b w:val="1"/>
                <w:bCs w:val="1"/>
                <w:color w:val="auto"/>
              </w:rPr>
              <w:t>Broker Non-Votes</w:t>
            </w:r>
          </w:p>
        </w:tc>
      </w:tr>
      <w:tr>
        <w:trPr>
          <w:trHeight w:val="40"/>
        </w:trPr>
        <w:tc>
          <w:tcPr>
            <w:tcW w:w="1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24"/>
        </w:trPr>
        <w:tc>
          <w:tcPr>
            <w:tcW w:w="1740" w:type="dxa"/>
            <w:vAlign w:val="bottom"/>
          </w:tcPr>
          <w:p>
            <w:pPr>
              <w:jc w:val="right"/>
              <w:spacing w:after="0"/>
              <w:rPr>
                <w:sz w:val="20"/>
                <w:szCs w:val="20"/>
                <w:color w:val="auto"/>
              </w:rPr>
            </w:pPr>
            <w:r>
              <w:rPr>
                <w:rFonts w:ascii="Arial" w:cs="Arial" w:eastAsia="Arial" w:hAnsi="Arial"/>
                <w:sz w:val="18"/>
                <w:szCs w:val="18"/>
                <w:color w:val="auto"/>
              </w:rPr>
              <w:t>87,682,926</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817,596</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14,729</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2,398,024</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8.01. Other Events.</w:t>
      </w:r>
    </w:p>
    <w:p>
      <w:pPr>
        <w:spacing w:after="0" w:line="25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At a meeting of the Board of Directors following the Annual Meeting, the Board of Directors appointed the directors indicated below to serve on the Board of Directors’ standing committees: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E. Healey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Clayton C. Daley,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Nomi P. Ghez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J. Schena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Clayton C. Daley, Jr.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G. Montgomery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K. Ratzan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J.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D. White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Nominating and Corporate Governance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Nomi P. Ghez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Michelle P. Goolsby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M. Kilts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20"/>
          <w:szCs w:val="20"/>
          <w:b w:val="1"/>
          <w:bCs w:val="1"/>
          <w:color w:val="auto"/>
        </w:rPr>
        <w:t>SIGNATURE</w:t>
      </w:r>
    </w:p>
    <w:p>
      <w:pPr>
        <w:spacing w:after="0" w:line="116" w:lineRule="exact"/>
        <w:rPr>
          <w:sz w:val="20"/>
          <w:szCs w:val="20"/>
          <w:color w:val="auto"/>
        </w:rPr>
      </w:pPr>
    </w:p>
    <w:p>
      <w:pPr>
        <w:ind w:left="100" w:firstLine="648"/>
        <w:spacing w:after="0" w:line="3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e:</w:t>
            </w:r>
          </w:p>
        </w:tc>
        <w:tc>
          <w:tcPr>
            <w:tcW w:w="1660" w:type="dxa"/>
            <w:vAlign w:val="bottom"/>
          </w:tcPr>
          <w:p>
            <w:pPr>
              <w:ind w:left="180"/>
              <w:spacing w:after="0"/>
              <w:rPr>
                <w:sz w:val="20"/>
                <w:szCs w:val="20"/>
                <w:color w:val="auto"/>
              </w:rPr>
            </w:pPr>
            <w:r>
              <w:rPr>
                <w:rFonts w:ascii="Arial" w:cs="Arial" w:eastAsia="Arial" w:hAnsi="Arial"/>
                <w:sz w:val="18"/>
                <w:szCs w:val="18"/>
                <w:color w:val="auto"/>
              </w:rPr>
              <w:t>January 22, 2021</w:t>
            </w:r>
          </w:p>
        </w:tc>
        <w:tc>
          <w:tcPr>
            <w:tcW w:w="860" w:type="dxa"/>
            <w:vAlign w:val="bottom"/>
          </w:tcPr>
          <w:p>
            <w:pPr>
              <w:ind w:left="240"/>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40"/>
              <w:spacing w:after="0"/>
              <w:rPr>
                <w:sz w:val="20"/>
                <w:szCs w:val="20"/>
                <w:color w:val="auto"/>
              </w:rPr>
            </w:pPr>
            <w:r>
              <w:rPr>
                <w:rFonts w:ascii="Arial" w:cs="Arial" w:eastAsia="Arial" w:hAnsi="Arial"/>
                <w:sz w:val="18"/>
                <w:szCs w:val="18"/>
                <w:color w:val="auto"/>
              </w:rPr>
              <w:t>/s/ Todd E. Cunfer</w:t>
            </w:r>
          </w:p>
        </w:tc>
      </w:tr>
      <w:tr>
        <w:trPr>
          <w:trHeight w:val="20"/>
        </w:trPr>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Name:</w:t>
            </w:r>
          </w:p>
        </w:tc>
        <w:tc>
          <w:tcPr>
            <w:tcW w:w="4020" w:type="dxa"/>
            <w:vAlign w:val="bottom"/>
            <w:gridSpan w:val="2"/>
          </w:tcPr>
          <w:p>
            <w:pPr>
              <w:ind w:left="140"/>
              <w:spacing w:after="0"/>
              <w:rPr>
                <w:sz w:val="20"/>
                <w:szCs w:val="20"/>
                <w:color w:val="auto"/>
              </w:rPr>
            </w:pPr>
            <w:r>
              <w:rPr>
                <w:rFonts w:ascii="Arial" w:cs="Arial" w:eastAsia="Arial" w:hAnsi="Arial"/>
                <w:sz w:val="18"/>
                <w:szCs w:val="18"/>
                <w:color w:val="auto"/>
              </w:rPr>
              <w:t>Todd E. Cunfer</w:t>
            </w:r>
          </w:p>
        </w:tc>
      </w:tr>
      <w:tr>
        <w:trPr>
          <w:trHeight w:val="270"/>
        </w:trPr>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Title:</w:t>
            </w:r>
          </w:p>
        </w:tc>
        <w:tc>
          <w:tcPr>
            <w:tcW w:w="402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270"/>
        </w:trPr>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20" w:type="dxa"/>
            <w:vAlign w:val="bottom"/>
            <w:gridSpan w:val="2"/>
          </w:tcPr>
          <w:p>
            <w:pPr>
              <w:ind w:left="1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340"/>
      </w:cols>
      <w:pgMar w:left="2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2021-01-22T15:04:00Z</dcterms:created>
  <dcterms:modified xsi:type="dcterms:W3CDTF">2021-01-22T15:04:00Z</dcterms:modified>
</cp:coreProperties>
</file>