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Garamond;serif" w:hAnsi="Garamond;serif"/>
          <w:b/>
          <w:color w:val="000000"/>
          <w:sz w:val="36"/>
        </w:rPr>
      </w:pPr>
      <w:r>
        <w:rPr>
          <w:rFonts w:ascii="Garamond;serif" w:hAnsi="Garamond;serif"/>
          <w:b/>
          <w:color w:val="000000"/>
          <w:sz w:val="36"/>
        </w:rPr>
        <w:t>UNITED STATES</w:t>
      </w:r>
    </w:p>
    <w:p>
      <w:pPr>
        <w:pStyle w:val="TextBody"/>
        <w:bidi w:val="0"/>
        <w:spacing w:lineRule="auto" w:line="288" w:before="0" w:after="0"/>
        <w:jc w:val="center"/>
        <w:rPr>
          <w:rFonts w:ascii="Garamond;serif" w:hAnsi="Garamond;serif"/>
          <w:b/>
          <w:color w:val="000000"/>
          <w:sz w:val="36"/>
        </w:rPr>
      </w:pPr>
      <w:r>
        <w:rPr>
          <w:rFonts w:ascii="Garamond;serif" w:hAnsi="Garamond;serif"/>
          <w:b/>
          <w:color w:val="000000"/>
          <w:sz w:val="36"/>
        </w:rPr>
        <w:t>SECURITIES AND EXCHANGE COMMISSION</w:t>
      </w:r>
    </w:p>
    <w:p>
      <w:pPr>
        <w:pStyle w:val="TextBody"/>
        <w:bidi w:val="0"/>
        <w:spacing w:lineRule="auto" w:line="288" w:before="0" w:after="0"/>
        <w:jc w:val="center"/>
        <w:rPr>
          <w:rFonts w:ascii="Garamond;serif" w:hAnsi="Garamond;serif"/>
          <w:b/>
          <w:color w:val="000000"/>
          <w:sz w:val="24"/>
        </w:rPr>
      </w:pPr>
      <w:r>
        <w:rPr>
          <w:rFonts w:ascii="Garamond;serif" w:hAnsi="Garamond;serif"/>
          <w:b/>
          <w:color w:val="000000"/>
          <w:sz w:val="24"/>
        </w:rPr>
        <w:t>WASHINGTON, D.C. 20549</w:t>
      </w:r>
    </w:p>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______________________________________________________</w:t>
      </w:r>
    </w:p>
    <w:p>
      <w:pPr>
        <w:pStyle w:val="TextBody"/>
        <w:bidi w:val="0"/>
        <w:spacing w:lineRule="auto" w:line="288" w:before="180" w:after="283"/>
        <w:jc w:val="center"/>
        <w:rPr>
          <w:rFonts w:ascii="Garamond;serif" w:hAnsi="Garamond;serif"/>
          <w:b/>
          <w:color w:val="000000"/>
          <w:sz w:val="32"/>
        </w:rPr>
      </w:pPr>
      <w:r>
        <w:rPr>
          <w:rFonts w:ascii="Garamond;serif" w:hAnsi="Garamond;serif"/>
          <w:b/>
          <w:color w:val="000000"/>
          <w:sz w:val="32"/>
        </w:rPr>
        <w:t xml:space="preserve">FORM 8-K </w:t>
      </w:r>
    </w:p>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Garamond;serif" w:hAnsi="Garamond;serif"/>
          <w:b/>
          <w:color w:val="000000"/>
          <w:sz w:val="26"/>
        </w:rPr>
      </w:pPr>
      <w:r>
        <w:rPr>
          <w:rFonts w:ascii="Garamond;serif" w:hAnsi="Garamond;serif"/>
          <w:b/>
          <w:color w:val="000000"/>
          <w:sz w:val="26"/>
        </w:rPr>
        <w:t>Current Report</w:t>
      </w:r>
    </w:p>
    <w:p>
      <w:pPr>
        <w:pStyle w:val="TextBody"/>
        <w:bidi w:val="0"/>
        <w:spacing w:before="0" w:after="0"/>
        <w:jc w:val="center"/>
        <w:rPr/>
      </w:pPr>
      <w:r>
        <w:rPr/>
      </w:r>
    </w:p>
    <w:p>
      <w:pPr>
        <w:pStyle w:val="TextBody"/>
        <w:bidi w:val="0"/>
        <w:spacing w:lineRule="auto" w:line="288" w:before="0" w:after="0"/>
        <w:jc w:val="center"/>
        <w:rPr>
          <w:rFonts w:ascii="Garamond;serif" w:hAnsi="Garamond;serif"/>
          <w:b/>
          <w:color w:val="000000"/>
          <w:sz w:val="24"/>
        </w:rPr>
      </w:pPr>
      <w:r>
        <w:rPr>
          <w:rFonts w:ascii="Garamond;serif" w:hAnsi="Garamond;serif"/>
          <w:b/>
          <w:color w:val="000000"/>
          <w:sz w:val="24"/>
        </w:rPr>
        <w:t xml:space="preserve">Pursuant to Section 13 or 15(d) of </w:t>
      </w:r>
    </w:p>
    <w:p>
      <w:pPr>
        <w:pStyle w:val="TextBody"/>
        <w:bidi w:val="0"/>
        <w:spacing w:lineRule="auto" w:line="288" w:before="0" w:after="0"/>
        <w:jc w:val="center"/>
        <w:rPr>
          <w:rFonts w:ascii="Garamond;serif" w:hAnsi="Garamond;serif"/>
          <w:b/>
          <w:color w:val="000000"/>
          <w:sz w:val="24"/>
        </w:rPr>
      </w:pPr>
      <w:r>
        <w:rPr>
          <w:rFonts w:ascii="Garamond;serif" w:hAnsi="Garamond;serif"/>
          <w:b/>
          <w:color w:val="000000"/>
          <w:sz w:val="24"/>
        </w:rPr>
        <w:t>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Garamond;serif" w:hAnsi="Garamond;serif"/>
          <w:b w:val="false"/>
          <w:color w:val="000000"/>
          <w:sz w:val="24"/>
        </w:rPr>
        <w:t>Date of Report (Date of earliest event reported):</w:t>
      </w:r>
      <w:r>
        <w:rPr>
          <w:color w:val="000000"/>
        </w:rPr>
        <w:t xml:space="preserve"> </w:t>
      </w:r>
      <w:r>
        <w:rPr>
          <w:rFonts w:ascii="Garamond;serif" w:hAnsi="Garamond;serif"/>
          <w:b/>
          <w:color w:val="000000"/>
          <w:sz w:val="24"/>
        </w:rPr>
        <w:t>July 9, 2026</w:t>
      </w:r>
    </w:p>
    <w:p>
      <w:pPr>
        <w:pStyle w:val="TextBody"/>
        <w:bidi w:val="0"/>
        <w:spacing w:lineRule="auto" w:line="288" w:before="0" w:after="0"/>
        <w:jc w:val="center"/>
        <w:rPr/>
      </w:pPr>
      <w:r>
        <w:rPr>
          <w:rFonts w:ascii="Garamond;serif" w:hAnsi="Garamond;serif"/>
          <w:b w:val="false"/>
          <w:color w:val="000000"/>
          <w:sz w:val="20"/>
        </w:rPr>
        <w:t>_______________________________________________________</w:t>
      </w:r>
      <w:r>
        <w:rPr>
          <w:color w:val="000000"/>
        </w:rPr>
        <w:t xml:space="preserve"> </w:t>
      </w:r>
    </w:p>
    <w:p>
      <w:pPr>
        <w:pStyle w:val="TextBody"/>
        <w:bidi w:val="0"/>
        <w:spacing w:lineRule="auto" w:line="288" w:before="0" w:after="0"/>
        <w:jc w:val="center"/>
        <w:rPr>
          <w:rFonts w:ascii="Garamond;serif" w:hAnsi="Garamond;serif"/>
          <w:b/>
          <w:color w:val="000000"/>
          <w:sz w:val="36"/>
        </w:rPr>
      </w:pPr>
      <w:r>
        <w:rPr>
          <w:rFonts w:ascii="Garamond;serif" w:hAnsi="Garamond;serif"/>
          <w:b/>
          <w:color w:val="000000"/>
          <w:sz w:val="36"/>
        </w:rPr>
        <w:t xml:space="preserve">The Simply Good Foods Company </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(Exact name of registrant as specified in its charter)</w:t>
      </w:r>
    </w:p>
    <w:p>
      <w:pPr>
        <w:pStyle w:val="TextBody"/>
        <w:bidi w:val="0"/>
        <w:spacing w:before="120" w:after="283"/>
        <w:jc w:val="center"/>
        <w:rPr/>
      </w:pPr>
      <w:r>
        <w:rPr/>
        <w:drawing>
          <wp:inline distT="0" distB="0" distL="0" distR="0">
            <wp:extent cx="182880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409700"/>
                    </a:xfrm>
                    <a:prstGeom prst="rect">
                      <a:avLst/>
                    </a:prstGeom>
                  </pic:spPr>
                </pic:pic>
              </a:graphicData>
            </a:graphic>
          </wp:inline>
        </w:drawing>
      </w:r>
      <w:bookmarkStart w:id="0" w:name="i-1"/>
      <w:bookmarkEnd w:id="0"/>
    </w:p>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_______________________________________________________</w:t>
      </w:r>
    </w:p>
    <w:tbl>
      <w:tblPr>
        <w:tblW w:w="8917" w:type="dxa"/>
        <w:jc w:val="center"/>
        <w:tblInd w:w="0" w:type="dxa"/>
        <w:tblLayout w:type="fixed"/>
        <w:tblCellMar>
          <w:top w:w="28" w:type="dxa"/>
          <w:left w:w="28" w:type="dxa"/>
          <w:bottom w:w="28" w:type="dxa"/>
          <w:right w:w="28" w:type="dxa"/>
        </w:tblCellMar>
      </w:tblPr>
      <w:tblGrid>
        <w:gridCol w:w="1134"/>
        <w:gridCol w:w="998"/>
        <w:gridCol w:w="1002"/>
        <w:gridCol w:w="109"/>
        <w:gridCol w:w="109"/>
        <w:gridCol w:w="109"/>
        <w:gridCol w:w="912"/>
        <w:gridCol w:w="912"/>
        <w:gridCol w:w="920"/>
        <w:gridCol w:w="109"/>
        <w:gridCol w:w="109"/>
        <w:gridCol w:w="109"/>
        <w:gridCol w:w="698"/>
        <w:gridCol w:w="698"/>
        <w:gridCol w:w="989"/>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7" w:after="283"/>
              <w:jc w:val="center"/>
              <w:rPr>
                <w:rFonts w:ascii="Garamond;serif" w:hAnsi="Garamond;serif"/>
                <w:b/>
                <w:color w:val="000000"/>
                <w:sz w:val="20"/>
              </w:rPr>
            </w:pPr>
            <w:r>
              <w:rPr>
                <w:rFonts w:ascii="Garamond;serif" w:hAnsi="Garamond;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7" w:after="283"/>
              <w:jc w:val="center"/>
              <w:rPr>
                <w:rFonts w:ascii="Garamond;serif" w:hAnsi="Garamond;serif"/>
                <w:b/>
                <w:color w:val="000000"/>
                <w:sz w:val="20"/>
              </w:rPr>
            </w:pPr>
            <w:r>
              <w:rPr>
                <w:rFonts w:ascii="Garamond;serif" w:hAnsi="Garamond;serif"/>
                <w:b/>
                <w:color w:val="000000"/>
                <w:sz w:val="20"/>
              </w:rPr>
              <w:t>001-38115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88" w:before="7" w:after="283"/>
              <w:jc w:val="center"/>
              <w:rPr>
                <w:rFonts w:ascii="Garamond;serif" w:hAnsi="Garamond;serif"/>
                <w:b/>
                <w:color w:val="000000"/>
                <w:sz w:val="20"/>
              </w:rPr>
            </w:pPr>
            <w:r>
              <w:rPr>
                <w:rFonts w:ascii="Garamond;serif" w:hAnsi="Garamond;serif"/>
                <w:b/>
                <w:color w:val="000000"/>
                <w:sz w:val="20"/>
              </w:rPr>
              <w:t>82-1038121</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7" w:after="283"/>
              <w:jc w:val="center"/>
              <w:rPr>
                <w:rFonts w:ascii="Garamond;serif" w:hAnsi="Garamond;serif"/>
                <w:b w:val="false"/>
                <w:color w:val="000000"/>
                <w:sz w:val="20"/>
              </w:rPr>
            </w:pPr>
            <w:r>
              <w:rPr>
                <w:rFonts w:ascii="Garamond;serif" w:hAnsi="Garamond;serif"/>
                <w:b w:val="false"/>
                <w:color w:val="000000"/>
                <w:sz w:val="20"/>
              </w:rPr>
              <w:t>(State or other jurisdiction of</w:t>
            </w:r>
          </w:p>
          <w:p>
            <w:pPr>
              <w:pStyle w:val="TableContents"/>
              <w:bidi w:val="0"/>
              <w:spacing w:lineRule="auto" w:line="288" w:before="7" w:after="283"/>
              <w:jc w:val="center"/>
              <w:rPr>
                <w:color w:val="000000"/>
              </w:rPr>
            </w:pPr>
            <w:r>
              <w:rPr>
                <w:color w:val="000000"/>
              </w:rPr>
              <w:t> </w:t>
            </w:r>
            <w:r>
              <w:rPr>
                <w:rFonts w:ascii="Garamond;serif" w:hAnsi="Garamond;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7" w:after="283"/>
              <w:jc w:val="center"/>
              <w:rPr>
                <w:rFonts w:ascii="Garamond;serif" w:hAnsi="Garamond;serif"/>
                <w:b w:val="false"/>
                <w:color w:val="000000"/>
                <w:sz w:val="20"/>
              </w:rPr>
            </w:pPr>
            <w:r>
              <w:rPr>
                <w:rFonts w:ascii="Garamond;serif" w:hAnsi="Garamond;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7" w:after="283"/>
              <w:jc w:val="center"/>
              <w:rPr>
                <w:rFonts w:ascii="Garamond;serif" w:hAnsi="Garamond;serif"/>
                <w:b w:val="false"/>
                <w:color w:val="000000"/>
                <w:sz w:val="20"/>
              </w:rPr>
            </w:pPr>
            <w:r>
              <w:rPr>
                <w:rFonts w:ascii="Garamond;serif" w:hAnsi="Garamond;serif"/>
                <w:b w:val="false"/>
                <w:color w:val="000000"/>
                <w:sz w:val="20"/>
              </w:rPr>
              <w:t>(I.R.S. Employer</w:t>
            </w:r>
          </w:p>
          <w:p>
            <w:pPr>
              <w:pStyle w:val="TableContents"/>
              <w:bidi w:val="0"/>
              <w:spacing w:lineRule="auto" w:line="288" w:before="7" w:after="283"/>
              <w:jc w:val="center"/>
              <w:rPr>
                <w:rFonts w:ascii="Garamond;serif" w:hAnsi="Garamond;serif"/>
                <w:b w:val="false"/>
                <w:color w:val="000000"/>
                <w:sz w:val="20"/>
              </w:rPr>
            </w:pPr>
            <w:r>
              <w:rPr>
                <w:rFonts w:ascii="Garamond;serif" w:hAnsi="Garamond;serif"/>
                <w:b w:val="false"/>
                <w:color w:val="000000"/>
                <w:sz w:val="20"/>
              </w:rPr>
              <w:t>Identification Number)</w:t>
            </w:r>
          </w:p>
        </w:tc>
      </w:tr>
    </w:tbl>
    <w:p>
      <w:pPr>
        <w:pStyle w:val="TextBody"/>
        <w:bidi w:val="0"/>
        <w:spacing w:before="0" w:after="0"/>
        <w:jc w:val="left"/>
        <w:rPr/>
      </w:pPr>
      <w:r>
        <w:rPr/>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 xml:space="preserve">1225 17th Street, Suite 1000 </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 xml:space="preserve">Denver, CO 80202 </w:t>
      </w:r>
    </w:p>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 xml:space="preserve">(Address of principal executive offices and zip code) </w:t>
      </w:r>
    </w:p>
    <w:p>
      <w:pPr>
        <w:pStyle w:val="TextBody"/>
        <w:bidi w:val="0"/>
        <w:spacing w:before="0" w:after="0"/>
        <w:jc w:val="center"/>
        <w:rPr/>
      </w:pPr>
      <w:r>
        <w:rPr/>
      </w:r>
    </w:p>
    <w:p>
      <w:pPr>
        <w:pStyle w:val="TextBody"/>
        <w:bidi w:val="0"/>
        <w:spacing w:lineRule="auto" w:line="288" w:before="0" w:after="0"/>
        <w:jc w:val="center"/>
        <w:rPr/>
      </w:pPr>
      <w:r>
        <w:rPr>
          <w:rFonts w:ascii="Garamond;serif" w:hAnsi="Garamond;serif"/>
          <w:b w:val="false"/>
          <w:color w:val="000000"/>
          <w:sz w:val="20"/>
        </w:rPr>
        <w:t>Registrant’s telephone number, including area code:</w:t>
      </w:r>
      <w:r>
        <w:rPr>
          <w:color w:val="000000"/>
        </w:rPr>
        <w:t xml:space="preserve"> </w:t>
      </w:r>
      <w:r>
        <w:rPr>
          <w:rFonts w:ascii="Garamond;serif" w:hAnsi="Garamond;serif"/>
          <w:b/>
          <w:color w:val="000000"/>
          <w:sz w:val="20"/>
        </w:rPr>
        <w:t xml:space="preserve">(303) 633-2840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ind w:left="0" w:right="0" w:hanging="405"/>
        <w:jc w:val="left"/>
        <w:rPr>
          <w:color w:val="000000"/>
        </w:rPr>
      </w:pPr>
      <w:r>
        <w:rPr>
          <w:color w:val="000000"/>
        </w:rPr>
        <w:t xml:space="preserve">☐ </w:t>
      </w:r>
      <w:r>
        <w:rPr>
          <w:rFonts w:ascii="Garamond;serif" w:hAnsi="Garamond;serif"/>
          <w:b w:val="false"/>
          <w:color w:val="000000"/>
          <w:sz w:val="20"/>
        </w:rPr>
        <w:t>Written communications pursuant to Rule 425 under the Securities Act (17 CFR 230.425)</w:t>
      </w:r>
    </w:p>
    <w:p>
      <w:pPr>
        <w:pStyle w:val="TextBody"/>
        <w:bidi w:val="0"/>
        <w:spacing w:lineRule="auto" w:line="288" w:before="0" w:after="0"/>
        <w:ind w:left="0" w:right="0" w:hanging="405"/>
        <w:jc w:val="left"/>
        <w:rPr>
          <w:color w:val="000000"/>
        </w:rPr>
      </w:pPr>
      <w:r>
        <w:rPr>
          <w:color w:val="000000"/>
        </w:rPr>
        <w:t xml:space="preserve">☐ </w:t>
      </w:r>
      <w:r>
        <w:rPr>
          <w:rFonts w:ascii="Garamond;serif" w:hAnsi="Garamond;serif"/>
          <w:b w:val="false"/>
          <w:color w:val="000000"/>
          <w:sz w:val="20"/>
        </w:rPr>
        <w:t>Soliciting material pursuant to Rule 14a-12 under the Exchange Act (17 CFR 240.14a-12)</w:t>
      </w:r>
    </w:p>
    <w:p>
      <w:pPr>
        <w:pStyle w:val="TextBody"/>
        <w:bidi w:val="0"/>
        <w:spacing w:lineRule="auto" w:line="288" w:before="0" w:after="0"/>
        <w:ind w:left="0" w:right="0" w:hanging="405"/>
        <w:jc w:val="left"/>
        <w:rPr>
          <w:color w:val="000000"/>
        </w:rPr>
      </w:pPr>
      <w:r>
        <w:rPr>
          <w:color w:val="000000"/>
        </w:rPr>
        <w:t xml:space="preserve">☐ </w:t>
      </w:r>
      <w:r>
        <w:rPr>
          <w:rFonts w:ascii="Garamond;serif" w:hAnsi="Garamond;serif"/>
          <w:b w:val="false"/>
          <w:color w:val="000000"/>
          <w:sz w:val="20"/>
        </w:rPr>
        <w:t>Pre-commencement communications pursuant to Rule 14d-2(b) under the Exchange Act (17 CFR 240.14d-2(b))</w:t>
      </w:r>
    </w:p>
    <w:p>
      <w:pPr>
        <w:pStyle w:val="TextBody"/>
        <w:bidi w:val="0"/>
        <w:spacing w:lineRule="auto" w:line="288" w:before="0" w:after="0"/>
        <w:ind w:left="0" w:right="0" w:hanging="405"/>
        <w:jc w:val="left"/>
        <w:rPr>
          <w:color w:val="000000"/>
        </w:rPr>
      </w:pPr>
      <w:r>
        <w:rPr>
          <w:color w:val="000000"/>
        </w:rPr>
        <w:t xml:space="preserve">☐ </w:t>
      </w:r>
      <w:r>
        <w:rPr>
          <w:rFonts w:ascii="Garamond;serif" w:hAnsi="Garamond;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30"/>
        <w:gridCol w:w="1220"/>
        <w:gridCol w:w="1227"/>
        <w:gridCol w:w="109"/>
        <w:gridCol w:w="109"/>
        <w:gridCol w:w="109"/>
        <w:gridCol w:w="510"/>
        <w:gridCol w:w="510"/>
        <w:gridCol w:w="512"/>
        <w:gridCol w:w="109"/>
        <w:gridCol w:w="109"/>
        <w:gridCol w:w="109"/>
        <w:gridCol w:w="1211"/>
        <w:gridCol w:w="1211"/>
        <w:gridCol w:w="1720"/>
      </w:tblGrid>
      <w:tr>
        <w:trPr/>
        <w:tc>
          <w:tcPr>
            <w:tcW w:w="143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3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20"/>
              </w:rPr>
            </w:pPr>
            <w:r>
              <w:rPr>
                <w:rFonts w:ascii="Garamond;serif" w:hAnsi="Garamond;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20"/>
              </w:rPr>
            </w:pPr>
            <w:r>
              <w:rPr>
                <w:rFonts w:ascii="Garamond;serif" w:hAnsi="Garamond;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20"/>
              </w:rPr>
            </w:pPr>
            <w:r>
              <w:rPr>
                <w:rFonts w:ascii="Garamond;serif" w:hAnsi="Garamond;serif"/>
                <w:b w:val="false"/>
                <w:color w:val="000000"/>
                <w:sz w:val="20"/>
              </w:rPr>
              <w:t>Name of each exchange on which registered</w:t>
            </w:r>
          </w:p>
        </w:tc>
      </w:tr>
      <w:tr>
        <w:trPr/>
        <w:tc>
          <w:tcPr>
            <w:tcW w:w="3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20"/>
              </w:rPr>
            </w:pPr>
            <w:r>
              <w:rPr>
                <w:rFonts w:ascii="Garamond;serif" w:hAnsi="Garamond;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20"/>
              </w:rPr>
            </w:pPr>
            <w:r>
              <w:rPr>
                <w:rFonts w:ascii="Garamond;serif" w:hAnsi="Garamond;serif"/>
                <w:b w:val="false"/>
                <w:color w:val="000000"/>
                <w:sz w:val="20"/>
              </w:rPr>
              <w:t>SMPL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20"/>
              </w:rPr>
            </w:pPr>
            <w:r>
              <w:rPr>
                <w:rFonts w:ascii="Garamond;serif" w:hAnsi="Garamond;serif"/>
                <w:b w:val="false"/>
                <w:color w:val="000000"/>
                <w:sz w:val="20"/>
              </w:rPr>
              <w:t>Nasdaq</w:t>
            </w:r>
          </w:p>
        </w:tc>
      </w:tr>
    </w:tbl>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 xml:space="preserve">Emerging growth company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Garamond;serif" w:hAnsi="Garamond;serif"/>
          <w:b/>
          <w:color w:val="000000"/>
          <w:sz w:val="22"/>
        </w:rPr>
      </w:pPr>
      <w:r>
        <w:rPr>
          <w:rFonts w:ascii="Garamond;serif" w:hAnsi="Garamond;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Garamond;serif" w:hAnsi="Garamond;serif"/>
          <w:b w:val="false"/>
          <w:color w:val="000000"/>
          <w:sz w:val="20"/>
        </w:rPr>
        <w:t>On July 9, 2026, The Simply Good Foods Company, a Delaware corporation (the “Company”), reported its results for the fiscal third quarter ended May 30, 2026. The results are discussed in detail in the press release attached hereto as Exhibit 99.1. In addition, the Company has posted an investor presentation at www.thesimplygoodfoodscompany.com.</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Garamond;serif" w:hAnsi="Garamond;serif"/>
          <w:b w:val="false"/>
          <w:color w:val="000000"/>
          <w:sz w:val="20"/>
        </w:rPr>
        <w:t>The information in this item, including Exhibit 99.1, is being furnished, not filed. Accordingly, the information in this item will not be incorporated by reference into any registration statement unless specifically identified therein as being incorporated by reference therein.</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Certain statements made in Exhibit 99.1 are not historical facts but are forward-looking statements for purposes of the safe harbor provisions under The Private Securities Litigation Reform Act of 1995. Forward-looking statements generally are accompanied by or include words such as “will”, “expect”, “intends” or other similar words, phrases or expressions.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risks and uncertainties relate to, among other things, our operations being dependent on changes in consumer preferences and purchasing habits regarding our products, a global supply chain and effects of supply chain constraints, inflationary pressure and tariffs on us and our contract manufacturers, our ability to continue to operate at a profit or to maintain our margins, the sufficiency of our sources of liquidity and capital, our ability to maintain current operation levels and implement our growth strategies, our ability to maintain and gain market acceptance for our products or new products, our ability to capitalize on attractive opportunities, our ability to respond to competition and changes in the economy including changes regarding inflation and increasing ingredient and packaging costs and labor challenges due to tariffs or other challenges at our contract manufacturers and third party logistics providers, the amounts of or changes with respect to certain anticipated raw materials and other costs, difficulties and delays in achieving the synergies and cost savings in connection with acquisitions, changes in the business environment in which we operate including general financial, economic, capital market, regulatory and geopolitical conditions affecting us and the industry in which we operate, our ability to maintain adequate product inventory levels to timely supply customer orders,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effect pandemics or other global disruptions on our business, financial condition and results of operations, the loss of one or more members of our management team, potential for increased costs, the harm to our business resulting from unauthorized access of the information technology systems we use in our business, and other risks and uncertainties indicated in the Company’s Form 10-K, Form 10-Q, and Form 8-K reports (including all amendments to those reports) filed with the U.S. Securities and Exchange Commission from time to time. In addition, forward-looking statements provide the Company’s expectations, plans or forecasts of future events and views as of the date of this communication. Except as required by law, the Company undertakes no obligation to update such statements to reflect events or circumstances arising after such date and cautions investors not to place undue reliance on any such forward-looking statements. These forward-looking statements should not be relied upon as representing the Company’s assessments as of any date subsequent to the date of this communication.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Garamond;serif" w:hAnsi="Garamond;serif"/>
          <w:b/>
          <w:color w:val="000000"/>
          <w:sz w:val="22"/>
        </w:rPr>
        <w:t>Item 9.01</w:t>
      </w:r>
      <w:r>
        <w:rPr>
          <w:color w:val="000000"/>
        </w:rPr>
        <w:t>    </w:t>
      </w:r>
      <w:r>
        <w:rPr>
          <w:rFonts w:ascii="Garamond;serif" w:hAnsi="Garamond;serif"/>
          <w:b/>
          <w:color w:val="000000"/>
          <w:sz w:val="22"/>
        </w:rPr>
        <w:t>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
        <w:jc w:val="left"/>
        <w:rPr>
          <w:rFonts w:ascii="Garamond;serif" w:hAnsi="Garamond;serif"/>
          <w:b w:val="false"/>
          <w:i/>
          <w:color w:val="000000"/>
          <w:sz w:val="22"/>
        </w:rPr>
      </w:pPr>
      <w:r>
        <w:rPr>
          <w:rFonts w:ascii="Garamond;serif" w:hAnsi="Garamond;serif"/>
          <w:b w:val="false"/>
          <w:i/>
          <w:color w:val="000000"/>
          <w:sz w:val="22"/>
        </w:rPr>
        <w:t>(d) Exhibits</w:t>
      </w:r>
    </w:p>
    <w:p>
      <w:pPr>
        <w:pStyle w:val="TextBody"/>
        <w:bidi w:val="0"/>
        <w:spacing w:lineRule="auto" w:line="288" w:before="0" w:after="0"/>
        <w:jc w:val="left"/>
        <w:rPr>
          <w:color w:val="000000"/>
        </w:rPr>
      </w:pPr>
      <w:r>
        <w:rPr>
          <w:color w:val="000000"/>
        </w:rPr>
        <w:t> </w:t>
      </w:r>
    </w:p>
    <w:tbl>
      <w:tblPr>
        <w:tblW w:w="9761" w:type="dxa"/>
        <w:jc w:val="center"/>
        <w:tblInd w:w="0" w:type="dxa"/>
        <w:tblLayout w:type="fixed"/>
        <w:tblCellMar>
          <w:top w:w="28" w:type="dxa"/>
          <w:left w:w="28" w:type="dxa"/>
          <w:bottom w:w="28" w:type="dxa"/>
          <w:right w:w="28" w:type="dxa"/>
        </w:tblCellMar>
      </w:tblPr>
      <w:tblGrid>
        <w:gridCol w:w="554"/>
        <w:gridCol w:w="487"/>
        <w:gridCol w:w="488"/>
        <w:gridCol w:w="109"/>
        <w:gridCol w:w="109"/>
        <w:gridCol w:w="109"/>
        <w:gridCol w:w="2312"/>
        <w:gridCol w:w="2312"/>
        <w:gridCol w:w="3281"/>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color w:val="000000"/>
                <w:sz w:val="22"/>
              </w:rPr>
            </w:pPr>
            <w:r>
              <w:rPr>
                <w:rFonts w:ascii="Garamond;serif" w:hAnsi="Garamond;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color w:val="000000"/>
                <w:sz w:val="22"/>
              </w:rPr>
            </w:pPr>
            <w:r>
              <w:rPr>
                <w:rFonts w:ascii="Garamond;serif" w:hAnsi="Garamond;serif"/>
                <w:b/>
                <w:color w:val="000000"/>
                <w:sz w:val="22"/>
              </w:rPr>
              <w:t>Description</w:t>
            </w:r>
          </w:p>
        </w:tc>
      </w:tr>
      <w:tr>
        <w:trPr/>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1_pressreleasexq3x2026.htm">
              <w:r>
                <w:rPr>
                  <w:rStyle w:val="InternetLink"/>
                  <w:rFonts w:ascii="Garamond;serif" w:hAnsi="Garamond;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1_pressreleasexq3x2026.htm">
              <w:r>
                <w:rPr>
                  <w:rStyle w:val="InternetLink"/>
                  <w:rFonts w:ascii="Garamond;serif" w:hAnsi="Garamond;serif"/>
                  <w:b w:val="false"/>
                  <w:color w:val="000080"/>
                  <w:sz w:val="20"/>
                  <w:u w:val="single"/>
                </w:rPr>
                <w:t xml:space="preserve">Press Release dated </w:t>
              </w:r>
            </w:hyperlink>
            <w:hyperlink w:anchor="a991_pressreleasexq3x2026.htm">
              <w:r>
                <w:rPr>
                  <w:rStyle w:val="InternetLink"/>
                  <w:rFonts w:ascii="Garamond;serif" w:hAnsi="Garamond;serif"/>
                  <w:b w:val="false"/>
                  <w:color w:val="000080"/>
                  <w:sz w:val="20"/>
                  <w:u w:val="single"/>
                </w:rPr>
                <w:t>July</w:t>
              </w:r>
            </w:hyperlink>
            <w:hyperlink w:anchor="a991_pressreleasexq3x2026.htm">
              <w:r>
                <w:rPr>
                  <w:rStyle w:val="InternetLink"/>
                  <w:rFonts w:ascii="Garamond;serif" w:hAnsi="Garamond;serif"/>
                  <w:b w:val="false"/>
                  <w:color w:val="000080"/>
                  <w:sz w:val="20"/>
                  <w:u w:val="single"/>
                </w:rPr>
                <w:t xml:space="preserve"> 9, 2026</w:t>
              </w:r>
            </w:hyperlink>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Garamond;serif" w:hAnsi="Garamond;serif"/>
          <w:b/>
          <w:color w:val="000000"/>
          <w:sz w:val="22"/>
        </w:rPr>
      </w:pPr>
      <w:r>
        <w:rPr>
          <w:rFonts w:ascii="Garamond;serif" w:hAnsi="Garamond;serif"/>
          <w:b/>
          <w:color w:val="000000"/>
          <w:sz w:val="22"/>
        </w:rPr>
        <w:t>SIGNATURE</w:t>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pPr>
      <w:r>
        <w:rPr/>
      </w:r>
    </w:p>
    <w:tbl>
      <w:tblPr>
        <w:tblW w:w="7064" w:type="dxa"/>
        <w:jc w:val="left"/>
        <w:tblInd w:w="0" w:type="dxa"/>
        <w:tblLayout w:type="fixed"/>
        <w:tblCellMar>
          <w:top w:w="28" w:type="dxa"/>
          <w:left w:w="28" w:type="dxa"/>
          <w:bottom w:w="28" w:type="dxa"/>
          <w:right w:w="28" w:type="dxa"/>
        </w:tblCellMar>
      </w:tblPr>
      <w:tblGrid>
        <w:gridCol w:w="233"/>
        <w:gridCol w:w="205"/>
        <w:gridCol w:w="207"/>
        <w:gridCol w:w="414"/>
        <w:gridCol w:w="414"/>
        <w:gridCol w:w="417"/>
        <w:gridCol w:w="248"/>
        <w:gridCol w:w="248"/>
        <w:gridCol w:w="253"/>
        <w:gridCol w:w="1293"/>
        <w:gridCol w:w="1293"/>
        <w:gridCol w:w="1839"/>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July 9, 2026</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By:</w:t>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/s/ Christopher J. Bealer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Name:</w:t>
            </w:r>
          </w:p>
        </w:tc>
        <w:tc>
          <w:tcPr>
            <w:tcW w:w="4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Christopher J. Bealer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Title:</w:t>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20"/>
              </w:rPr>
            </w:pPr>
            <w:r>
              <w:rPr>
                <w:rFonts w:ascii="Garamond;serif" w:hAnsi="Garamond;serif"/>
                <w:b w:val="false"/>
                <w:i/>
                <w:color w:val="000000"/>
                <w:sz w:val="20"/>
              </w:rPr>
              <w:t>(Principal Financial and Accounting Officer)</w:t>
            </w:r>
          </w:p>
        </w:tc>
      </w:tr>
    </w:tbl>
    <w:p>
      <w:pPr>
        <w:pStyle w:val="TextBody"/>
        <w:bidi w:val="0"/>
        <w:ind w:left="0" w:right="0" w:hanging="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left"/>
        <w:rPr/>
      </w:pPr>
      <w:r>
        <w:rPr/>
        <w:drawing>
          <wp:inline distT="0" distB="0" distL="0" distR="0">
            <wp:extent cx="1552575" cy="12001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552575" cy="1200150"/>
                    </a:xfrm>
                    <a:prstGeom prst="rect">
                      <a:avLst/>
                    </a:prstGeom>
                  </pic:spPr>
                </pic:pic>
              </a:graphicData>
            </a:graphic>
          </wp:inline>
        </w:drawing>
      </w:r>
    </w:p>
    <w:p>
      <w:pPr>
        <w:pStyle w:val="TextBody"/>
        <w:bidi w:val="0"/>
        <w:spacing w:lineRule="auto" w:line="288" w:before="120" w:after="120"/>
        <w:jc w:val="center"/>
        <w:rPr>
          <w:rFonts w:ascii="Garamond;serif" w:hAnsi="Garamond;serif"/>
          <w:b/>
          <w:color w:val="000000"/>
          <w:sz w:val="28"/>
        </w:rPr>
      </w:pPr>
      <w:r>
        <w:rPr>
          <w:rFonts w:ascii="Garamond;serif" w:hAnsi="Garamond;serif"/>
          <w:b/>
          <w:color w:val="000000"/>
          <w:sz w:val="28"/>
        </w:rPr>
        <w:t xml:space="preserve">The Simply Good Foods Company Reports Fiscal Third Quarter 2026 </w:t>
      </w:r>
    </w:p>
    <w:p>
      <w:pPr>
        <w:pStyle w:val="TextBody"/>
        <w:bidi w:val="0"/>
        <w:spacing w:lineRule="auto" w:line="288" w:before="120" w:after="120"/>
        <w:jc w:val="center"/>
        <w:rPr>
          <w:rFonts w:ascii="Garamond;serif" w:hAnsi="Garamond;serif"/>
          <w:b/>
          <w:color w:val="000000"/>
          <w:sz w:val="28"/>
        </w:rPr>
      </w:pPr>
      <w:r>
        <w:rPr>
          <w:rFonts w:ascii="Garamond;serif" w:hAnsi="Garamond;serif"/>
          <w:b/>
          <w:color w:val="000000"/>
          <w:sz w:val="28"/>
        </w:rPr>
        <w:t>Financial Results and Updates Fiscal Year 2026 Outlook</w:t>
      </w:r>
    </w:p>
    <w:p>
      <w:pPr>
        <w:pStyle w:val="TextBody"/>
        <w:bidi w:val="0"/>
        <w:spacing w:before="0" w:after="0"/>
        <w:jc w:val="center"/>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Denver, CO, July 9, 2026 - The Simply Good Foods Company (Nasdaq: SMPL) (“Simply Good Foods,” or the “Company”), a leader in the Nutritional Snacking Category, today reported financial results for the thirteen and thirty-nine weeks ended May 30, 2026.</w:t>
      </w:r>
    </w:p>
    <w:p>
      <w:pPr>
        <w:pStyle w:val="TextBody"/>
        <w:bidi w:val="0"/>
        <w:spacing w:before="0" w:after="0"/>
        <w:jc w:val="both"/>
        <w:rPr/>
      </w:pPr>
      <w:r>
        <w:rPr/>
      </w:r>
    </w:p>
    <w:p>
      <w:pPr>
        <w:pStyle w:val="TextBody"/>
        <w:bidi w:val="0"/>
        <w:spacing w:lineRule="auto" w:line="288" w:before="0" w:after="0"/>
        <w:jc w:val="both"/>
        <w:rPr/>
      </w:pPr>
      <w:r>
        <w:rPr>
          <w:rFonts w:ascii="Garamond;serif" w:hAnsi="Garamond;serif"/>
          <w:b/>
          <w:color w:val="000000"/>
          <w:sz w:val="20"/>
        </w:rPr>
        <w:t>Third Quarter Summary:</w:t>
      </w:r>
      <w:r>
        <w:rPr>
          <w:rFonts w:ascii="Garamond;serif" w:hAnsi="Garamond;serif"/>
          <w:b/>
          <w:color w:val="000000"/>
          <w:sz w:val="13"/>
        </w:rPr>
        <w:t>(1)</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Net sales of $357.0 million versus $381.0 million</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Net loss of $52.0 million versus net income of $41.1 million</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Loss per diluted share of $0.58 versus earnings per diluted share of $0.40</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Adjusted Diluted EPS</w:t>
      </w:r>
      <w:r>
        <w:rPr>
          <w:rFonts w:ascii="Garamond;serif" w:hAnsi="Garamond;serif"/>
          <w:b/>
          <w:color w:val="000000"/>
          <w:sz w:val="13"/>
        </w:rPr>
        <w:t xml:space="preserve">(2) </w:t>
      </w:r>
      <w:r>
        <w:rPr>
          <w:rFonts w:ascii="Garamond;serif" w:hAnsi="Garamond;serif"/>
          <w:b/>
          <w:color w:val="000000"/>
          <w:sz w:val="20"/>
        </w:rPr>
        <w:t>of $0.42 versus $0.51</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Adjusted EBITDA</w:t>
      </w:r>
      <w:r>
        <w:rPr>
          <w:rFonts w:ascii="Garamond;serif" w:hAnsi="Garamond;serif"/>
          <w:b/>
          <w:color w:val="000000"/>
          <w:sz w:val="13"/>
        </w:rPr>
        <w:t>(3)</w:t>
      </w:r>
      <w:r>
        <w:rPr>
          <w:color w:val="000000"/>
        </w:rPr>
        <w:t xml:space="preserve"> </w:t>
      </w:r>
      <w:r>
        <w:rPr>
          <w:rFonts w:ascii="Garamond;serif" w:hAnsi="Garamond;serif"/>
          <w:b/>
          <w:color w:val="000000"/>
          <w:sz w:val="20"/>
        </w:rPr>
        <w:t>of $57.2 million versus $73.9 million</w:t>
      </w:r>
    </w:p>
    <w:p>
      <w:pPr>
        <w:pStyle w:val="TextBody"/>
        <w:bidi w:val="0"/>
        <w:spacing w:before="0" w:after="0"/>
        <w:jc w:val="both"/>
        <w:rPr/>
      </w:pPr>
      <w:r>
        <w:rPr/>
      </w:r>
    </w:p>
    <w:p>
      <w:pPr>
        <w:pStyle w:val="TextBody"/>
        <w:bidi w:val="0"/>
        <w:spacing w:lineRule="auto" w:line="288" w:before="0" w:after="0"/>
        <w:jc w:val="both"/>
        <w:rPr/>
      </w:pPr>
      <w:r>
        <w:rPr>
          <w:rFonts w:ascii="Garamond;serif" w:hAnsi="Garamond;serif"/>
          <w:b/>
          <w:color w:val="000000"/>
          <w:sz w:val="20"/>
        </w:rPr>
        <w:t>Updating Fiscal Year 2026</w:t>
      </w:r>
      <w:r>
        <w:rPr>
          <w:rFonts w:ascii="Garamond;serif" w:hAnsi="Garamond;serif"/>
          <w:b/>
          <w:color w:val="000000"/>
          <w:sz w:val="13"/>
        </w:rPr>
        <w:t xml:space="preserve">(4) </w:t>
      </w:r>
      <w:r>
        <w:rPr>
          <w:rFonts w:ascii="Garamond;serif" w:hAnsi="Garamond;serif"/>
          <w:b/>
          <w:color w:val="000000"/>
          <w:sz w:val="20"/>
        </w:rPr>
        <w:t>Outlook:</w:t>
      </w:r>
    </w:p>
    <w:p>
      <w:pPr>
        <w:pStyle w:val="TextBody"/>
        <w:bidi w:val="0"/>
        <w:spacing w:lineRule="auto" w:line="268" w:before="0" w:after="0"/>
        <w:ind w:left="0" w:right="0" w:hanging="360"/>
        <w:jc w:val="both"/>
        <w:rPr/>
      </w:pPr>
      <w:r>
        <w:rPr>
          <w:color w:val="000000"/>
        </w:rPr>
        <w:t>•</w:t>
      </w:r>
      <w:r>
        <w:rPr>
          <w:rFonts w:ascii="Garamond;serif" w:hAnsi="Garamond;serif"/>
          <w:b/>
          <w:color w:val="000000"/>
          <w:sz w:val="20"/>
        </w:rPr>
        <w:t>Net sales expected to range between $1.345 and $1.355 billion, or a decline of roughly 7% to 6% year-over-year</w:t>
      </w:r>
    </w:p>
    <w:p>
      <w:pPr>
        <w:pStyle w:val="TextBody"/>
        <w:bidi w:val="0"/>
        <w:spacing w:lineRule="auto" w:line="268" w:before="0" w:after="0"/>
        <w:ind w:left="0" w:right="0" w:hanging="360"/>
        <w:jc w:val="both"/>
        <w:rPr/>
      </w:pPr>
      <w:r>
        <w:rPr>
          <w:color w:val="000000"/>
        </w:rPr>
        <w:t>•</w:t>
      </w:r>
      <w:r>
        <w:rPr>
          <w:rFonts w:ascii="Garamond;serif" w:hAnsi="Garamond;serif"/>
          <w:b/>
          <w:color w:val="000000"/>
          <w:sz w:val="20"/>
        </w:rPr>
        <w:t>Gross margins expected to decline approximately 375 basis points year-over-year</w:t>
      </w:r>
    </w:p>
    <w:p>
      <w:pPr>
        <w:pStyle w:val="TextBody"/>
        <w:bidi w:val="0"/>
        <w:spacing w:lineRule="auto" w:line="268" w:before="0" w:after="0"/>
        <w:ind w:left="0" w:right="0" w:hanging="360"/>
        <w:jc w:val="both"/>
        <w:rPr/>
      </w:pPr>
      <w:r>
        <w:rPr>
          <w:color w:val="000000"/>
        </w:rPr>
        <w:t>•</w:t>
      </w:r>
      <w:r>
        <w:rPr>
          <w:rFonts w:ascii="Garamond;serif" w:hAnsi="Garamond;serif"/>
          <w:b/>
          <w:color w:val="000000"/>
          <w:sz w:val="20"/>
        </w:rPr>
        <w:t>Adjusted EBITDA expected to range between $220 and $225 million, or -21% to -19% year-over-year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Garamond;serif" w:hAnsi="Garamond;serif"/>
          <w:b w:val="false"/>
          <w:color w:val="000000"/>
          <w:sz w:val="20"/>
        </w:rPr>
        <w:t>Our third quarter results reflect initial steps against the turnaround priorities we outlined last quarter. While we are still in the early stages of this work, we are beginning to see some signs of improved alignment around our three key priorities. We delivered third quarter net sales of $357 million and Adjusted EBITDA of $57 million, ahead of our expectations, with performance supported in part by the early effect of select cost actions we announced last quarter,” said Joe Scalzo, President and Chief Executive Officer.</w:t>
      </w:r>
    </w:p>
    <w:p>
      <w:pPr>
        <w:pStyle w:val="TextBody"/>
        <w:bidi w:val="0"/>
        <w:spacing w:before="0" w:after="0"/>
        <w:jc w:val="left"/>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Scalzo continued, “At the same time, we recognize significant work remains, and our priorities are unchanged. We are focused on strengthening our business model, improving the consistency of our execution, and reinvesting behind our most important brand opportunities to support household penetration. We believe steady progress against these actions will position Simply Good Foods to return to sustainable, profitable growth over time.”</w:t>
      </w:r>
    </w:p>
    <w:p>
      <w:pPr>
        <w:pStyle w:val="TextBody"/>
        <w:bidi w:val="0"/>
        <w:spacing w:before="0" w:after="0"/>
        <w:jc w:val="both"/>
        <w:rPr/>
      </w:pPr>
      <w:r>
        <w:rPr/>
      </w: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Third Quarter 2026 Results</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Net sales of $357.0 million decreased 6.3% versus the comparable year ago period, driven by a decline for Atkins of 24.6%, which was only partially offset by Quest and OWYN growth of 1.1% and 3.6%, respectively. The Company's net sales performance was largely driven by known distribution-related declines for Atkins and softer retail takeaway, similar to what the Company experienced in the second quarter.</w:t>
      </w:r>
    </w:p>
    <w:p>
      <w:pPr>
        <w:pStyle w:val="TextBody"/>
        <w:bidi w:val="0"/>
        <w:spacing w:before="0" w:after="0"/>
        <w:jc w:val="both"/>
        <w:rPr/>
      </w:pPr>
      <w:r>
        <w:rPr/>
      </w:r>
    </w:p>
    <w:p>
      <w:pPr>
        <w:pStyle w:val="TextBody"/>
        <w:bidi w:val="0"/>
        <w:spacing w:lineRule="auto" w:line="288" w:before="0" w:after="0"/>
        <w:jc w:val="both"/>
        <w:rPr/>
      </w:pPr>
      <w:r>
        <w:rPr>
          <w:rFonts w:ascii="Garamond;serif" w:hAnsi="Garamond;serif"/>
          <w:b w:val="false"/>
          <w:color w:val="000000"/>
          <w:sz w:val="20"/>
        </w:rPr>
        <w:t>Total Simply Good Foods retail takeaway</w:t>
      </w:r>
      <w:r>
        <w:rPr>
          <w:rFonts w:ascii="Garamond;serif" w:hAnsi="Garamond;serif"/>
          <w:b w:val="false"/>
          <w:color w:val="000000"/>
          <w:sz w:val="13"/>
        </w:rPr>
        <w:t>(5)</w:t>
      </w:r>
      <w:r>
        <w:rPr>
          <w:color w:val="000000"/>
        </w:rPr>
        <w:t xml:space="preserve"> </w:t>
      </w:r>
      <w:r>
        <w:rPr>
          <w:rFonts w:ascii="Garamond;serif" w:hAnsi="Garamond;serif"/>
          <w:b w:val="false"/>
          <w:color w:val="000000"/>
          <w:sz w:val="20"/>
        </w:rPr>
        <w:t>decreased about 6.7% driven by a growth for Quest of 1.4% and a decline for OWYN of 1.3%, while Atkins declined 23.9%, which was largely as expected for the brand due to known distribution losses.</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Gross profit of $116.1 million decreased 16.2% versus the comparable year ago period, driven by volume declines, higher input costs, and restructuring costs. Gross margin was 32.5%, a decline of 390 basis points versus prior year, which was largely driven by $6.2 million of restructuring costs (a 180-basis point headwind) and higher input costs.</w:t>
      </w:r>
    </w:p>
    <w:p>
      <w:pPr>
        <w:pStyle w:val="TextBody"/>
        <w:bidi w:val="0"/>
        <w:spacing w:before="0" w:after="0"/>
        <w:jc w:val="both"/>
        <w:rPr/>
      </w:pPr>
      <w:r>
        <w:rPr/>
      </w:r>
    </w:p>
    <w:p>
      <w:pPr>
        <w:pStyle w:val="TextBody"/>
        <w:bidi w:val="0"/>
        <w:spacing w:lineRule="auto" w:line="268" w:before="0" w:after="0"/>
        <w:jc w:val="both"/>
        <w:rPr>
          <w:rFonts w:ascii="Garamond;serif" w:hAnsi="Garamond;serif"/>
          <w:b w:val="false"/>
          <w:color w:val="000000"/>
          <w:sz w:val="20"/>
        </w:rPr>
      </w:pPr>
      <w:r>
        <w:rPr>
          <w:rFonts w:ascii="Garamond;serif" w:hAnsi="Garamond;serif"/>
          <w:b w:val="false"/>
          <w:color w:val="000000"/>
          <w:sz w:val="20"/>
        </w:rPr>
        <w:t>Selling and marketing expenses of $39.2 million increased 15.9% versus the comparable year ago period, which was largely driven by investments in our selling capability, increased spending to support longer-term brand growth and $1.1 million of restructuring costs.</w:t>
      </w:r>
    </w:p>
    <w:p>
      <w:pPr>
        <w:pStyle w:val="TextBody"/>
        <w:bidi w:val="0"/>
        <w:spacing w:before="0" w:after="0"/>
        <w:jc w:val="left"/>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General and administrative ("G&amp;A") expenses of $40.5 million, which contain $6.2 million in restructuring costs, decreased 1.9% versus the comparable year ago period, which contained $5.2 million of integration expenses.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w:t>
                      </w:r>
                    </w:p>
                  </w:txbxContent>
                </v:textbox>
                <w10:wrap type="none"/>
              </v:rect>
            </w:pict>
          </mc:Fallback>
        </mc:AlternateContent>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As part of the Company's process to evaluate the carrying value of its brands, the Company recognized an aggregate $82.0 million non-cash, impairment charge related to Goodwill, and the Atkins and OWYN brand intangible assets. The impairment is largely the result of declines in stock price.</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Net interest expense of $5.1 million reflected a 20.3% increase versus the comparable year ago period due to a higher debt balance.</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The effective tax rate was 5.4%.</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Net loss of $52.0 million compared to net income of $41.1 million for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Adjusted EBITDA of $57.2 million decreased 22.5% versus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Reported loss per diluted share was $0.58 versus reported earnings per diluted share of $0.40 in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Adjusted Diluted EPS was $0.42 versus $0.51 in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Weighted average diluted shares outstanding of 89.9 million declined modestly versus the comparable year ago period, reflecting share repurchases.</w:t>
      </w:r>
    </w:p>
    <w:p>
      <w:pPr>
        <w:pStyle w:val="TextBody"/>
        <w:bidi w:val="0"/>
        <w:spacing w:before="0" w:after="0"/>
        <w:jc w:val="both"/>
        <w:rPr/>
      </w:pPr>
      <w:r>
        <w:rPr/>
      </w: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Year-to-Date Third Quarter Fiscal Year 2026 Highlights vs. Year-to-date Third Quarter Fiscal Year 2025</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Net sales of $1,023.2 million decreased 5.4% versus the comparable year ago period, driven by declines for Atkins and OWYN of 22.6% and 5.5%, respectively, offset by Quest growth of 3.4%. Atkins distribution related declines were largely as expected. OWYN's net sales decline was the result of poor velocities, including on newly expanded distribution.</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Total Simply Good Foods retail takeaway decreased about 3.8% driven by growth for Quest and OWYN of 5.1% and 4.8%, respectively, while Atkins declined 22.1%, largely as expected.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Gross profit of $329.0 million decreased 17.6% versus the comparable year ago period, driven by higher input costs. Gross margin was 32.2%, a 470-basis point decline versus the comparable year ago period, driven mainly by $6.5 million of one-time OWYN integration expenses and $6.2 million of restructuring costs.</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Selling and marketing expenses of $97.0 million decreased 4.8% versus the comparable year ago period driven by planned marketing declines for Atkins, which more than offset increases to support growth for Quest and OWYN.</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G&amp;A expenses of $113.3 million, which contain restructuring costs of $10.8 million, integration expenses of $4.1 million, and term loan transaction fees of $3.0 million, decreased 1.7% versus the comparable year ago period, which contained $12.1 million of integration expenses and $0.7 million of term loan transaction fees.</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As part of the Company's process to evaluate the carrying value of its brands, the Company recognized an aggregate $331.0 million non-cash, impairment charge related to Goodwill, and the Atkins and OWYN brand intangible assets. The impairment is largely the result of current fiscal year performance, updated projections of future revenue, and declines in stock price.</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Net interest expense of $13.8 million reflected a 18.4% decrease versus the comparable year ago period due to lower interest rates.</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The effective tax rate was 22.1%.</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Net loss of $186.4 million compared to net income of $116.0 million versus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Adjusted EBITDA of $168.4 million decreased 20.5% versus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Reported loss per diluted share was $1.99 versus reported earnings per share of $1.14 in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Adjusted Diluted EPS was $1.26 versus $1.46 in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Weighted average diluted shares outstanding of 93.7 million declined modestly versus the comparable year ago period, reflecting share repurchases.</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w:t>
                      </w:r>
                    </w:p>
                  </w:txbxContent>
                </v:textbox>
                <w10:wrap type="none"/>
              </v:rect>
            </w:pict>
          </mc:Fallback>
        </mc:AlternateContent>
      </w: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Balance Sheet and Cash Flow</w:t>
      </w:r>
    </w:p>
    <w:p>
      <w:pPr>
        <w:pStyle w:val="TextBody"/>
        <w:bidi w:val="0"/>
        <w:spacing w:before="0" w:after="0"/>
        <w:jc w:val="both"/>
        <w:rPr/>
      </w:pPr>
      <w:r>
        <w:rPr/>
      </w:r>
    </w:p>
    <w:p>
      <w:pPr>
        <w:pStyle w:val="TextBody"/>
        <w:bidi w:val="0"/>
        <w:spacing w:lineRule="auto" w:line="288" w:before="0" w:after="0"/>
        <w:jc w:val="both"/>
        <w:rPr/>
      </w:pPr>
      <w:r>
        <w:rPr>
          <w:rFonts w:ascii="Garamond;serif" w:hAnsi="Garamond;serif"/>
          <w:b w:val="false"/>
          <w:color w:val="000000"/>
          <w:sz w:val="20"/>
        </w:rPr>
        <w:t>At the end of the third quarter of fiscal year 2026, the Company had cash of $123.9 million and an outstanding principal balance on its term loan of $400.0 million, bringing the Company's quarter-end trailing twelve-month Net Debt to Adjusted EBITDA ratio to 1.2x</w:t>
      </w:r>
      <w:r>
        <w:rPr>
          <w:rFonts w:ascii="Garamond;serif" w:hAnsi="Garamond;serif"/>
          <w:b w:val="false"/>
          <w:color w:val="000000"/>
          <w:sz w:val="13"/>
        </w:rPr>
        <w:t>(6)</w:t>
      </w:r>
      <w:r>
        <w:rPr>
          <w:rFonts w:ascii="Garamond;serif" w:hAnsi="Garamond;serif"/>
          <w:b w:val="false"/>
          <w:color w:val="000000"/>
          <w:sz w:val="20"/>
        </w:rPr>
        <w:t>. Higher cash and debt balances reflect the Company's strategic decision to borrow an additional $150.0 million concurrently with a three-year extension of the Company's existing credit facilities, which closed in November 2025. Year-to-date cash flow from operations was about $102.2 million versus $133.1 million in the comparable year ago period. Capital expenditures were approximately $10.1 million.</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During the quarter, the Company repurchased approximately 2.1 million shares of its common stock for approximately $25 million.</w:t>
      </w:r>
    </w:p>
    <w:p>
      <w:pPr>
        <w:pStyle w:val="TextBody"/>
        <w:bidi w:val="0"/>
        <w:spacing w:before="0" w:after="0"/>
        <w:jc w:val="both"/>
        <w:rPr/>
      </w:pPr>
      <w:r>
        <w:rPr/>
      </w: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Fiscal Year 2026 Outlook</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The Company is updating its previously provided outlook for fiscal year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Garamond;serif" w:hAnsi="Garamond;serif"/>
          <w:b w:val="false"/>
          <w:color w:val="000000"/>
          <w:sz w:val="20"/>
        </w:rPr>
        <w:t>Net Sales expected to range between $1.345 to $1.355 billion, or a decline of roughly 7% to 6% year-over-year</w:t>
      </w:r>
    </w:p>
    <w:p>
      <w:pPr>
        <w:pStyle w:val="TextBody"/>
        <w:bidi w:val="0"/>
        <w:spacing w:lineRule="auto" w:line="288" w:before="0" w:after="0"/>
        <w:ind w:left="0" w:right="0" w:hanging="360"/>
        <w:jc w:val="both"/>
        <w:rPr/>
      </w:pPr>
      <w:r>
        <w:rPr>
          <w:color w:val="000000"/>
        </w:rPr>
        <w:t>•</w:t>
      </w:r>
      <w:r>
        <w:rPr>
          <w:rFonts w:ascii="Garamond;serif" w:hAnsi="Garamond;serif"/>
          <w:b w:val="false"/>
          <w:color w:val="000000"/>
          <w:sz w:val="20"/>
        </w:rPr>
        <w:t>Gross Margins expected to decline approximately 375 basis points year-over-year</w:t>
      </w:r>
    </w:p>
    <w:p>
      <w:pPr>
        <w:pStyle w:val="TextBody"/>
        <w:bidi w:val="0"/>
        <w:spacing w:lineRule="auto" w:line="288" w:before="0" w:after="0"/>
        <w:ind w:left="0" w:right="0" w:hanging="360"/>
        <w:jc w:val="both"/>
        <w:rPr/>
      </w:pPr>
      <w:r>
        <w:rPr>
          <w:color w:val="000000"/>
        </w:rPr>
        <w:t>•</w:t>
      </w:r>
      <w:r>
        <w:rPr>
          <w:rFonts w:ascii="Garamond;serif" w:hAnsi="Garamond;serif"/>
          <w:b w:val="false"/>
          <w:color w:val="000000"/>
          <w:sz w:val="20"/>
        </w:rPr>
        <w:t>Adjusted EBITDA expected to range between $220 to $225 million, or -21% to -19% year-over-year</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The Company continues to expect net interest expense in the range of $19 to $21 million. The Company now expects capital expenditures in the range of $20 to $25 million. Finally, given the effect of year-to-date share repurchases, the Company now expects a weighted average diluted share count of approximately 90 million shares.</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For the fourth quarter of fiscal year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Garamond;serif" w:hAnsi="Garamond;serif"/>
          <w:b w:val="false"/>
          <w:color w:val="000000"/>
          <w:sz w:val="20"/>
        </w:rPr>
        <w:t>The Company expects Net Sales to range between $322 to $332 million, or -13% to -10% year-over-year</w:t>
      </w:r>
    </w:p>
    <w:p>
      <w:pPr>
        <w:pStyle w:val="TextBody"/>
        <w:bidi w:val="0"/>
        <w:spacing w:lineRule="auto" w:line="288" w:before="0" w:after="0"/>
        <w:ind w:left="0" w:right="0" w:hanging="360"/>
        <w:jc w:val="both"/>
        <w:rPr/>
      </w:pPr>
      <w:r>
        <w:rPr>
          <w:color w:val="000000"/>
        </w:rPr>
        <w:t>•</w:t>
      </w:r>
      <w:r>
        <w:rPr>
          <w:rFonts w:ascii="Garamond;serif" w:hAnsi="Garamond;serif"/>
          <w:b w:val="false"/>
          <w:color w:val="000000"/>
          <w:sz w:val="20"/>
        </w:rPr>
        <w:t>Adjusted EBITDA expected to range from $52 to $57 million, or -22% to -14% year-over-year</w:t>
      </w:r>
    </w:p>
    <w:p>
      <w:pPr>
        <w:pStyle w:val="TextBody"/>
        <w:bidi w:val="0"/>
        <w:spacing w:lineRule="auto" w:line="288" w:before="0" w:after="0"/>
        <w:ind w:left="0" w:right="0" w:hanging="360"/>
        <w:jc w:val="both"/>
        <w:rPr/>
      </w:pPr>
      <w:r>
        <w:rPr>
          <w:color w:val="000000"/>
        </w:rPr>
        <w:t>•</w:t>
      </w:r>
      <w:r>
        <w:rPr>
          <w:rFonts w:ascii="Garamond;serif" w:hAnsi="Garamond;serif"/>
          <w:b w:val="false"/>
          <w:color w:val="000000"/>
          <w:sz w:val="20"/>
        </w:rPr>
        <w:t>The Company expects an effective tax rate of approximately 25%</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The foregoing outlook assumes current economic conditions, consumer purchasing behavior and prevailing tariff rates remain generally consistent across the Company's fiscal year.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16"/>
        </w:rPr>
      </w:pPr>
      <w:r>
        <w:rPr>
          <w:rFonts w:ascii="Garamond;serif" w:hAnsi="Garamond;serif"/>
          <w:b w:val="false"/>
          <w:color w:val="000000"/>
          <w:sz w:val="16"/>
        </w:rPr>
        <w:t>_______________________________</w:t>
      </w:r>
    </w:p>
    <w:p>
      <w:pPr>
        <w:pStyle w:val="TextBody"/>
        <w:bidi w:val="0"/>
        <w:spacing w:lineRule="auto" w:line="288" w:before="0" w:after="0"/>
        <w:jc w:val="both"/>
        <w:rPr/>
      </w:pPr>
      <w:r>
        <w:rPr>
          <w:rFonts w:ascii="Garamond;serif" w:hAnsi="Garamond;serif"/>
          <w:b w:val="false"/>
          <w:i/>
          <w:color w:val="000000"/>
          <w:sz w:val="10"/>
        </w:rPr>
        <w:t>(1)</w:t>
      </w:r>
      <w:r>
        <w:rPr>
          <w:color w:val="000000"/>
        </w:rPr>
        <w:t xml:space="preserve"> </w:t>
      </w:r>
      <w:r>
        <w:rPr>
          <w:rFonts w:ascii="Garamond;serif" w:hAnsi="Garamond;serif"/>
          <w:b w:val="false"/>
          <w:i/>
          <w:color w:val="000000"/>
          <w:sz w:val="16"/>
        </w:rPr>
        <w:t>All comparisons for the third quarter ended May 30, 2026, versus the comparable year-ago period ended May 31, 2025.</w:t>
      </w:r>
    </w:p>
    <w:p>
      <w:pPr>
        <w:pStyle w:val="TextBody"/>
        <w:bidi w:val="0"/>
        <w:spacing w:lineRule="auto" w:line="288" w:before="0" w:after="0"/>
        <w:ind w:left="0" w:right="0" w:hanging="180"/>
        <w:jc w:val="both"/>
        <w:rPr/>
      </w:pPr>
      <w:r>
        <w:rPr>
          <w:rFonts w:ascii="Garamond;serif" w:hAnsi="Garamond;serif"/>
          <w:b w:val="false"/>
          <w:i/>
          <w:color w:val="000000"/>
          <w:sz w:val="10"/>
        </w:rPr>
        <w:t>(2)</w:t>
      </w:r>
      <w:r>
        <w:rPr>
          <w:color w:val="000000"/>
        </w:rPr>
        <w:t xml:space="preserve"> </w:t>
      </w:r>
      <w:r>
        <w:rPr>
          <w:rFonts w:ascii="Garamond;serif" w:hAnsi="Garamond;serif"/>
          <w:b w:val="false"/>
          <w:i/>
          <w:color w:val="000000"/>
          <w:sz w:val="16"/>
        </w:rPr>
        <w:t>Adjusted Diluted Earnings Per Share is a non-GAAP financial measure. The Company excludes restructuring costs, acquisition-related costs, such as Business Transaction costs, integration expense and depreciation and amortization expense in calculating Adjusted Diluted Earnings Per Share. Please refer to "Reconciliation of Adjusted Diluted Earnings Per Share" in this press release for an explanation and reconciliation of this non-GAAP financial measure.</w:t>
      </w:r>
    </w:p>
    <w:p>
      <w:pPr>
        <w:pStyle w:val="TextBody"/>
        <w:bidi w:val="0"/>
        <w:spacing w:lineRule="auto" w:line="288" w:before="0" w:after="0"/>
        <w:ind w:left="0" w:right="0" w:hanging="180"/>
        <w:jc w:val="both"/>
        <w:rPr/>
      </w:pPr>
      <w:r>
        <w:rPr>
          <w:rFonts w:ascii="Garamond;serif" w:hAnsi="Garamond;serif"/>
          <w:b w:val="false"/>
          <w:i/>
          <w:color w:val="000000"/>
          <w:sz w:val="10"/>
        </w:rPr>
        <w:t>(3)</w:t>
      </w:r>
      <w:r>
        <w:rPr>
          <w:color w:val="000000"/>
        </w:rPr>
        <w:t xml:space="preserve"> </w:t>
      </w:r>
      <w:r>
        <w:rPr>
          <w:rFonts w:ascii="Garamond;serif" w:hAnsi="Garamond;serif"/>
          <w:b w:val="false"/>
          <w:i/>
          <w:color w:val="000000"/>
          <w:sz w:val="16"/>
        </w:rPr>
        <w:t>Adjusted Earnings Before Interest, Taxes, Depreciation and Amortization ("EBITDA") is a non-GAAP financial measure. Please refer to the "Reconciliation of EBITDA and Adjusted EBITDA" in this press release for an explanation and reconciliation of this non-GAAP financial measure.</w:t>
      </w:r>
    </w:p>
    <w:p>
      <w:pPr>
        <w:pStyle w:val="TextBody"/>
        <w:bidi w:val="0"/>
        <w:spacing w:lineRule="auto" w:line="288" w:before="0" w:after="0"/>
        <w:ind w:left="0" w:right="0" w:hanging="180"/>
        <w:jc w:val="both"/>
        <w:rPr/>
      </w:pPr>
      <w:r>
        <w:rPr>
          <w:rFonts w:ascii="Garamond;serif" w:hAnsi="Garamond;serif"/>
          <w:b w:val="false"/>
          <w:i/>
          <w:color w:val="000000"/>
          <w:sz w:val="10"/>
        </w:rPr>
        <w:t>(4)</w:t>
      </w:r>
      <w:r>
        <w:rPr>
          <w:color w:val="000000"/>
        </w:rPr>
        <w:t xml:space="preserve"> </w:t>
      </w:r>
      <w:r>
        <w:rPr>
          <w:rFonts w:ascii="Garamond;serif" w:hAnsi="Garamond;serif"/>
          <w:b w:val="false"/>
          <w:i/>
          <w:color w:val="000000"/>
          <w:sz w:val="16"/>
        </w:rPr>
        <w:t>The Company does not provide a forward-looking reconciliation of expected Fiscal Year 2026 Adjusted EBITDA to Net Income, the most directly comparable GAAP financial measure, because we are unable to provide such a reconciliation without unreasonable effort due to the unavailability of reliable estimates for certain components of consolidated net income and the respective reconciliations, and the inherent difficulty of predicting what the changes in these components will be throughout the fiscal year. As these items may vary greatly between periods, we are unable to address the probable significance of the unavailable information, which could significantly affect our future financial results.</w:t>
      </w:r>
    </w:p>
    <w:p>
      <w:pPr>
        <w:pStyle w:val="TextBody"/>
        <w:bidi w:val="0"/>
        <w:spacing w:lineRule="auto" w:line="288" w:before="0" w:after="0"/>
        <w:ind w:left="0" w:right="0" w:hanging="180"/>
        <w:jc w:val="both"/>
        <w:rPr/>
      </w:pPr>
      <w:r>
        <w:rPr>
          <w:rFonts w:ascii="Garamond;serif" w:hAnsi="Garamond;serif"/>
          <w:b w:val="false"/>
          <w:i/>
          <w:color w:val="000000"/>
          <w:sz w:val="10"/>
        </w:rPr>
        <w:t>(5)</w:t>
      </w:r>
      <w:r>
        <w:rPr>
          <w:color w:val="000000"/>
        </w:rPr>
        <w:t xml:space="preserve"> </w:t>
      </w:r>
      <w:r>
        <w:rPr>
          <w:rFonts w:ascii="Garamond;serif" w:hAnsi="Garamond;serif"/>
          <w:b w:val="false"/>
          <w:i/>
          <w:color w:val="000000"/>
          <w:sz w:val="16"/>
        </w:rPr>
        <w:t>Combined Quest, Atkins, and OWYN Circana MULO++C and Company unmeasured channel estimate for the 13-weeks ending May 31, 2026, vs. the comparable 13-week year ago period.</w:t>
      </w:r>
    </w:p>
    <w:p>
      <w:pPr>
        <w:pStyle w:val="TextBody"/>
        <w:bidi w:val="0"/>
        <w:spacing w:lineRule="auto" w:line="288"/>
        <w:ind w:left="0" w:right="0" w:hanging="180"/>
        <w:jc w:val="both"/>
        <w:rPr/>
      </w:pPr>
      <w:r>
        <w:rPr>
          <w:rFonts w:ascii="Garamond;serif" w:hAnsi="Garamond;serif"/>
          <w:b w:val="false"/>
          <w:i/>
          <w:color w:val="000000"/>
          <w:sz w:val="10"/>
        </w:rPr>
        <w:t xml:space="preserve">(6) </w:t>
      </w:r>
      <w:r>
        <w:rPr>
          <w:rFonts w:ascii="Garamond;serif" w:hAnsi="Garamond;serif"/>
          <w:b w:val="false"/>
          <w:i/>
          <w:color w:val="000000"/>
          <w:sz w:val="16"/>
        </w:rPr>
        <w:t>Net Debt to Adjusted EBITDA is a non-GAAP financial measure which Simply Good Foods defines as the total debt outstanding under our credit agreement with Barclays Bank PLC and other parties ("Credit Agreement"), reduced by cash and cash equivalents, and divided by the Company's trailing twelve month Adjusted EBITDA, as previously defined. The Company does not provide a forward-looking reconciliation of Net Debt to Adjusted EBITDA to Net Debt to Consolidated Net Income, the most directly comparable GAAP financial measures, expected for Fiscal Year 2026, because we are unable to provide such a reconciliation without unreasonable effort due to the unavailability of reliable estimates for certain components of consolidated net income and the respective reconciliations, and the inherent difficulty of predicting what the changes in these components will be throughout the fiscal year. As these items may vary greatly between periods, we are unable to address the probable significance of the unavailable information, which could significantly affect our future financial results.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w:t>
                      </w:r>
                    </w:p>
                  </w:txbxContent>
                </v:textbox>
                <w10:wrap type="none"/>
              </v:rect>
            </w:pict>
          </mc:Fallback>
        </mc:AlternateContent>
      </w:r>
    </w:p>
    <w:p>
      <w:pPr>
        <w:pStyle w:val="TextBody"/>
        <w:bidi w:val="0"/>
        <w:spacing w:lineRule="auto" w:line="288" w:before="0" w:after="0"/>
        <w:ind w:left="0" w:right="0" w:hanging="180"/>
        <w:jc w:val="both"/>
        <w:rPr>
          <w:rFonts w:ascii="Garamond;serif" w:hAnsi="Garamond;serif"/>
          <w:b/>
          <w:color w:val="000000"/>
          <w:sz w:val="20"/>
        </w:rPr>
      </w:pPr>
      <w:r>
        <w:rPr>
          <w:rFonts w:ascii="Garamond;serif" w:hAnsi="Garamond;serif"/>
          <w:b/>
          <w:color w:val="000000"/>
          <w:sz w:val="20"/>
        </w:rPr>
        <w:t>Conference Call and Webcast Information</w:t>
      </w:r>
    </w:p>
    <w:p>
      <w:pPr>
        <w:pStyle w:val="TextBody"/>
        <w:bidi w:val="0"/>
        <w:spacing w:lineRule="auto" w:line="288" w:before="0" w:after="0"/>
        <w:jc w:val="both"/>
        <w:rPr/>
      </w:pPr>
      <w:r>
        <w:rPr>
          <w:rFonts w:ascii="Garamond;serif" w:hAnsi="Garamond;serif"/>
          <w:b w:val="false"/>
          <w:color w:val="000000"/>
          <w:sz w:val="20"/>
        </w:rPr>
        <w:t xml:space="preserve">The Company will host a conference call with members of the executive management team to discuss these results today, Thursday, July 9, 2026, at 6:30 a.m. Mountain time (8:30 a.m. Eastern time). Investors interested in participating in the live call can dial 877-407-0792 from the U.S. or 201-689-8263 from international locations. A live webcast will be available via the "Investors" section of the Company's website at </w:t>
      </w:r>
      <w:r>
        <w:rPr>
          <w:rFonts w:ascii="Garamond;serif" w:hAnsi="Garamond;serif"/>
          <w:b w:val="false"/>
          <w:color w:val="0563C1"/>
          <w:sz w:val="20"/>
          <w:u w:val="single"/>
        </w:rPr>
        <w:t>www.thesimplygoodfoodscompany.com</w:t>
      </w:r>
      <w:r>
        <w:rPr>
          <w:rFonts w:ascii="Garamond;serif" w:hAnsi="Garamond;serif"/>
          <w:b w:val="false"/>
          <w:color w:val="000000"/>
          <w:sz w:val="20"/>
        </w:rPr>
        <w:t>. A telephone replay will be available approximately two hours after the call concludes and will remain accessible through July 23, 2026, by dialing 844-512-2921 from the U.S., or 412-317-6671 from international locations, and entering confirmation code 13760722.</w:t>
      </w:r>
    </w:p>
    <w:p>
      <w:pPr>
        <w:pStyle w:val="TextBody"/>
        <w:bidi w:val="0"/>
        <w:spacing w:before="0" w:after="0"/>
        <w:jc w:val="both"/>
        <w:rPr/>
      </w:pPr>
      <w:r>
        <w:rPr/>
      </w: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About The Simply Good Foods Company</w:t>
      </w:r>
    </w:p>
    <w:p>
      <w:pPr>
        <w:pStyle w:val="TextBody"/>
        <w:bidi w:val="0"/>
        <w:spacing w:lineRule="auto" w:line="288" w:before="0" w:after="0"/>
        <w:jc w:val="both"/>
        <w:rPr/>
      </w:pPr>
      <w:r>
        <w:rPr>
          <w:rFonts w:ascii="Garamond;serif" w:hAnsi="Garamond;serif"/>
          <w:b w:val="false"/>
          <w:color w:val="000000"/>
          <w:sz w:val="20"/>
        </w:rPr>
        <w:t xml:space="preserve">The Simply Good Foods Company (Nasdaq: SMPL), headquartered in Denver, Colorado, is a consumer packaged food and beverage company with ambitious goals to raise the bar on what food can be with trusted brands and innovative nutritious snacking products. Within our portfolio of trusted brands (Quest™, Atkins™, and OWYN™), we offer a wide variety of nutritional snacks and beverages, including high protein chips, bars, ready-to-drink (RTD) shakes, and powders, and low sugar, low carb sweets and baked goods. We are a leader of the nutritious snacking movement, poised to expand our healthy lifestyle platform through innovation-driven organic growth and external investment opportunities. To learn more, visit </w:t>
      </w:r>
      <w:r>
        <w:rPr>
          <w:rFonts w:ascii="Garamond;serif" w:hAnsi="Garamond;serif"/>
          <w:b w:val="false"/>
          <w:color w:val="0563C1"/>
          <w:sz w:val="20"/>
          <w:u w:val="single"/>
        </w:rPr>
        <w:t>www.thesimplygoodfoodscompany.com</w:t>
      </w:r>
      <w:r>
        <w:rPr>
          <w:rFonts w:ascii="Garamond;serif" w:hAnsi="Garamond;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Garamond;serif" w:hAnsi="Garamond;serif"/>
          <w:b/>
          <w:color w:val="000000"/>
          <w:sz w:val="20"/>
        </w:rPr>
      </w:pPr>
      <w:r>
        <w:rPr>
          <w:rFonts w:ascii="Garamond;serif" w:hAnsi="Garamond;serif"/>
          <w:b/>
          <w:color w:val="000000"/>
          <w:sz w:val="20"/>
        </w:rPr>
        <w:t>Investor Contact</w:t>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Matt Siler</w:t>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Vice President, Investor Relations and Treasury</w:t>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The Simply Good Foods Company</w:t>
      </w:r>
    </w:p>
    <w:p>
      <w:pPr>
        <w:pStyle w:val="TextBody"/>
        <w:bidi w:val="0"/>
        <w:spacing w:lineRule="auto" w:line="288"/>
        <w:jc w:val="left"/>
        <w:rPr>
          <w:rFonts w:ascii="Garamond;serif" w:hAnsi="Garamond;serif"/>
          <w:b w:val="false"/>
          <w:color w:val="0563C1"/>
          <w:sz w:val="20"/>
          <w:u w:val="single"/>
        </w:rPr>
      </w:pPr>
      <w:r>
        <w:rPr>
          <w:rFonts w:ascii="Garamond;serif" w:hAnsi="Garamond;serif"/>
          <w:b w:val="false"/>
          <w:color w:val="0563C1"/>
          <w:sz w:val="20"/>
          <w:u w:val="single"/>
        </w:rPr>
        <w:t>msiler@simplygoodfoodsco.com</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4</w:t>
                      </w:r>
                    </w:p>
                  </w:txbxContent>
                </v:textbox>
                <w10:wrap type="none"/>
              </v:rect>
            </w:pict>
          </mc:Fallback>
        </mc:AlternateContent>
      </w:r>
    </w:p>
    <w:p>
      <w:pPr>
        <w:pStyle w:val="TextBody"/>
        <w:bidi w:val="0"/>
        <w:spacing w:lineRule="auto" w:line="288" w:before="0" w:after="0"/>
        <w:jc w:val="left"/>
        <w:rPr>
          <w:rFonts w:ascii="Garamond;serif" w:hAnsi="Garamond;serif"/>
          <w:b/>
          <w:color w:val="000000"/>
          <w:sz w:val="20"/>
        </w:rPr>
      </w:pPr>
      <w:r>
        <w:rPr>
          <w:rFonts w:ascii="Garamond;serif" w:hAnsi="Garamond;serif"/>
          <w:b/>
          <w:color w:val="000000"/>
          <w:sz w:val="20"/>
        </w:rPr>
        <w:t>Forward Looking Statements</w:t>
      </w:r>
    </w:p>
    <w:p>
      <w:pPr>
        <w:pStyle w:val="TextBody"/>
        <w:bidi w:val="0"/>
        <w:spacing w:before="0" w:after="0"/>
        <w:jc w:val="left"/>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Certain statements made herein are not historical facts but are forward-looking statements for purposes of the safe harbor provisions under The Private Securities Litigation Reform Act of 1995. Forward-looking statements generally are accompanied by or include words such as “will”, “expect”, “intends” or other similar words, phrases or expressions.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risks and uncertainties relate to, among other things, our operations being dependent on changes in consumer preferences and purchasing habits regarding our products, a global supply chain and effects of supply chain constraints, inflationary pressure and tariffs on us and our contract manufacturers, our ability to continue to operate at a profit or to maintain our margins, the sufficiency of our sources of liquidity and capital, our ability to maintain current operation levels and implement our growth strategies, our ability to maintain and gain market acceptance for our products or new products, our ability to capitalize on attractive opportunities, our ability to respond to competition and changes in the economy including changes regarding inflation and increasing ingredient and packaging costs and labor challenges due to tariffs or other challenges at our contract manufacturers and third party logistics providers, the amounts of or changes with respect to certain anticipated raw materials and other costs, difficulties and delays in achieving the synergies and cost savings in connection with acquisitions, changes in the business environment in which we operate including general financial, economic, capital market, regulatory and geopolitical conditions affecting us and the industry in which we operate, our ability to maintain adequate product inventory levels to timely supply customer orders,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effect pandemics or other global disruptions on our business, financial condition and results of operations, the loss of one or more members of our management team, potential for increased costs, the harm to our business resulting from unauthorized access of the information technology systems we use in our business, and other risks and uncertainties indicated in the Company’s Form 10-K, Form 10-Q, and Form 8-K reports (including all amendments to those reports) filed with the U.S. Securities and Exchange Commission from time to time. In addition, forward-looking statements provide the Company’s expectations, plans or forecasts of future events and views as of the date of this communication. Except as required by law, the Company undertakes no obligation to update such statements to reflect events or circumstances arising after such date and cautions investors not to place undue reliance on any such forward-looking statements. These forward-looking statements should not be relied upon as representing the Company’s assessments as of any date subsequent to the date of this communication.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5</w:t>
                      </w:r>
                    </w:p>
                  </w:txbxContent>
                </v:textbox>
                <w10:wrap type="none"/>
              </v:rect>
            </w:pict>
          </mc:Fallback>
        </mc:AlternateConten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The Simply Good Foods Company and Subsidiaries</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 xml:space="preserve">Consolidated Balance Sheets </w:t>
      </w:r>
    </w:p>
    <w:p>
      <w:pPr>
        <w:pStyle w:val="TextBody"/>
        <w:bidi w:val="0"/>
        <w:spacing w:lineRule="auto" w:line="288" w:before="0" w:after="120"/>
        <w:jc w:val="center"/>
        <w:rPr>
          <w:rFonts w:ascii="Garamond;serif" w:hAnsi="Garamond;serif"/>
          <w:b w:val="false"/>
          <w:i/>
          <w:color w:val="000000"/>
          <w:sz w:val="20"/>
        </w:rPr>
      </w:pPr>
      <w:r>
        <w:rPr>
          <w:rFonts w:ascii="Garamond;serif" w:hAnsi="Garamond;serif"/>
          <w:b w:val="false"/>
          <w:i/>
          <w:color w:val="000000"/>
          <w:sz w:val="20"/>
        </w:rPr>
        <w:t>(Unaudited, dollars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594"/>
        <w:gridCol w:w="1961"/>
        <w:gridCol w:w="1954"/>
        <w:gridCol w:w="109"/>
        <w:gridCol w:w="109"/>
        <w:gridCol w:w="109"/>
        <w:gridCol w:w="226"/>
        <w:gridCol w:w="1126"/>
        <w:gridCol w:w="109"/>
        <w:gridCol w:w="109"/>
        <w:gridCol w:w="109"/>
        <w:gridCol w:w="109"/>
        <w:gridCol w:w="236"/>
        <w:gridCol w:w="1181"/>
        <w:gridCol w:w="164"/>
      </w:tblGrid>
      <w:tr>
        <w:trPr/>
        <w:tc>
          <w:tcPr>
            <w:tcW w:w="2594"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98,468 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156,067 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164,978 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167,217 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7,209 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15,812 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464,138 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453,684 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39,738 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956,883 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1,261,603 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589,974 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47,115 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51,046 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2,062,444 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2,396,045 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57,025 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78,298 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46,219 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96,778 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124,561 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249,066 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166,091 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49,494 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644,324 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589,212 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See commitments and contingencies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 xml:space="preserve">Preferred stock, $0.01 par value, 100,000,000 shares authorized, none issued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Common stock, $0.01 par value, 600,000,000 shares authorized, 104,050,545 and 103,688,071 shares issued at May 30, 2026, and August 30,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Treasury stock, 15,609,338 shares and 3,957,571 shares at cost at May 30, 2026, and August 30,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(344,670)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(129,337)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Additional paid-in-capital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1,358,758 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1,346,687 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590,879 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(2,433)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1,418,120 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1,806,833 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2,062,444 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2,396,045 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6</w:t>
                      </w:r>
                    </w:p>
                  </w:txbxContent>
                </v:textbox>
                <w10:wrap type="none"/>
              </v:rect>
            </w:pict>
          </mc:Fallback>
        </mc:AlternateConten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The Simply Good Foods Company and Subsidiaries</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Consolidated Statements of Income and Comprehensive Income</w:t>
      </w:r>
    </w:p>
    <w:p>
      <w:pPr>
        <w:pStyle w:val="TextBody"/>
        <w:bidi w:val="0"/>
        <w:spacing w:lineRule="auto" w:line="288" w:before="0" w:after="0"/>
        <w:jc w:val="center"/>
        <w:rPr>
          <w:rFonts w:ascii="Garamond;serif" w:hAnsi="Garamond;serif"/>
          <w:b w:val="false"/>
          <w:i/>
          <w:color w:val="000000"/>
          <w:sz w:val="20"/>
        </w:rPr>
      </w:pPr>
      <w:r>
        <w:rPr>
          <w:rFonts w:ascii="Garamond;serif" w:hAnsi="Garamond;serif"/>
          <w:b w:val="false"/>
          <w:i/>
          <w:color w:val="000000"/>
          <w:sz w:val="20"/>
        </w:rPr>
        <w:t>(Unaudited, dollars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24"/>
        <w:gridCol w:w="969"/>
        <w:gridCol w:w="776"/>
        <w:gridCol w:w="109"/>
        <w:gridCol w:w="109"/>
        <w:gridCol w:w="109"/>
        <w:gridCol w:w="246"/>
        <w:gridCol w:w="1010"/>
        <w:gridCol w:w="112"/>
        <w:gridCol w:w="109"/>
        <w:gridCol w:w="109"/>
        <w:gridCol w:w="109"/>
        <w:gridCol w:w="263"/>
        <w:gridCol w:w="1103"/>
        <w:gridCol w:w="112"/>
        <w:gridCol w:w="109"/>
        <w:gridCol w:w="109"/>
        <w:gridCol w:w="109"/>
        <w:gridCol w:w="226"/>
        <w:gridCol w:w="1126"/>
        <w:gridCol w:w="109"/>
        <w:gridCol w:w="109"/>
        <w:gridCol w:w="109"/>
        <w:gridCol w:w="109"/>
        <w:gridCol w:w="228"/>
        <w:gridCol w:w="1138"/>
        <w:gridCol w:w="155"/>
      </w:tblGrid>
      <w:tr>
        <w:trPr/>
        <w:tc>
          <w:tcPr>
            <w:tcW w:w="132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1" w:name="i304fec7ecb894398b7275dc0d1f64a0c_0-0-1-"/>
            <w:bookmarkStart w:id="2" w:name="i304fec7ecb894398b7275dc0d1f64a0c_0-0-1-"/>
            <w:bookmarkEnd w:id="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356,983 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380,956 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1,023,194 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1,081,879 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240,884 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242,437 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694,162 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682,737 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116,099 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138,519 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329,032 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399,142 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39,173 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33,799 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101,871 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40,453 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41,229 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115,306 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12,479 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Business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165,963 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79,199 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554,630 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230,476 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(49,864)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59,320 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(225,598)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168,666 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(5,776)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(19,099)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Gain (loss) on foreign currency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(5,071)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(4,578)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(17,271)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(54,935)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54,742 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(239,140)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151,395 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13,640 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35,424 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(51,972)</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41,102 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(186,401)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115,971 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Foreign currency translation, net of reclassification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(51,871)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41,411 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(185,455)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115,467 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earnings per share from 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(0.58)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89,940,680 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100,923,690 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93,677,801 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100,787,087 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89,940,680 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101,635,521 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93,677,801 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101,669,998 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7</w:t>
                      </w:r>
                    </w:p>
                  </w:txbxContent>
                </v:textbox>
                <w10:wrap type="none"/>
              </v:rect>
            </w:pict>
          </mc:Fallback>
        </mc:AlternateConten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The Simply Good Foods Company and Subsidiaries</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Consolidated Statements of Cash Flows</w:t>
      </w:r>
    </w:p>
    <w:p>
      <w:pPr>
        <w:pStyle w:val="TextBody"/>
        <w:bidi w:val="0"/>
        <w:spacing w:lineRule="auto" w:line="288" w:before="0" w:after="0"/>
        <w:jc w:val="center"/>
        <w:rPr>
          <w:rFonts w:ascii="Garamond;serif" w:hAnsi="Garamond;serif"/>
          <w:b w:val="false"/>
          <w:i/>
          <w:color w:val="000000"/>
          <w:sz w:val="20"/>
        </w:rPr>
      </w:pPr>
      <w:r>
        <w:rPr>
          <w:rFonts w:ascii="Garamond;serif" w:hAnsi="Garamond;serif"/>
          <w:b w:val="false"/>
          <w:i/>
          <w:color w:val="000000"/>
          <w:sz w:val="20"/>
        </w:rPr>
        <w:t>(Unaudited, dollars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93"/>
        <w:gridCol w:w="2129"/>
        <w:gridCol w:w="2139"/>
        <w:gridCol w:w="109"/>
        <w:gridCol w:w="109"/>
        <w:gridCol w:w="109"/>
        <w:gridCol w:w="229"/>
        <w:gridCol w:w="1033"/>
        <w:gridCol w:w="109"/>
        <w:gridCol w:w="109"/>
        <w:gridCol w:w="109"/>
        <w:gridCol w:w="109"/>
        <w:gridCol w:w="240"/>
        <w:gridCol w:w="1010"/>
        <w:gridCol w:w="169"/>
      </w:tblGrid>
      <w:tr>
        <w:trPr/>
        <w:tc>
          <w:tcPr>
            <w:tcW w:w="2493"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6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(186,401)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115,971 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Adjustments to reconcile net (loss)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15,480 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12,819 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Loss on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Estimated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Unrealized (gain) loss on foreign currency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(59,034)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10,583 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Amortization of operating lease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(2,382)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(23,185)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(783)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12,887 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(10,788)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(3,844)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102,170 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133,087 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(2,516)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Acquisition of business,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Investments in intangible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(1,389)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(2,192)</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Proceeds from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11,956</w:t>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Tax payments related to issuance of restricted stock units and 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(2,824)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Garamond;serif" w:hAnsi="Garamond;serif"/>
                <w:b w:val="false"/>
                <w:color w:val="000000"/>
                <w:sz w:val="18"/>
              </w:rPr>
            </w:pPr>
            <w:r>
              <w:rPr>
                <w:rFonts w:ascii="Garamond;serif" w:hAnsi="Garamond;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(213,204)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(24,338)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Principal 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(150,000)</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Garamond;serif" w:hAnsi="Garamond;serif"/>
                <w:b w:val="false"/>
                <w:color w:val="000000"/>
                <w:sz w:val="18"/>
              </w:rPr>
            </w:pPr>
            <w:r>
              <w:rPr>
                <w:rFonts w:ascii="Garamond;serif" w:hAnsi="Garamond;serif"/>
                <w:b w:val="false"/>
                <w:color w:val="000000"/>
                <w:sz w:val="18"/>
              </w:rPr>
              <w:t>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(66,947)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(165,206)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Net increase (decrease)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(34,311)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Effect of exchange rate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132,530 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123,884 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98,008 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8</w:t>
                      </w:r>
                    </w:p>
                  </w:txbxContent>
                </v:textbox>
                <w10:wrap type="none"/>
              </v:rect>
            </w:pict>
          </mc:Fallback>
        </mc:AlternateContent>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Net Sales by Geographic Area and Brands</w:t>
      </w:r>
    </w:p>
    <w:p>
      <w:pPr>
        <w:pStyle w:val="TextBody"/>
        <w:bidi w:val="0"/>
        <w:spacing w:before="0" w:after="0"/>
        <w:jc w:val="left"/>
        <w:rPr/>
      </w:pPr>
      <w:r>
        <w:rPr/>
      </w:r>
    </w:p>
    <w:p>
      <w:pPr>
        <w:pStyle w:val="TextBody"/>
        <w:bidi w:val="0"/>
        <w:spacing w:lineRule="auto" w:line="288" w:before="0" w:after="0"/>
        <w:ind w:left="0" w:right="0" w:firstLine="720"/>
        <w:jc w:val="left"/>
        <w:rPr>
          <w:rFonts w:ascii="Garamond;serif" w:hAnsi="Garamond;serif"/>
          <w:b w:val="false"/>
          <w:color w:val="000000"/>
          <w:sz w:val="20"/>
        </w:rPr>
      </w:pPr>
      <w:r>
        <w:rPr>
          <w:rFonts w:ascii="Garamond;serif" w:hAnsi="Garamond;serif"/>
          <w:b w:val="false"/>
          <w:color w:val="000000"/>
          <w:sz w:val="20"/>
        </w:rPr>
        <w:t>The following is a summary of revenue disaggregated by geographic area and brands:</w:t>
      </w:r>
    </w:p>
    <w:tbl>
      <w:tblPr>
        <w:tblW w:w="10205" w:type="dxa"/>
        <w:jc w:val="center"/>
        <w:tblInd w:w="0" w:type="dxa"/>
        <w:tblLayout w:type="fixed"/>
        <w:tblCellMar>
          <w:top w:w="28" w:type="dxa"/>
          <w:left w:w="28" w:type="dxa"/>
          <w:bottom w:w="28" w:type="dxa"/>
          <w:right w:w="28" w:type="dxa"/>
        </w:tblCellMar>
      </w:tblPr>
      <w:tblGrid>
        <w:gridCol w:w="820"/>
        <w:gridCol w:w="512"/>
        <w:gridCol w:w="516"/>
        <w:gridCol w:w="131"/>
        <w:gridCol w:w="131"/>
        <w:gridCol w:w="131"/>
        <w:gridCol w:w="280"/>
        <w:gridCol w:w="1173"/>
        <w:gridCol w:w="135"/>
        <w:gridCol w:w="131"/>
        <w:gridCol w:w="131"/>
        <w:gridCol w:w="131"/>
        <w:gridCol w:w="280"/>
        <w:gridCol w:w="1173"/>
        <w:gridCol w:w="135"/>
        <w:gridCol w:w="131"/>
        <w:gridCol w:w="131"/>
        <w:gridCol w:w="131"/>
        <w:gridCol w:w="273"/>
        <w:gridCol w:w="1363"/>
        <w:gridCol w:w="131"/>
        <w:gridCol w:w="131"/>
        <w:gridCol w:w="131"/>
        <w:gridCol w:w="131"/>
        <w:gridCol w:w="273"/>
        <w:gridCol w:w="1363"/>
        <w:gridCol w:w="206"/>
      </w:tblGrid>
      <w:tr>
        <w:trPr/>
        <w:tc>
          <w:tcPr>
            <w:tcW w:w="82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Thirteen Weeks Ended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1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North America </w:t>
            </w:r>
            <w:r>
              <w:rPr>
                <w:rFonts w:ascii="Garamond;serif" w:hAnsi="Garamond;serif"/>
                <w:b w:val="false"/>
                <w:color w:val="000000"/>
                <w:sz w:val="12"/>
              </w:rPr>
              <w:t>(1)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Atkins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84,649 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112,287 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254,636 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329,105 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Quest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230,260 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227,737 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652,045 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630,445 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OWYN</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34,774 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33,551 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94,091 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99,611 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North America</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349,683 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373,575 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1,000,772 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1,059,161 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International</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7,300 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7,381 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22,422 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22,718 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net sales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356,983 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380,956 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1,023,194 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1,081,879 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60" w:after="283"/>
              <w:ind w:left="0" w:right="0" w:hanging="90"/>
              <w:jc w:val="both"/>
              <w:rPr/>
            </w:pPr>
            <w:r>
              <w:rPr>
                <w:rFonts w:ascii="Garamond;serif" w:hAnsi="Garamond;serif"/>
                <w:b w:val="false"/>
                <w:color w:val="000000"/>
                <w:sz w:val="12"/>
              </w:rPr>
              <w:t xml:space="preserve">(1) </w:t>
            </w:r>
            <w:r>
              <w:rPr>
                <w:rFonts w:ascii="Garamond;serif" w:hAnsi="Garamond;serif"/>
                <w:b w:val="false"/>
                <w:color w:val="000000"/>
                <w:sz w:val="18"/>
              </w:rPr>
              <w:t>The North America geographic area consists of net sales substantially related to the United States and there is no individual foreign country to which more than 10% of the Company’s net sales are attributed or that is otherwise deemed individually material.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9</w:t>
                      </w:r>
                    </w:p>
                  </w:txbxContent>
                </v:textbox>
                <w10:wrap type="none"/>
              </v:rect>
            </w:pict>
          </mc:Fallback>
        </mc:AlternateContent>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Reconciliation of EBITDA and Adjusted EBITDA</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 xml:space="preserve">EBITDA and Adjusted EBITDA. </w:t>
      </w:r>
      <w:r>
        <w:rPr>
          <w:rFonts w:ascii="Garamond;serif" w:hAnsi="Garamond;serif"/>
          <w:b w:val="false"/>
          <w:color w:val="000000"/>
          <w:sz w:val="20"/>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loss on impairment, stock-based compensation expense, business transaction costs, purchase price accounting inventory step-up, integration costs, term loan transaction fees, restructuring,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unaudited table provides a reconciliation of EBITDA and Adjusted EBITDA to its most directly comparable GAAP measure, which is net income, for the thirteen and thirty-nine weeks ended May 30, 2026, and May 31, 2025:</w:t>
      </w:r>
    </w:p>
    <w:tbl>
      <w:tblPr>
        <w:tblW w:w="10205" w:type="dxa"/>
        <w:jc w:val="center"/>
        <w:tblInd w:w="0" w:type="dxa"/>
        <w:tblLayout w:type="fixed"/>
        <w:tblCellMar>
          <w:top w:w="28" w:type="dxa"/>
          <w:left w:w="28" w:type="dxa"/>
          <w:bottom w:w="28" w:type="dxa"/>
          <w:right w:w="28" w:type="dxa"/>
        </w:tblCellMar>
      </w:tblPr>
      <w:tblGrid>
        <w:gridCol w:w="1203"/>
        <w:gridCol w:w="1043"/>
        <w:gridCol w:w="1051"/>
        <w:gridCol w:w="109"/>
        <w:gridCol w:w="109"/>
        <w:gridCol w:w="109"/>
        <w:gridCol w:w="250"/>
        <w:gridCol w:w="1015"/>
        <w:gridCol w:w="120"/>
        <w:gridCol w:w="109"/>
        <w:gridCol w:w="109"/>
        <w:gridCol w:w="109"/>
        <w:gridCol w:w="269"/>
        <w:gridCol w:w="986"/>
        <w:gridCol w:w="130"/>
        <w:gridCol w:w="109"/>
        <w:gridCol w:w="109"/>
        <w:gridCol w:w="109"/>
        <w:gridCol w:w="229"/>
        <w:gridCol w:w="1050"/>
        <w:gridCol w:w="109"/>
        <w:gridCol w:w="109"/>
        <w:gridCol w:w="109"/>
        <w:gridCol w:w="109"/>
        <w:gridCol w:w="244"/>
        <w:gridCol w:w="1024"/>
        <w:gridCol w:w="174"/>
      </w:tblGrid>
      <w:tr>
        <w:trPr/>
        <w:tc>
          <w:tcPr>
            <w:tcW w:w="120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9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329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3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(51,972)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41,102 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(186,401)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115,971 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(689)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(673)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(2,150)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5,776 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19,099 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(2,963)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13,640 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35,424 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6,027 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5,345 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15,480 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(43,821)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64,314 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(207,217)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183,824 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12,819 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Business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Inventory step-up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Integration expense</w:t>
            </w:r>
            <w:r>
              <w:rPr>
                <w:color w:val="000000"/>
              </w:rPr>
              <w:t xml:space="preserve"> </w:t>
            </w:r>
            <w:r>
              <w:rPr>
                <w:rFonts w:ascii="Garamond;serif" w:hAnsi="Garamond;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12,112 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Term loan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Restructuring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Other </w:t>
            </w:r>
            <w:r>
              <w:rPr>
                <w:rFonts w:ascii="Garamond;serif" w:hAnsi="Garamond;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57,241 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73,854 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168,375 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211,923 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60" w:after="283"/>
              <w:ind w:left="0" w:right="0" w:hanging="90"/>
              <w:jc w:val="both"/>
              <w:rPr/>
            </w:pPr>
            <w:r>
              <w:rPr>
                <w:rFonts w:ascii="Garamond;serif" w:hAnsi="Garamond;serif"/>
                <w:b w:val="false"/>
                <w:color w:val="000000"/>
                <w:sz w:val="12"/>
              </w:rPr>
              <w:t>(1)</w:t>
            </w:r>
            <w:r>
              <w:rPr>
                <w:color w:val="000000"/>
              </w:rPr>
              <w:t xml:space="preserve"> </w:t>
            </w:r>
            <w:r>
              <w:rPr>
                <w:rFonts w:ascii="Garamond;serif" w:hAnsi="Garamond;serif"/>
                <w:b w:val="false"/>
                <w:color w:val="000000"/>
                <w:sz w:val="18"/>
              </w:rPr>
              <w:t>Includes one-time effects from actions taken to mitigate OWYN product quality issues.</w:t>
            </w:r>
          </w:p>
          <w:p>
            <w:pPr>
              <w:pStyle w:val="TableContents"/>
              <w:bidi w:val="0"/>
              <w:spacing w:lineRule="auto" w:line="240" w:before="60" w:after="283"/>
              <w:ind w:left="0" w:right="0" w:hanging="90"/>
              <w:jc w:val="both"/>
              <w:rPr/>
            </w:pPr>
            <w:r>
              <w:rPr>
                <w:rFonts w:ascii="Garamond;serif" w:hAnsi="Garamond;serif"/>
                <w:b w:val="false"/>
                <w:color w:val="000000"/>
                <w:sz w:val="12"/>
              </w:rPr>
              <w:t xml:space="preserve">(2) </w:t>
            </w:r>
            <w:r>
              <w:rPr>
                <w:rFonts w:ascii="Garamond;serif" w:hAnsi="Garamond;serif"/>
                <w:b w:val="false"/>
                <w:color w:val="000000"/>
                <w:sz w:val="18"/>
              </w:rPr>
              <w:t>Other items consist principally of exchange impact of foreign currency transactions and other expenses.</w:t>
            </w:r>
          </w:p>
        </w:tc>
      </w:tr>
    </w:tbl>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10</w:t>
                      </w:r>
                    </w:p>
                  </w:txbxContent>
                </v:textbox>
                <w10:wrap type="none"/>
              </v:rect>
            </w:pict>
          </mc:Fallback>
        </mc:AlternateContent>
      </w:r>
    </w:p>
    <w:p>
      <w:pPr>
        <w:pStyle w:val="TextBody"/>
        <w:bidi w:val="0"/>
        <w:spacing w:lineRule="auto" w:line="288" w:before="0" w:after="0"/>
        <w:ind w:left="0" w:right="0" w:hanging="180"/>
        <w:jc w:val="both"/>
        <w:rPr>
          <w:rFonts w:ascii="Garamond;serif" w:hAnsi="Garamond;serif"/>
          <w:b/>
          <w:i/>
          <w:color w:val="000000"/>
          <w:sz w:val="20"/>
        </w:rPr>
      </w:pPr>
      <w:r>
        <w:rPr>
          <w:rFonts w:ascii="Garamond;serif" w:hAnsi="Garamond;serif"/>
          <w:b/>
          <w:i/>
          <w:color w:val="000000"/>
          <w:sz w:val="20"/>
        </w:rPr>
        <w:t>Reconciliation of Adjusted Diluted Earnings Per Share</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Adjusted Diluted Earnings per Share</w:t>
      </w:r>
      <w:r>
        <w:rPr>
          <w:rFonts w:ascii="Garamond;serif" w:hAnsi="Garamond;serif"/>
          <w:b w:val="false"/>
          <w:color w:val="000000"/>
          <w:sz w:val="20"/>
        </w:rPr>
        <w:t>. Adjusted Diluted Earnings per Share is a non-GAAP financial measure commonly used in our industry and should not be construed as an alternative to diluted earnings per share as an indicator of operating performance. Simply Good Foods defines Adjusted Diluted Earnings Per Share as diluted earnings per share before loss on impairment, stock-based compensation expense, business transaction costs, purchase price accounting inventory step-up, integration costs, restructuring, and term loan transaction fees on a theoretical tax effected basis of such adjustments. The tax effect of such adjustments to Adjusted Diluted Earnings Per Share is calculated by applying an overall assumed statutory tax rate to each gross adjustment as shown in the reconciliation to Adjusted EBITDA, as previously defined. The assumed statutory tax rate reflects a normalized effective tax rate estimated based on assumptions regarding the Company's statutory and effective tax rate for each respective reporting period, including the current and deferred tax effects of each adjustment, and is adjusted for the effects of tax reform, if any. The Company consistently applies the overall assumed statutory tax rate to periods throughout each fiscal year and reassesses the overall assumed statutory rate on annual basis. The Company believes that the inclusion of these supplementary adjustments in presenting Adjusted Diluted Earnings per Share, when used in conjunction with diluted earnings per share, are appropriate to provide additional information to investors,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Diluted Earnings per Share is frequently used by securities analysts, investors and other interested parties in the evaluation of companies in its industry</w:t>
      </w:r>
      <w:r>
        <w:rPr>
          <w:rFonts w:ascii="Garamond;serif" w:hAnsi="Garamond;serif"/>
          <w:b w:val="false"/>
          <w:i/>
          <w:color w:val="000000"/>
          <w:sz w:val="24"/>
        </w:rPr>
        <w:t>.</w:t>
      </w:r>
      <w:r>
        <w:rPr>
          <w:color w:val="000000"/>
        </w:rPr>
        <w:t xml:space="preserve"> </w:t>
      </w:r>
      <w:r>
        <w:rPr>
          <w:rFonts w:ascii="Garamond;serif" w:hAnsi="Garamond;serif"/>
          <w:b w:val="false"/>
          <w:color w:val="000000"/>
          <w:sz w:val="20"/>
        </w:rPr>
        <w:t>Adjusted Diluted Earnings per Share may not be comparable to other similarly titled captions of other companies due to differences in the non-GAAP calculation.</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unaudited tables below provide a reconciliation of Adjusted Diluted Earnings Per Share to its most directly comparable GAAP measure, which is diluted earnings per share, for the thirteen and thirty-nine weeks ended May 30, 2026, and May 31, 2025:</w:t>
      </w:r>
    </w:p>
    <w:tbl>
      <w:tblPr>
        <w:tblW w:w="10205" w:type="dxa"/>
        <w:jc w:val="center"/>
        <w:tblInd w:w="0" w:type="dxa"/>
        <w:tblLayout w:type="fixed"/>
        <w:tblCellMar>
          <w:top w:w="28" w:type="dxa"/>
          <w:left w:w="28" w:type="dxa"/>
          <w:bottom w:w="28" w:type="dxa"/>
          <w:right w:w="28" w:type="dxa"/>
        </w:tblCellMar>
      </w:tblPr>
      <w:tblGrid>
        <w:gridCol w:w="1346"/>
        <w:gridCol w:w="690"/>
        <w:gridCol w:w="692"/>
        <w:gridCol w:w="143"/>
        <w:gridCol w:w="143"/>
        <w:gridCol w:w="143"/>
        <w:gridCol w:w="333"/>
        <w:gridCol w:w="930"/>
        <w:gridCol w:w="160"/>
        <w:gridCol w:w="143"/>
        <w:gridCol w:w="143"/>
        <w:gridCol w:w="143"/>
        <w:gridCol w:w="346"/>
        <w:gridCol w:w="898"/>
        <w:gridCol w:w="167"/>
        <w:gridCol w:w="143"/>
        <w:gridCol w:w="143"/>
        <w:gridCol w:w="143"/>
        <w:gridCol w:w="333"/>
        <w:gridCol w:w="931"/>
        <w:gridCol w:w="160"/>
        <w:gridCol w:w="148"/>
        <w:gridCol w:w="148"/>
        <w:gridCol w:w="148"/>
        <w:gridCol w:w="343"/>
        <w:gridCol w:w="893"/>
        <w:gridCol w:w="252"/>
      </w:tblGrid>
      <w:tr>
        <w:trPr/>
        <w:tc>
          <w:tcPr>
            <w:tcW w:w="13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Thirteen Weeks Ended</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Diluted (loss) earnings per share</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(0.58)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0.40 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Stock-based compensation expense</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Business transaction costs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Inventory step-up</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Integration expense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Term loan transaction fees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Restructuring and other costs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Tax effects of adjustments </w:t>
            </w:r>
            <w:r>
              <w:rPr>
                <w:rFonts w:ascii="Garamond;serif" w:hAnsi="Garamond;serif"/>
                <w:b w:val="false"/>
                <w:color w:val="000000"/>
                <w:sz w:val="12"/>
              </w:rPr>
              <w:t>(1)</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(0.95)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(0.11)</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Rounding </w:t>
            </w:r>
            <w:r>
              <w:rPr>
                <w:rFonts w:ascii="Garamond;serif" w:hAnsi="Garamond;serif"/>
                <w:b w:val="false"/>
                <w:color w:val="000000"/>
                <w:sz w:val="12"/>
              </w:rPr>
              <w:t>(2)</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Adjusted diluted earnings per share</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0.42 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0.51 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1.46 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vAlign w:val="center"/>
          </w:tcPr>
          <w:p>
            <w:pPr>
              <w:pStyle w:val="TableContents"/>
              <w:bidi w:val="0"/>
              <w:spacing w:before="0" w:after="283"/>
              <w:jc w:val="left"/>
              <w:rPr>
                <w:sz w:val="4"/>
                <w:szCs w:val="4"/>
              </w:rPr>
            </w:pPr>
            <w:r>
              <w:rPr>
                <w:sz w:val="4"/>
                <w:szCs w:val="4"/>
              </w:rPr>
            </w:r>
          </w:p>
        </w:tc>
        <w:tc>
          <w:tcPr>
            <w:tcW w:w="7477" w:type="dxa"/>
            <w:gridSpan w:val="24"/>
            <w:tcBorders/>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40"/>
              <w:jc w:val="both"/>
              <w:rPr/>
            </w:pPr>
            <w:r>
              <w:rPr>
                <w:rFonts w:ascii="Garamond;serif" w:hAnsi="Garamond;serif"/>
                <w:b w:val="false"/>
                <w:color w:val="000000"/>
                <w:sz w:val="10"/>
              </w:rPr>
              <w:t xml:space="preserve">(1) </w:t>
            </w:r>
            <w:r>
              <w:rPr>
                <w:rFonts w:ascii="Garamond;serif" w:hAnsi="Garamond;serif"/>
                <w:b w:val="false"/>
                <w:color w:val="000000"/>
                <w:sz w:val="16"/>
              </w:rPr>
              <w:t>This line item reflects the aggregate tax effect of all non-tax adjustments reflected in the preceding line items of the table. The tax effect of each adjustment is computed (i) by dividing the gross amount of the adjustment, as shown in the Adjusted EBITDA reconciliation, by the number of diluted weighted average shares outstanding for the applicable fiscal period and (ii) applying an overall assumed statutory tax rate of 25% for the thirteen and thirty-nine week periods ended May 30, 2026, as well as the thirteen and thirty-nine week periods ended May 31, 2025.</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Garamond;serif" w:hAnsi="Garamond;serif"/>
                <w:b w:val="false"/>
                <w:color w:val="000000"/>
                <w:sz w:val="10"/>
              </w:rPr>
              <w:t>(2)</w:t>
            </w:r>
            <w:r>
              <w:rPr>
                <w:color w:val="000000"/>
              </w:rPr>
              <w:t xml:space="preserve"> </w:t>
            </w:r>
            <w:r>
              <w:rPr>
                <w:rFonts w:ascii="Garamond;serif" w:hAnsi="Garamond;serif"/>
                <w:b w:val="false"/>
                <w:color w:val="000000"/>
                <w:sz w:val="16"/>
              </w:rPr>
              <w:t>Adjusted Diluted Earnings Per Share amounts are computed independently for each quarter. Therefore, the sum of the quarterly Adjusted Diluted Earnings Per Share amounts may not equal the year to date Adjusted Diluted Earnings Per Share amounts due to rounding.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11</w:t>
                      </w:r>
                    </w:p>
                  </w:txbxContent>
                </v:textbox>
                <w10:wrap type="none"/>
              </v:rect>
            </w:pict>
          </mc:Fallback>
        </mc:AlternateContent>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Reconciliation of Net Debt to Adjusted EBITDA</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Net Debt to Adjusted EBITDA</w:t>
      </w:r>
      <w:r>
        <w:rPr>
          <w:rFonts w:ascii="Garamond;serif" w:hAnsi="Garamond;serif"/>
          <w:b w:val="false"/>
          <w:color w:val="000000"/>
          <w:sz w:val="20"/>
        </w:rPr>
        <w:t>. Net Debt to Adjusted EBITDA is a non-GAAP financial measure which Simply Good Foods defines as the total debt outstanding under our credit agreement with Barclays Bank PLC and other parties (“Credit Agreement”), reduced by cash and cash equivalents, and divided by the trailing twelve months of Adjusted EBITDA, as previously defined.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unaudited table below provides a reconciliation of Net Debt to Adjusted EBITDA as of May 30, 2026:</w:t>
      </w:r>
    </w:p>
    <w:p>
      <w:pPr>
        <w:pStyle w:val="TextBody"/>
        <w:bidi w:val="0"/>
        <w:spacing w:before="0" w:after="0"/>
        <w:ind w:left="0" w:right="0" w:firstLine="720"/>
        <w:jc w:val="both"/>
        <w:rPr/>
      </w:pPr>
      <w:r>
        <w:rPr/>
      </w:r>
    </w:p>
    <w:tbl>
      <w:tblPr>
        <w:tblW w:w="8366" w:type="dxa"/>
        <w:jc w:val="center"/>
        <w:tblInd w:w="0" w:type="dxa"/>
        <w:tblLayout w:type="fixed"/>
        <w:tblCellMar>
          <w:top w:w="28" w:type="dxa"/>
          <w:left w:w="28" w:type="dxa"/>
          <w:bottom w:w="28" w:type="dxa"/>
          <w:right w:w="28" w:type="dxa"/>
        </w:tblCellMar>
      </w:tblPr>
      <w:tblGrid>
        <w:gridCol w:w="2390"/>
        <w:gridCol w:w="2098"/>
        <w:gridCol w:w="2111"/>
        <w:gridCol w:w="109"/>
        <w:gridCol w:w="109"/>
        <w:gridCol w:w="109"/>
        <w:gridCol w:w="228"/>
        <w:gridCol w:w="954"/>
        <w:gridCol w:w="258"/>
      </w:tblGrid>
      <w:tr>
        <w:trPr/>
        <w:tc>
          <w:tcPr>
            <w:tcW w:w="2390"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r>
      <w:tr>
        <w:trPr/>
        <w:tc>
          <w:tcPr>
            <w:tcW w:w="6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debt outstanding under the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(123,884)</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Debt as of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276,116 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Trailing twelve months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Add: Adjusted EBITDA for the thirty-nine weeks ended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168,375 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Add: Adjusted EBITDA for the fiscal year ended August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278,162 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Less: Adjusted EBITDA for the thirty-nine weeks ended 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(211,923)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Trailing twelve months Adjusted EBITDA as of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234,614 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Debt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x</w:t>
            </w:r>
          </w:p>
        </w:tc>
      </w:tr>
    </w:tbl>
    <w:p>
      <w:pPr>
        <w:pStyle w:val="TextBody"/>
        <w:bidi w:val="0"/>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Garamon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5777</Words>
  <Characters>33335</Characters>
  <CharactersWithSpaces>38693</CharactersWithSpaces>
  <Paragraphs>786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