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4" w:lineRule="exact"/>
        <w:rPr>
          <w:sz w:val="24"/>
          <w:szCs w:val="24"/>
          <w:color w:val="auto"/>
        </w:rPr>
      </w:pPr>
    </w:p>
    <w:p>
      <w:pPr>
        <w:jc w:val="center"/>
        <w:ind w:left="360"/>
        <w:spacing w:after="0"/>
        <w:rPr>
          <w:sz w:val="20"/>
          <w:szCs w:val="20"/>
          <w:color w:val="auto"/>
        </w:rPr>
      </w:pPr>
      <w:r>
        <w:rPr>
          <w:rFonts w:ascii="Arial" w:cs="Arial" w:eastAsia="Arial" w:hAnsi="Arial"/>
          <w:sz w:val="12"/>
          <w:szCs w:val="12"/>
          <w:color w:val="auto"/>
        </w:rPr>
        <w:t>Check this box if no longer subject 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26035</wp:posOffset>
            </wp:positionH>
            <wp:positionV relativeFrom="paragraph">
              <wp:posOffset>-10795</wp:posOffset>
            </wp:positionV>
            <wp:extent cx="144780" cy="1962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4780" cy="196215"/>
                    </a:xfrm>
                    <a:prstGeom prst="rect">
                      <a:avLst/>
                    </a:prstGeom>
                    <a:noFill/>
                  </pic:spPr>
                </pic:pic>
              </a:graphicData>
            </a:graphic>
          </wp:anchor>
        </w:drawing>
      </w:r>
    </w:p>
    <w:p>
      <w:pPr>
        <w:jc w:val="both"/>
        <w:ind w:left="360" w:right="380" w:hanging="272"/>
        <w:spacing w:after="0" w:line="187" w:lineRule="auto"/>
        <w:tabs>
          <w:tab w:leader="none" w:pos="360" w:val="left"/>
        </w:tabs>
        <w:numPr>
          <w:ilvl w:val="0"/>
          <w:numId w:val="1"/>
        </w:numPr>
        <w:rPr>
          <w:rFonts w:ascii="Arial" w:cs="Arial" w:eastAsia="Arial" w:hAnsi="Arial"/>
          <w:sz w:val="26"/>
          <w:szCs w:val="26"/>
          <w:color w:val="0000FF"/>
          <w:highlight w:val="white"/>
          <w:vertAlign w:val="subscript"/>
        </w:rPr>
      </w:pPr>
      <w:r>
        <w:rPr>
          <w:rFonts w:ascii="Arial" w:cs="Arial" w:eastAsia="Arial" w:hAnsi="Arial"/>
          <w:sz w:val="10"/>
          <w:szCs w:val="10"/>
          <w:color w:val="auto"/>
        </w:rPr>
        <w:t xml:space="preserve">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6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73"/>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5494655</wp:posOffset>
            </wp:positionH>
            <wp:positionV relativeFrom="paragraph">
              <wp:posOffset>-651510</wp:posOffset>
            </wp:positionV>
            <wp:extent cx="59690" cy="664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845"/>
                    </a:xfrm>
                    <a:prstGeom prst="rect">
                      <a:avLst/>
                    </a:prstGeom>
                    <a:noFill/>
                  </pic:spPr>
                </pic:pic>
              </a:graphicData>
            </a:graphic>
          </wp:anchor>
        </w:drawing>
        <w:drawing>
          <wp:anchor simplePos="0" relativeHeight="251657728" behindDoc="1" locked="0" layoutInCell="0" allowOverlap="1">
            <wp:simplePos x="0" y="0"/>
            <wp:positionH relativeFrom="column">
              <wp:posOffset>4156075</wp:posOffset>
            </wp:positionH>
            <wp:positionV relativeFrom="paragraph">
              <wp:posOffset>-651510</wp:posOffset>
            </wp:positionV>
            <wp:extent cx="59690" cy="664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84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-1684020</wp:posOffset>
            </wp:positionH>
            <wp:positionV relativeFrom="paragraph">
              <wp:posOffset>20955</wp:posOffset>
            </wp:positionV>
            <wp:extent cx="7323455" cy="49282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4928235"/>
                    </a:xfrm>
                    <a:prstGeom prst="rect">
                      <a:avLst/>
                    </a:prstGeom>
                    <a:noFill/>
                  </pic:spPr>
                </pic:pic>
              </a:graphicData>
            </a:graphic>
          </wp:anchor>
        </w:drawing>
      </w:r>
    </w:p>
    <w:p>
      <w:pPr>
        <w:spacing w:after="0" w:line="105" w:lineRule="exact"/>
        <w:rPr>
          <w:sz w:val="24"/>
          <w:szCs w:val="24"/>
          <w:color w:val="auto"/>
        </w:rPr>
      </w:pPr>
    </w:p>
    <w:p>
      <w:pPr>
        <w:sectPr>
          <w:pgSz w:w="11900" w:h="16838" w:orient="portrait"/>
          <w:cols w:equalWidth="0" w:num="2">
            <w:col w:w="2340" w:space="300"/>
            <w:col w:w="888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DALEY CLAYTON C JR</w:t>
        </w:r>
      </w:hyperlink>
    </w:p>
    <w:p>
      <w:pPr>
        <w:spacing w:after="0" w:line="325"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1 GREENWICH OFFICE PARK, 2ND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Conyers Park Acquisition Corp.</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CPAA</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10"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07/07/2017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60" w:hanging="3"/>
        <w:spacing w:after="0" w:line="256" w:lineRule="auto"/>
        <w:tabs>
          <w:tab w:leader="none" w:pos="152" w:val="left"/>
        </w:tabs>
        <w:numPr>
          <w:ilvl w:val="0"/>
          <w:numId w:val="2"/>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3"/>
        <w:spacing w:after="0"/>
        <w:tabs>
          <w:tab w:leader="none" w:pos="522" w:val="left"/>
          <w:tab w:leader="none" w:pos="2163"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13" w:lineRule="exact"/>
        <w:rPr>
          <w:sz w:val="24"/>
          <w:szCs w:val="24"/>
          <w:color w:val="auto"/>
        </w:rPr>
      </w:pPr>
    </w:p>
    <w:p>
      <w:pPr>
        <w:jc w:val="right"/>
        <w:ind w:right="46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43"/>
        <w:spacing w:after="0"/>
        <w:tabs>
          <w:tab w:leader="none" w:pos="2163"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6" w:lineRule="exact"/>
        <w:rPr>
          <w:sz w:val="24"/>
          <w:szCs w:val="24"/>
          <w:color w:val="auto"/>
        </w:rPr>
      </w:pPr>
    </w:p>
    <w:p>
      <w:pPr>
        <w:sectPr>
          <w:pgSz w:w="11900" w:h="16838" w:orient="portrait"/>
          <w:cols w:equalWidth="0" w:num="3">
            <w:col w:w="3480" w:space="580"/>
            <w:col w:w="3520" w:space="457"/>
            <w:col w:w="3483"/>
          </w:cols>
          <w:pgMar w:left="240" w:top="225" w:right="139" w:bottom="1440" w:gutter="0" w:footer="0" w:header="0"/>
          <w:type w:val="continuous"/>
        </w:sectPr>
      </w:pPr>
    </w:p>
    <w:p>
      <w:pPr>
        <w:spacing w:after="0" w:line="243"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1160" w:type="dxa"/>
            <w:vAlign w:val="bottom"/>
          </w:tcPr>
          <w:p>
            <w:pPr>
              <w:spacing w:after="0"/>
              <w:rPr>
                <w:sz w:val="20"/>
                <w:szCs w:val="20"/>
                <w:color w:val="auto"/>
              </w:rPr>
            </w:pPr>
            <w:r>
              <w:rPr>
                <w:rFonts w:ascii="Arial" w:cs="Arial" w:eastAsia="Arial" w:hAnsi="Arial"/>
                <w:sz w:val="17"/>
                <w:szCs w:val="17"/>
                <w:color w:val="0000FF"/>
              </w:rPr>
              <w:t>GREENWICH</w:t>
            </w:r>
          </w:p>
        </w:tc>
        <w:tc>
          <w:tcPr>
            <w:tcW w:w="940" w:type="dxa"/>
            <w:vAlign w:val="bottom"/>
          </w:tcPr>
          <w:p>
            <w:pPr>
              <w:ind w:left="120"/>
              <w:spacing w:after="0"/>
              <w:rPr>
                <w:sz w:val="20"/>
                <w:szCs w:val="20"/>
                <w:color w:val="auto"/>
              </w:rPr>
            </w:pPr>
            <w:r>
              <w:rPr>
                <w:rFonts w:ascii="Arial" w:cs="Arial" w:eastAsia="Arial" w:hAnsi="Arial"/>
                <w:sz w:val="17"/>
                <w:szCs w:val="17"/>
                <w:color w:val="0000FF"/>
              </w:rPr>
              <w:t>CT</w:t>
            </w:r>
          </w:p>
        </w:tc>
        <w:tc>
          <w:tcPr>
            <w:tcW w:w="1680" w:type="dxa"/>
            <w:vAlign w:val="bottom"/>
          </w:tcPr>
          <w:p>
            <w:pPr>
              <w:ind w:left="440"/>
              <w:spacing w:after="0"/>
              <w:rPr>
                <w:sz w:val="20"/>
                <w:szCs w:val="20"/>
                <w:color w:val="auto"/>
              </w:rPr>
            </w:pPr>
            <w:r>
              <w:rPr>
                <w:rFonts w:ascii="Arial" w:cs="Arial" w:eastAsia="Arial" w:hAnsi="Arial"/>
                <w:sz w:val="17"/>
                <w:szCs w:val="17"/>
                <w:color w:val="0000FF"/>
              </w:rPr>
              <w:t>06831</w:t>
            </w:r>
          </w:p>
        </w:tc>
      </w:tr>
      <w:tr>
        <w:trPr>
          <w:trHeight w:val="156"/>
        </w:trPr>
        <w:tc>
          <w:tcPr>
            <w:tcW w:w="4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6"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95" w:lineRule="exact"/>
        <w:rPr>
          <w:sz w:val="24"/>
          <w:szCs w:val="24"/>
          <w:color w:val="auto"/>
        </w:rPr>
      </w:pPr>
    </w:p>
    <w:p>
      <w:pPr>
        <w:sectPr>
          <w:pgSz w:w="11900" w:h="16838" w:orient="portrait"/>
          <w:cols w:equalWidth="0" w:num="2">
            <w:col w:w="3900" w:space="160"/>
            <w:col w:w="746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2"/>
          </w:tcPr>
          <w:p>
            <w:pPr>
              <w:ind w:left="84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3"/>
                <w:szCs w:val="13"/>
                <w:color w:val="auto"/>
              </w:rPr>
            </w:pP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840"/>
              <w:spacing w:after="0" w:line="132"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spacing w:after="0"/>
              <w:rPr>
                <w:sz w:val="11"/>
                <w:szCs w:val="11"/>
                <w:color w:val="auto"/>
              </w:rPr>
            </w:pPr>
          </w:p>
        </w:tc>
        <w:tc>
          <w:tcPr>
            <w:tcW w:w="96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84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4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40" w:type="dxa"/>
            <w:vAlign w:val="bottom"/>
          </w:tcPr>
          <w:p>
            <w:pPr>
              <w:spacing w:after="0"/>
              <w:rPr>
                <w:sz w:val="11"/>
                <w:szCs w:val="11"/>
                <w:color w:val="auto"/>
              </w:rPr>
            </w:pPr>
          </w:p>
        </w:tc>
        <w:tc>
          <w:tcPr>
            <w:tcW w:w="64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10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40" w:type="dxa"/>
            <w:vAlign w:val="bottom"/>
            <w:gridSpan w:val="2"/>
          </w:tcPr>
          <w:p>
            <w:pPr>
              <w:ind w:left="840"/>
              <w:spacing w:after="0" w:line="134" w:lineRule="exact"/>
              <w:rPr>
                <w:sz w:val="20"/>
                <w:szCs w:val="20"/>
                <w:color w:val="auto"/>
              </w:rPr>
            </w:pPr>
            <w:r>
              <w:rPr>
                <w:rFonts w:ascii="Arial" w:cs="Arial" w:eastAsia="Arial" w:hAnsi="Arial"/>
                <w:sz w:val="12"/>
                <w:szCs w:val="12"/>
                <w:b w:val="1"/>
                <w:bCs w:val="1"/>
                <w:color w:val="auto"/>
              </w:rPr>
              <w:t>(Month/Day/Year)</w:t>
            </w:r>
          </w:p>
        </w:tc>
        <w:tc>
          <w:tcPr>
            <w:tcW w:w="96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5)</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74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9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5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620" w:type="dxa"/>
            <w:vAlign w:val="bottom"/>
          </w:tcPr>
          <w:p>
            <w:pPr>
              <w:ind w:left="240"/>
              <w:spacing w:after="0" w:line="134" w:lineRule="exact"/>
              <w:rPr>
                <w:sz w:val="20"/>
                <w:szCs w:val="20"/>
                <w:color w:val="auto"/>
              </w:rPr>
            </w:pPr>
            <w:r>
              <w:rPr>
                <w:rFonts w:ascii="Arial" w:cs="Arial" w:eastAsia="Arial" w:hAnsi="Arial"/>
                <w:sz w:val="12"/>
                <w:szCs w:val="12"/>
                <w:b w:val="1"/>
                <w:bCs w:val="1"/>
                <w:color w:val="auto"/>
              </w:rPr>
              <w:t>(A) or</w:t>
            </w:r>
          </w:p>
        </w:tc>
        <w:tc>
          <w:tcPr>
            <w:tcW w:w="560" w:type="dxa"/>
            <w:vAlign w:val="bottom"/>
            <w:vMerge w:val="restart"/>
          </w:tcPr>
          <w:p>
            <w:pPr>
              <w:jc w:val="right"/>
              <w:ind w:right="57"/>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56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760" w:type="dxa"/>
            <w:vAlign w:val="bottom"/>
          </w:tcPr>
          <w:p>
            <w:pPr>
              <w:spacing w:after="0"/>
              <w:rPr>
                <w:sz w:val="5"/>
                <w:szCs w:val="5"/>
                <w:color w:val="auto"/>
              </w:rPr>
            </w:pPr>
          </w:p>
        </w:tc>
        <w:tc>
          <w:tcPr>
            <w:tcW w:w="9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00" w:type="dxa"/>
            <w:vAlign w:val="bottom"/>
            <w:tcBorders>
              <w:bottom w:val="single" w:sz="8" w:color="2C2C2C"/>
            </w:tcBorders>
            <w:gridSpan w:val="3"/>
          </w:tcPr>
          <w:p>
            <w:pPr>
              <w:spacing w:after="0"/>
              <w:rPr>
                <w:sz w:val="4"/>
                <w:szCs w:val="4"/>
                <w:color w:val="auto"/>
              </w:rPr>
            </w:pPr>
          </w:p>
        </w:tc>
        <w:tc>
          <w:tcPr>
            <w:tcW w:w="19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2600" w:type="dxa"/>
            <w:vAlign w:val="bottom"/>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940" w:type="dxa"/>
            <w:vAlign w:val="bottom"/>
            <w:gridSpan w:val="2"/>
          </w:tcPr>
          <w:p>
            <w:pPr>
              <w:ind w:left="940"/>
              <w:spacing w:after="0"/>
              <w:rPr>
                <w:sz w:val="20"/>
                <w:szCs w:val="20"/>
                <w:color w:val="auto"/>
              </w:rPr>
            </w:pPr>
            <w:r>
              <w:rPr>
                <w:rFonts w:ascii="Arial" w:cs="Arial" w:eastAsia="Arial" w:hAnsi="Arial"/>
                <w:sz w:val="17"/>
                <w:szCs w:val="17"/>
                <w:color w:val="0000FF"/>
              </w:rPr>
              <w:t>07/07/2017</w:t>
            </w: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ind w:left="180"/>
              <w:spacing w:after="0"/>
              <w:rPr>
                <w:sz w:val="20"/>
                <w:szCs w:val="20"/>
                <w:color w:val="auto"/>
              </w:rPr>
            </w:pPr>
            <w:r>
              <w:rPr>
                <w:rFonts w:ascii="Arial" w:cs="Arial" w:eastAsia="Arial" w:hAnsi="Arial"/>
                <w:sz w:val="13"/>
                <w:szCs w:val="13"/>
                <w:color w:val="0000FF"/>
              </w:rPr>
              <w:t>D</w:t>
            </w:r>
          </w:p>
        </w:tc>
        <w:tc>
          <w:tcPr>
            <w:tcW w:w="180" w:type="dxa"/>
            <w:vAlign w:val="bottom"/>
          </w:tcPr>
          <w:p>
            <w:pPr>
              <w:spacing w:after="0"/>
              <w:rPr>
                <w:sz w:val="23"/>
                <w:szCs w:val="23"/>
                <w:color w:val="auto"/>
              </w:rPr>
            </w:pPr>
          </w:p>
        </w:tc>
        <w:tc>
          <w:tcPr>
            <w:tcW w:w="640" w:type="dxa"/>
            <w:vAlign w:val="bottom"/>
            <w:gridSpan w:val="2"/>
          </w:tcPr>
          <w:p>
            <w:pPr>
              <w:ind w:left="160"/>
              <w:spacing w:after="0"/>
              <w:rPr>
                <w:sz w:val="20"/>
                <w:szCs w:val="20"/>
                <w:color w:val="auto"/>
              </w:rPr>
            </w:pPr>
            <w:r>
              <w:rPr>
                <w:rFonts w:ascii="Arial" w:cs="Arial" w:eastAsia="Arial" w:hAnsi="Arial"/>
                <w:sz w:val="17"/>
                <w:szCs w:val="17"/>
                <w:color w:val="0000FF"/>
                <w:w w:val="88"/>
              </w:rPr>
              <w:t>10,000</w:t>
            </w:r>
          </w:p>
        </w:tc>
        <w:tc>
          <w:tcPr>
            <w:tcW w:w="620" w:type="dxa"/>
            <w:vAlign w:val="bottom"/>
          </w:tcPr>
          <w:p>
            <w:pPr>
              <w:ind w:left="380"/>
              <w:spacing w:after="0"/>
              <w:rPr>
                <w:sz w:val="20"/>
                <w:szCs w:val="20"/>
                <w:color w:val="auto"/>
              </w:rPr>
            </w:pPr>
            <w:r>
              <w:rPr>
                <w:rFonts w:ascii="Arial" w:cs="Arial" w:eastAsia="Arial" w:hAnsi="Arial"/>
                <w:sz w:val="17"/>
                <w:szCs w:val="17"/>
                <w:color w:val="0000FF"/>
              </w:rPr>
              <w:t>D</w:t>
            </w:r>
          </w:p>
        </w:tc>
        <w:tc>
          <w:tcPr>
            <w:tcW w:w="560" w:type="dxa"/>
            <w:vAlign w:val="bottom"/>
          </w:tcPr>
          <w:p>
            <w:pPr>
              <w:jc w:val="right"/>
              <w:ind w:right="57"/>
              <w:spacing w:after="0"/>
              <w:rPr>
                <w:sz w:val="20"/>
                <w:szCs w:val="20"/>
                <w:color w:val="auto"/>
              </w:rPr>
            </w:pPr>
            <w:r>
              <w:rPr>
                <w:rFonts w:ascii="Arial" w:cs="Arial" w:eastAsia="Arial" w:hAnsi="Arial"/>
                <w:sz w:val="11"/>
                <w:szCs w:val="11"/>
                <w:color w:val="008000"/>
              </w:rPr>
              <w:t>(1)</w:t>
            </w:r>
          </w:p>
        </w:tc>
        <w:tc>
          <w:tcPr>
            <w:tcW w:w="780" w:type="dxa"/>
            <w:vAlign w:val="bottom"/>
            <w:gridSpan w:val="2"/>
          </w:tcPr>
          <w:p>
            <w:pPr>
              <w:ind w:left="700"/>
              <w:spacing w:after="0"/>
              <w:rPr>
                <w:sz w:val="20"/>
                <w:szCs w:val="20"/>
                <w:color w:val="auto"/>
              </w:rPr>
            </w:pPr>
            <w:r>
              <w:rPr>
                <w:rFonts w:ascii="Arial" w:cs="Arial" w:eastAsia="Arial" w:hAnsi="Arial"/>
                <w:sz w:val="15"/>
                <w:szCs w:val="15"/>
                <w:color w:val="0000FF"/>
                <w:w w:val="71"/>
              </w:rPr>
              <w:t>0</w:t>
            </w:r>
          </w:p>
        </w:tc>
        <w:tc>
          <w:tcPr>
            <w:tcW w:w="6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3020" w:type="dxa"/>
            <w:vAlign w:val="bottom"/>
            <w:tcBorders>
              <w:bottom w:val="single" w:sz="8" w:color="2C2C2C"/>
            </w:tcBorders>
            <w:gridSpan w:val="4"/>
          </w:tcPr>
          <w:p>
            <w:pPr>
              <w:spacing w:after="0"/>
              <w:rPr>
                <w:sz w:val="8"/>
                <w:szCs w:val="8"/>
                <w:color w:val="auto"/>
              </w:rPr>
            </w:pPr>
          </w:p>
        </w:tc>
        <w:tc>
          <w:tcPr>
            <w:tcW w:w="2800" w:type="dxa"/>
            <w:vAlign w:val="bottom"/>
            <w:tcBorders>
              <w:bottom w:val="single" w:sz="8" w:color="2C2C2C"/>
            </w:tcBorders>
            <w:gridSpan w:val="7"/>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80" w:type="dxa"/>
            <w:vAlign w:val="bottom"/>
            <w:gridSpan w:val="10"/>
          </w:tcPr>
          <w:p>
            <w:pPr>
              <w:jc w:val="right"/>
              <w:ind w:right="57"/>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4"/>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96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Transaction</w:t>
            </w:r>
          </w:p>
        </w:tc>
        <w:tc>
          <w:tcPr>
            <w:tcW w:w="96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126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8"/>
              </w:rPr>
              <w:t>Code (Instr.</w:t>
            </w:r>
          </w:p>
        </w:tc>
        <w:tc>
          <w:tcPr>
            <w:tcW w:w="96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96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6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6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60" w:type="dxa"/>
            <w:vAlign w:val="bottom"/>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96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Class B</w:t>
            </w:r>
          </w:p>
        </w:tc>
        <w:tc>
          <w:tcPr>
            <w:tcW w:w="80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80" w:type="dxa"/>
            <w:vAlign w:val="bottom"/>
            <w:gridSpan w:val="2"/>
            <w:vMerge w:val="restart"/>
          </w:tcPr>
          <w:p>
            <w:pPr>
              <w:ind w:left="300"/>
              <w:spacing w:after="0"/>
              <w:rPr>
                <w:sz w:val="20"/>
                <w:szCs w:val="20"/>
                <w:color w:val="auto"/>
              </w:rPr>
            </w:pPr>
            <w:r>
              <w:rPr>
                <w:rFonts w:ascii="Arial" w:cs="Arial" w:eastAsia="Arial" w:hAnsi="Arial"/>
                <w:sz w:val="11"/>
                <w:szCs w:val="11"/>
                <w:color w:val="008000"/>
              </w:rPr>
              <w:t>(1)</w:t>
            </w:r>
          </w:p>
        </w:tc>
        <w:tc>
          <w:tcPr>
            <w:tcW w:w="180" w:type="dxa"/>
            <w:vAlign w:val="bottom"/>
          </w:tcPr>
          <w:p>
            <w:pPr>
              <w:spacing w:after="0"/>
              <w:rPr>
                <w:sz w:val="16"/>
                <w:szCs w:val="16"/>
                <w:color w:val="auto"/>
              </w:rPr>
            </w:pPr>
          </w:p>
        </w:tc>
        <w:tc>
          <w:tcPr>
            <w:tcW w:w="560" w:type="dxa"/>
            <w:vAlign w:val="bottom"/>
            <w:vMerge w:val="restart"/>
          </w:tcPr>
          <w:p>
            <w:pPr>
              <w:ind w:left="120"/>
              <w:spacing w:after="0"/>
              <w:rPr>
                <w:sz w:val="20"/>
                <w:szCs w:val="20"/>
                <w:color w:val="auto"/>
              </w:rPr>
            </w:pPr>
            <w:r>
              <w:rPr>
                <w:rFonts w:ascii="Arial" w:cs="Arial" w:eastAsia="Arial" w:hAnsi="Arial"/>
                <w:sz w:val="11"/>
                <w:szCs w:val="11"/>
                <w:color w:val="008000"/>
              </w:rPr>
              <w:t>(1)</w:t>
            </w:r>
          </w:p>
        </w:tc>
        <w:tc>
          <w:tcPr>
            <w:tcW w:w="80" w:type="dxa"/>
            <w:vAlign w:val="bottom"/>
          </w:tcPr>
          <w:p>
            <w:pPr>
              <w:spacing w:after="0"/>
              <w:rPr>
                <w:sz w:val="16"/>
                <w:szCs w:val="16"/>
                <w:color w:val="auto"/>
              </w:rPr>
            </w:pPr>
          </w:p>
        </w:tc>
        <w:tc>
          <w:tcPr>
            <w:tcW w:w="620" w:type="dxa"/>
            <w:vAlign w:val="bottom"/>
          </w:tcPr>
          <w:p>
            <w:pPr>
              <w:jc w:val="center"/>
              <w:ind w:right="92"/>
              <w:spacing w:after="0"/>
              <w:rPr>
                <w:sz w:val="20"/>
                <w:szCs w:val="20"/>
                <w:color w:val="auto"/>
              </w:rPr>
            </w:pPr>
            <w:r>
              <w:rPr>
                <w:rFonts w:ascii="Arial" w:cs="Arial" w:eastAsia="Arial" w:hAnsi="Arial"/>
                <w:sz w:val="13"/>
                <w:szCs w:val="13"/>
                <w:color w:val="0000FF"/>
                <w:w w:val="93"/>
              </w:rPr>
              <w:t>Class A</w:t>
            </w:r>
          </w:p>
        </w:tc>
        <w:tc>
          <w:tcPr>
            <w:tcW w:w="560" w:type="dxa"/>
            <w:vAlign w:val="bottom"/>
            <w:vMerge w:val="restart"/>
          </w:tcPr>
          <w:p>
            <w:pPr>
              <w:spacing w:after="0"/>
              <w:rPr>
                <w:sz w:val="20"/>
                <w:szCs w:val="20"/>
                <w:color w:val="auto"/>
              </w:rPr>
            </w:pPr>
            <w:r>
              <w:rPr>
                <w:rFonts w:ascii="Arial" w:cs="Arial" w:eastAsia="Arial" w:hAnsi="Arial"/>
                <w:sz w:val="17"/>
                <w:szCs w:val="17"/>
                <w:color w:val="0000FF"/>
              </w:rPr>
              <w:t>25,000</w:t>
            </w:r>
          </w:p>
        </w:tc>
        <w:tc>
          <w:tcPr>
            <w:tcW w:w="780" w:type="dxa"/>
            <w:vAlign w:val="bottom"/>
            <w:gridSpan w:val="2"/>
            <w:vMerge w:val="restart"/>
          </w:tcPr>
          <w:p>
            <w:pPr>
              <w:ind w:left="280"/>
              <w:spacing w:after="0"/>
              <w:rPr>
                <w:sz w:val="20"/>
                <w:szCs w:val="20"/>
                <w:color w:val="auto"/>
              </w:rPr>
            </w:pPr>
            <w:r>
              <w:rPr>
                <w:rFonts w:ascii="Arial" w:cs="Arial" w:eastAsia="Arial" w:hAnsi="Arial"/>
                <w:sz w:val="11"/>
                <w:szCs w:val="11"/>
                <w:color w:val="008000"/>
              </w:rPr>
              <w:t>(1)</w:t>
            </w: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tcPr>
          <w:p>
            <w:pPr>
              <w:ind w:left="60"/>
              <w:spacing w:after="0" w:line="148" w:lineRule="exact"/>
              <w:rPr>
                <w:sz w:val="20"/>
                <w:szCs w:val="20"/>
                <w:color w:val="auto"/>
              </w:rPr>
            </w:pPr>
            <w:r>
              <w:rPr>
                <w:rFonts w:ascii="Arial" w:cs="Arial" w:eastAsia="Arial" w:hAnsi="Arial"/>
                <w:sz w:val="13"/>
                <w:szCs w:val="13"/>
                <w:color w:val="0000FF"/>
              </w:rPr>
              <w:t>Common</w:t>
            </w:r>
          </w:p>
        </w:tc>
        <w:tc>
          <w:tcPr>
            <w:tcW w:w="800" w:type="dxa"/>
            <w:vAlign w:val="bottom"/>
            <w:vMerge w:val="continue"/>
          </w:tcPr>
          <w:p>
            <w:pPr>
              <w:spacing w:after="0"/>
              <w:rPr>
                <w:sz w:val="12"/>
                <w:szCs w:val="12"/>
                <w:color w:val="auto"/>
              </w:rPr>
            </w:pPr>
          </w:p>
        </w:tc>
        <w:tc>
          <w:tcPr>
            <w:tcW w:w="1080" w:type="dxa"/>
            <w:vAlign w:val="bottom"/>
          </w:tcPr>
          <w:p>
            <w:pPr>
              <w:jc w:val="right"/>
              <w:ind w:right="138"/>
              <w:spacing w:after="0" w:line="148" w:lineRule="exact"/>
              <w:rPr>
                <w:sz w:val="20"/>
                <w:szCs w:val="20"/>
                <w:color w:val="auto"/>
              </w:rPr>
            </w:pPr>
            <w:r>
              <w:rPr>
                <w:rFonts w:ascii="Arial" w:cs="Arial" w:eastAsia="Arial" w:hAnsi="Arial"/>
                <w:sz w:val="13"/>
                <w:szCs w:val="13"/>
                <w:color w:val="0000FF"/>
              </w:rPr>
              <w:t>07/07/2017</w:t>
            </w:r>
          </w:p>
        </w:tc>
        <w:tc>
          <w:tcPr>
            <w:tcW w:w="1180" w:type="dxa"/>
            <w:vAlign w:val="bottom"/>
          </w:tcPr>
          <w:p>
            <w:pPr>
              <w:spacing w:after="0"/>
              <w:rPr>
                <w:sz w:val="12"/>
                <w:szCs w:val="12"/>
                <w:color w:val="auto"/>
              </w:rPr>
            </w:pPr>
          </w:p>
        </w:tc>
        <w:tc>
          <w:tcPr>
            <w:tcW w:w="760" w:type="dxa"/>
            <w:vAlign w:val="bottom"/>
          </w:tcPr>
          <w:p>
            <w:pPr>
              <w:ind w:left="180"/>
              <w:spacing w:after="0" w:line="148" w:lineRule="exact"/>
              <w:rPr>
                <w:sz w:val="20"/>
                <w:szCs w:val="20"/>
                <w:color w:val="auto"/>
              </w:rPr>
            </w:pPr>
            <w:r>
              <w:rPr>
                <w:rFonts w:ascii="Arial" w:cs="Arial" w:eastAsia="Arial" w:hAnsi="Arial"/>
                <w:sz w:val="13"/>
                <w:szCs w:val="13"/>
                <w:color w:val="0000FF"/>
              </w:rPr>
              <w:t>D</w:t>
            </w:r>
          </w:p>
        </w:tc>
        <w:tc>
          <w:tcPr>
            <w:tcW w:w="960" w:type="dxa"/>
            <w:vAlign w:val="bottom"/>
          </w:tcPr>
          <w:p>
            <w:pPr>
              <w:ind w:left="480"/>
              <w:spacing w:after="0" w:line="148" w:lineRule="exact"/>
              <w:rPr>
                <w:sz w:val="20"/>
                <w:szCs w:val="20"/>
                <w:color w:val="auto"/>
              </w:rPr>
            </w:pPr>
            <w:r>
              <w:rPr>
                <w:rFonts w:ascii="Arial" w:cs="Arial" w:eastAsia="Arial" w:hAnsi="Arial"/>
                <w:sz w:val="13"/>
                <w:szCs w:val="13"/>
                <w:color w:val="0000FF"/>
              </w:rPr>
              <w:t>25,000</w:t>
            </w:r>
          </w:p>
        </w:tc>
        <w:tc>
          <w:tcPr>
            <w:tcW w:w="7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70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Common</w:t>
            </w:r>
          </w:p>
        </w:tc>
        <w:tc>
          <w:tcPr>
            <w:tcW w:w="560" w:type="dxa"/>
            <w:vAlign w:val="bottom"/>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600" w:type="dxa"/>
            <w:vAlign w:val="bottom"/>
          </w:tcPr>
          <w:p>
            <w:pPr>
              <w:ind w:left="380"/>
              <w:spacing w:after="0" w:line="148" w:lineRule="exact"/>
              <w:rPr>
                <w:sz w:val="20"/>
                <w:szCs w:val="20"/>
                <w:color w:val="auto"/>
              </w:rPr>
            </w:pPr>
            <w:r>
              <w:rPr>
                <w:rFonts w:ascii="Arial" w:cs="Arial" w:eastAsia="Arial" w:hAnsi="Arial"/>
                <w:sz w:val="13"/>
                <w:szCs w:val="13"/>
                <w:color w:val="0000FF"/>
              </w:rPr>
              <w:t>0</w:t>
            </w:r>
          </w:p>
        </w:tc>
        <w:tc>
          <w:tcPr>
            <w:tcW w:w="300" w:type="dxa"/>
            <w:vAlign w:val="bottom"/>
          </w:tcPr>
          <w:p>
            <w:pPr>
              <w:spacing w:after="0"/>
              <w:rPr>
                <w:sz w:val="12"/>
                <w:szCs w:val="12"/>
                <w:color w:val="auto"/>
              </w:rPr>
            </w:pPr>
          </w:p>
        </w:tc>
        <w:tc>
          <w:tcPr>
            <w:tcW w:w="700" w:type="dxa"/>
            <w:vAlign w:val="bottom"/>
          </w:tcPr>
          <w:p>
            <w:pPr>
              <w:ind w:left="340"/>
              <w:spacing w:after="0" w:line="148"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center"/>
              <w:ind w:right="92"/>
              <w:spacing w:after="0"/>
              <w:rPr>
                <w:sz w:val="20"/>
                <w:szCs w:val="20"/>
                <w:color w:val="auto"/>
              </w:rPr>
            </w:pPr>
            <w:r>
              <w:rPr>
                <w:rFonts w:ascii="Arial" w:cs="Arial" w:eastAsia="Arial" w:hAnsi="Arial"/>
                <w:sz w:val="13"/>
                <w:szCs w:val="13"/>
                <w:color w:val="0000FF"/>
                <w:w w:val="92"/>
              </w:rPr>
              <w:t>Stock</w:t>
            </w: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180" w:firstLine="8"/>
        <w:spacing w:after="0" w:line="248" w:lineRule="auto"/>
        <w:tabs>
          <w:tab w:leader="none" w:pos="174"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In connection with the merger of Conyers Park Acquisition Corp. (the "Issuer") with and into a subsidiary of The Simply Good Foods Company ("SGFC"), and a series of related transactions (collectively, the "Business Combination"), the Reporting Person exchanged his Class A common stock, par value $0.0001 per share, and his Class B common stock, par value $0.0001 per share, of the Issuer and for common stock, par value $0.01 per share, of SGFC. Upon consummation of the Business Combination, the Reporting Person will no longer be subject to the reporting requirements of Section 16 with respect to the Issuer's securities.</w:t>
      </w:r>
    </w:p>
    <w:p>
      <w:pPr>
        <w:spacing w:after="0" w:line="19"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8"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Exhibit 24: Power of Attorney</w:t>
      </w:r>
    </w:p>
    <w:p>
      <w:pPr>
        <w:sectPr>
          <w:pgSz w:w="11900" w:h="16838" w:orient="portrait"/>
          <w:cols w:equalWidth="0" w:num="1">
            <w:col w:w="11520"/>
          </w:cols>
          <w:pgMar w:left="240" w:top="225" w:right="139" w:bottom="1440" w:gutter="0" w:footer="0" w:header="0"/>
          <w:type w:val="continuous"/>
        </w:sectPr>
      </w:pPr>
    </w:p>
    <w:p>
      <w:pPr>
        <w:spacing w:after="0" w:line="81" w:lineRule="exact"/>
        <w:rPr>
          <w:sz w:val="24"/>
          <w:szCs w:val="24"/>
          <w:color w:val="auto"/>
        </w:rPr>
      </w:pPr>
    </w:p>
    <w:p>
      <w:pPr>
        <w:ind w:left="6860"/>
        <w:spacing w:after="0"/>
        <w:rPr>
          <w:sz w:val="20"/>
          <w:szCs w:val="20"/>
          <w:color w:val="auto"/>
        </w:rPr>
      </w:pPr>
      <w:r>
        <w:rPr>
          <w:rFonts w:ascii="Arial" w:cs="Arial" w:eastAsia="Arial" w:hAnsi="Arial"/>
          <w:sz w:val="16"/>
          <w:szCs w:val="16"/>
          <w:color w:val="0000FF"/>
        </w:rPr>
        <w:t>/s/ David J. West, as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0</wp:posOffset>
            </wp:positionV>
            <wp:extent cx="13544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54455" cy="8255"/>
                    </a:xfrm>
                    <a:prstGeom prst="rect">
                      <a:avLst/>
                    </a:prstGeom>
                    <a:noFill/>
                  </pic:spPr>
                </pic:pic>
              </a:graphicData>
            </a:graphic>
          </wp:anchor>
        </w:drawing>
      </w:r>
    </w:p>
    <w:p>
      <w:pPr>
        <w:spacing w:after="0" w:line="18" w:lineRule="exact"/>
        <w:rPr>
          <w:sz w:val="24"/>
          <w:szCs w:val="24"/>
          <w:color w:val="auto"/>
        </w:rPr>
      </w:pPr>
    </w:p>
    <w:p>
      <w:pPr>
        <w:ind w:left="6860"/>
        <w:spacing w:after="0"/>
        <w:rPr>
          <w:sz w:val="20"/>
          <w:szCs w:val="20"/>
          <w:color w:val="auto"/>
        </w:rPr>
      </w:pPr>
      <w:r>
        <w:rPr>
          <w:rFonts w:ascii="Arial" w:cs="Arial" w:eastAsia="Arial" w:hAnsi="Arial"/>
          <w:sz w:val="16"/>
          <w:szCs w:val="16"/>
          <w:color w:val="0000FF"/>
        </w:rPr>
        <w:t>in-Fact for Clayton C. Daley Jr.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-4445</wp:posOffset>
            </wp:positionV>
            <wp:extent cx="140081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400810" cy="8255"/>
                    </a:xfrm>
                    <a:prstGeom prst="rect">
                      <a:avLst/>
                    </a:prstGeom>
                    <a:noFill/>
                  </pic:spPr>
                </pic:pic>
              </a:graphicData>
            </a:graphic>
          </wp:anchor>
        </w:drawing>
      </w:r>
    </w:p>
    <w:p>
      <w:pPr>
        <w:spacing w:after="0" w:line="66" w:lineRule="exact"/>
        <w:rPr>
          <w:sz w:val="24"/>
          <w:szCs w:val="24"/>
          <w:color w:val="auto"/>
        </w:rPr>
      </w:pPr>
    </w:p>
    <w:p>
      <w:pPr>
        <w:ind w:left="6860"/>
        <w:spacing w:after="0"/>
        <w:rPr>
          <w:sz w:val="20"/>
          <w:szCs w:val="20"/>
          <w:color w:val="auto"/>
        </w:rPr>
      </w:pPr>
      <w:r>
        <w:rPr>
          <w:rFonts w:ascii="Arial" w:cs="Arial" w:eastAsia="Arial" w:hAnsi="Arial"/>
          <w:sz w:val="13"/>
          <w:szCs w:val="13"/>
          <w:color w:val="auto"/>
        </w:rPr>
        <w:t>** Signature of Reporting Person</w:t>
      </w:r>
    </w:p>
    <w:p>
      <w:pPr>
        <w:spacing w:after="0" w:line="5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1280" w:firstLine="8"/>
        <w:spacing w:after="0" w:line="321" w:lineRule="auto"/>
        <w:tabs>
          <w:tab w:leader="none" w:pos="182"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20" w:lineRule="exact"/>
        <w:rPr>
          <w:sz w:val="24"/>
          <w:szCs w:val="24"/>
          <w:color w:val="auto"/>
        </w:rPr>
      </w:pPr>
      <w:r>
        <w:rPr>
          <w:sz w:val="24"/>
          <w:szCs w:val="24"/>
          <w:color w:val="auto"/>
        </w:rPr>
        <w:br w:type="column"/>
      </w:r>
    </w:p>
    <w:p>
      <w:pPr>
        <w:spacing w:after="0" w:line="169" w:lineRule="exact"/>
        <w:rPr>
          <w:sz w:val="24"/>
          <w:szCs w:val="24"/>
          <w:color w:val="auto"/>
        </w:rPr>
      </w:pPr>
    </w:p>
    <w:p>
      <w:pPr>
        <w:spacing w:after="0"/>
        <w:rPr>
          <w:sz w:val="20"/>
          <w:szCs w:val="20"/>
          <w:color w:val="auto"/>
        </w:rPr>
      </w:pPr>
      <w:r>
        <w:rPr>
          <w:rFonts w:ascii="Arial" w:cs="Arial" w:eastAsia="Arial" w:hAnsi="Arial"/>
          <w:sz w:val="15"/>
          <w:szCs w:val="15"/>
          <w:color w:val="0000FF"/>
        </w:rPr>
        <w:t>07/11/2017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5010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91"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841" w:lineRule="exact"/>
        <w:rPr>
          <w:sz w:val="24"/>
          <w:szCs w:val="24"/>
          <w:color w:val="auto"/>
        </w:rPr>
      </w:pPr>
    </w:p>
    <w:p>
      <w:pPr>
        <w:sectPr>
          <w:pgSz w:w="11900" w:h="16838" w:orient="portrait"/>
          <w:cols w:equalWidth="0" w:num="2">
            <w:col w:w="9080" w:space="80"/>
            <w:col w:w="2360"/>
          </w:cols>
          <w:pgMar w:left="240" w:top="225" w:right="139" w:bottom="1440" w:gutter="0" w:footer="0" w:header="0"/>
          <w:type w:val="continuous"/>
        </w:sectPr>
      </w:pPr>
    </w:p>
    <w:p>
      <w:pPr>
        <w:ind w:left="40"/>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5" w:right="139" w:bottom="1440" w:gutter="0" w:footer="0" w:header="0"/>
          <w:type w:val="continuous"/>
        </w:sectPr>
      </w:pPr>
    </w:p>
    <w:bookmarkStart w:id="1" w:name="page2"/>
    <w:bookmarkEnd w:id="1"/>
    <w:p>
      <w:pPr>
        <w:ind w:left="10320"/>
        <w:spacing w:after="0"/>
        <w:rPr>
          <w:sz w:val="20"/>
          <w:szCs w:val="20"/>
          <w:color w:val="auto"/>
        </w:rPr>
      </w:pPr>
      <w:r>
        <w:rPr>
          <w:rFonts w:ascii="Arial" w:cs="Arial" w:eastAsia="Arial" w:hAnsi="Arial"/>
          <w:sz w:val="19"/>
          <w:szCs w:val="19"/>
          <w:b w:val="1"/>
          <w:bCs w:val="1"/>
          <w:color w:val="auto"/>
        </w:rPr>
        <w:t>Exhibit 24.1</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7" w:lineRule="exact"/>
        <w:rPr>
          <w:sz w:val="20"/>
          <w:szCs w:val="20"/>
          <w:color w:val="auto"/>
        </w:rPr>
      </w:pPr>
    </w:p>
    <w:p>
      <w:pPr>
        <w:jc w:val="both"/>
        <w:ind w:firstLine="645"/>
        <w:spacing w:after="0" w:line="262" w:lineRule="auto"/>
        <w:rPr>
          <w:sz w:val="20"/>
          <w:szCs w:val="20"/>
          <w:color w:val="auto"/>
        </w:rPr>
      </w:pPr>
      <w:r>
        <w:rPr>
          <w:rFonts w:ascii="Arial" w:cs="Arial" w:eastAsia="Arial" w:hAnsi="Arial"/>
          <w:sz w:val="18"/>
          <w:szCs w:val="18"/>
          <w:color w:val="auto"/>
        </w:rPr>
        <w:t>KNOW ALL BY THESE PRESENTS, that the undersigned hereby makes, constitutes and appoints Brian K. Ratzan and David J. West, signing singly, the undersigned’s true and lawful attorneys-in-fact, with full power and authority as hereinafter described on behalf of and in the name, place and stead of the undersigned to:</w:t>
      </w:r>
    </w:p>
    <w:p>
      <w:pPr>
        <w:spacing w:after="0" w:line="181" w:lineRule="exact"/>
        <w:rPr>
          <w:sz w:val="20"/>
          <w:szCs w:val="20"/>
          <w:color w:val="auto"/>
        </w:rPr>
      </w:pPr>
    </w:p>
    <w:p>
      <w:pPr>
        <w:jc w:val="both"/>
        <w:ind w:left="1300" w:hanging="648"/>
        <w:spacing w:after="0" w:line="254"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execute for and on behalf of the undersigned, in the undersigned’s capacity as a director, officer or beneficial owner of shares of common stock of Conyers Park Acquisition Corp.,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any Schedule 13D or Schedule 13G, and any amendments, supplements or exhibits thereto (including any joint filing agreements) required to be filed by the undersigned under Section 13 of the Securities Exchange Act of 1934, as amended, and the rules and regulations promulgated thereunder (the “</w:t>
      </w:r>
      <w:r>
        <w:rPr>
          <w:rFonts w:ascii="Arial" w:cs="Arial" w:eastAsia="Arial" w:hAnsi="Arial"/>
          <w:sz w:val="18"/>
          <w:szCs w:val="18"/>
          <w:u w:val="single" w:color="auto"/>
          <w:color w:val="auto"/>
        </w:rPr>
        <w:t>Exchange Act</w:t>
      </w:r>
      <w:r>
        <w:rPr>
          <w:rFonts w:ascii="Arial" w:cs="Arial" w:eastAsia="Arial" w:hAnsi="Arial"/>
          <w:sz w:val="18"/>
          <w:szCs w:val="18"/>
          <w:color w:val="auto"/>
        </w:rPr>
        <w:t>”), and any Forms 3, 4, and 5 and any amendments, supplements or exhibits thereto required to be filed by the undersigned under Section 16(a) of the Exchange Act;</w:t>
      </w:r>
    </w:p>
    <w:p>
      <w:pPr>
        <w:spacing w:after="0" w:line="189" w:lineRule="exact"/>
        <w:rPr>
          <w:rFonts w:ascii="Arial" w:cs="Arial" w:eastAsia="Arial" w:hAnsi="Arial"/>
          <w:sz w:val="18"/>
          <w:szCs w:val="18"/>
          <w:color w:val="auto"/>
        </w:rPr>
      </w:pPr>
    </w:p>
    <w:p>
      <w:pPr>
        <w:jc w:val="both"/>
        <w:ind w:left="1300" w:hanging="648"/>
        <w:spacing w:after="0" w:line="262"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which may be necessary or desirable to complete and execute any such Schedule 13D, Schedule 13G, Form 3, 4, or 5 and timely file such forms with the United States Securities and Exchange Commission and any stock exchange on which the Common Stock of the Company is then listed; and</w:t>
      </w:r>
    </w:p>
    <w:p>
      <w:pPr>
        <w:spacing w:after="0" w:line="181" w:lineRule="exact"/>
        <w:rPr>
          <w:rFonts w:ascii="Arial" w:cs="Arial" w:eastAsia="Arial" w:hAnsi="Arial"/>
          <w:sz w:val="18"/>
          <w:szCs w:val="18"/>
          <w:color w:val="auto"/>
        </w:rPr>
      </w:pPr>
    </w:p>
    <w:p>
      <w:pPr>
        <w:jc w:val="both"/>
        <w:ind w:left="1300" w:hanging="648"/>
        <w:spacing w:after="0" w:line="257"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take any other action of any type whatsoever in connection with the foregoing which, in the opinion of such attorneys-in-fact, may be of benefit to, in the best interest of, or legally required by, the undersigned, it being understood that the documents executed by such attorneys-in-fact on behalf of the undersigned pursuant to this Power of Attorney shall be in such form and shall contain such terms and conditions as such attorneys-in-fact may approve in such attorneys-in-fact’s discretion.</w:t>
      </w:r>
    </w:p>
    <w:p>
      <w:pPr>
        <w:spacing w:after="0" w:line="188" w:lineRule="exact"/>
        <w:rPr>
          <w:sz w:val="20"/>
          <w:szCs w:val="20"/>
          <w:color w:val="auto"/>
        </w:rPr>
      </w:pPr>
    </w:p>
    <w:p>
      <w:pPr>
        <w:jc w:val="both"/>
        <w:ind w:firstLine="645"/>
        <w:spacing w:after="0" w:line="272" w:lineRule="auto"/>
        <w:rPr>
          <w:sz w:val="20"/>
          <w:szCs w:val="20"/>
          <w:color w:val="auto"/>
        </w:rPr>
      </w:pPr>
      <w:r>
        <w:rPr>
          <w:rFonts w:ascii="Arial" w:cs="Arial" w:eastAsia="Arial" w:hAnsi="Arial"/>
          <w:sz w:val="17"/>
          <w:szCs w:val="17"/>
          <w:color w:val="auto"/>
        </w:rPr>
        <w:t>The undersigned hereby grants to such attorneys-in-fact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attorneys-in-fact’s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13 and Section 16 of the Exchange Act.</w:t>
      </w:r>
    </w:p>
    <w:p>
      <w:pPr>
        <w:spacing w:after="0" w:line="175" w:lineRule="exact"/>
        <w:rPr>
          <w:sz w:val="20"/>
          <w:szCs w:val="20"/>
          <w:color w:val="auto"/>
        </w:rPr>
      </w:pPr>
    </w:p>
    <w:p>
      <w:pPr>
        <w:jc w:val="both"/>
        <w:ind w:firstLine="645"/>
        <w:spacing w:after="0" w:line="262" w:lineRule="auto"/>
        <w:rPr>
          <w:sz w:val="20"/>
          <w:szCs w:val="20"/>
          <w:color w:val="auto"/>
        </w:rPr>
      </w:pPr>
      <w:r>
        <w:rPr>
          <w:rFonts w:ascii="Arial" w:cs="Arial" w:eastAsia="Arial" w:hAnsi="Arial"/>
          <w:sz w:val="18"/>
          <w:szCs w:val="18"/>
          <w:color w:val="auto"/>
        </w:rPr>
        <w:t>This Power of Attorney shall remain in full force and effect until the undersigned is no longer required to file reports or schedules under Section 13 or Section 16 of the Exchange Act with respect to the undersigned’s holdings of and transactions in securities issued by the Company, unless earlier revoked by the undersigned in a signed writing delivered to the foregoing attorneys-in-fact.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440690</wp:posOffset>
            </wp:positionV>
            <wp:extent cx="724725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7247255" cy="1714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2" w:name="page3"/>
    <w:bookmarkEnd w:id="2"/>
    <w:p>
      <w:pPr>
        <w:ind w:left="660"/>
        <w:spacing w:after="0"/>
        <w:rPr>
          <w:sz w:val="20"/>
          <w:szCs w:val="20"/>
          <w:color w:val="auto"/>
        </w:rPr>
      </w:pPr>
      <w:r>
        <w:rPr>
          <w:rFonts w:ascii="Arial" w:cs="Arial" w:eastAsia="Arial" w:hAnsi="Arial"/>
          <w:sz w:val="18"/>
          <w:szCs w:val="18"/>
          <w:color w:val="auto"/>
        </w:rPr>
        <w:t>IN WITNESS WHEREOF, the undersigned has caused this Power of Attorney to be executed as of this 7th day of July 2017.</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7440" w:type="dxa"/>
            <w:vAlign w:val="bottom"/>
          </w:tcPr>
          <w:p>
            <w:pPr>
              <w:ind w:left="6860"/>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Clayton C. Daley, Jr.</w:t>
            </w:r>
          </w:p>
        </w:tc>
      </w:tr>
      <w:tr>
        <w:trPr>
          <w:trHeight w:val="200"/>
        </w:trPr>
        <w:tc>
          <w:tcPr>
            <w:tcW w:w="7440" w:type="dxa"/>
            <w:vAlign w:val="bottom"/>
          </w:tcPr>
          <w:p>
            <w:pPr>
              <w:ind w:left="6860"/>
              <w:spacing w:after="0" w:line="201" w:lineRule="exact"/>
              <w:rPr>
                <w:sz w:val="20"/>
                <w:szCs w:val="20"/>
                <w:color w:val="auto"/>
              </w:rPr>
            </w:pPr>
            <w:r>
              <w:rPr>
                <w:rFonts w:ascii="Arial" w:cs="Arial" w:eastAsia="Arial" w:hAnsi="Arial"/>
                <w:sz w:val="18"/>
                <w:szCs w:val="18"/>
                <w:color w:val="auto"/>
              </w:rPr>
              <w:t>Name:</w:t>
            </w:r>
          </w:p>
        </w:tc>
        <w:tc>
          <w:tcPr>
            <w:tcW w:w="3980" w:type="dxa"/>
            <w:vAlign w:val="bottom"/>
          </w:tcPr>
          <w:p>
            <w:pPr>
              <w:spacing w:after="0" w:line="201" w:lineRule="exact"/>
              <w:rPr>
                <w:sz w:val="20"/>
                <w:szCs w:val="20"/>
                <w:color w:val="auto"/>
              </w:rPr>
            </w:pPr>
            <w:r>
              <w:rPr>
                <w:rFonts w:ascii="Arial" w:cs="Arial" w:eastAsia="Arial" w:hAnsi="Arial"/>
                <w:sz w:val="18"/>
                <w:szCs w:val="18"/>
                <w:color w:val="auto"/>
              </w:rPr>
              <w:t>Clayton C. Daley, Jr.</w:t>
            </w:r>
          </w:p>
        </w:tc>
      </w:tr>
      <w:tr>
        <w:trPr>
          <w:trHeight w:val="229"/>
        </w:trPr>
        <w:tc>
          <w:tcPr>
            <w:tcW w:w="7440" w:type="dxa"/>
            <w:vAlign w:val="bottom"/>
          </w:tcPr>
          <w:p>
            <w:pPr>
              <w:ind w:left="6860"/>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Director</w:t>
            </w:r>
          </w:p>
        </w:tc>
      </w:tr>
      <w:tr>
        <w:trPr>
          <w:trHeight w:val="651"/>
        </w:trPr>
        <w:tc>
          <w:tcPr>
            <w:tcW w:w="7440" w:type="dxa"/>
            <w:vAlign w:val="bottom"/>
            <w:tcBorders>
              <w:bottom w:val="single" w:sz="8" w:color="auto"/>
            </w:tcBorders>
          </w:tcPr>
          <w:p>
            <w:pPr>
              <w:spacing w:after="0"/>
              <w:rPr>
                <w:sz w:val="24"/>
                <w:szCs w:val="24"/>
                <w:color w:val="auto"/>
              </w:rPr>
            </w:pPr>
          </w:p>
        </w:tc>
        <w:tc>
          <w:tcPr>
            <w:tcW w:w="398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90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X"/>
      <w:numFmt w:val="bullet"/>
      <w:start w:val="1"/>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180778" TargetMode="External"/><Relationship Id="rId13" Type="http://schemas.openxmlformats.org/officeDocument/2006/relationships/hyperlink" Target="http://www.sec.gov/cgi-bin/browse-edgar?action=getcompany&amp;CIK=000167298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2019-12-24T04:54:40Z</dcterms:created>
  <dcterms:modified xsi:type="dcterms:W3CDTF">2019-12-24T04:54:40Z</dcterms:modified>
</cp:coreProperties>
</file>