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30, 2024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1"/>
        <w:spacing w:after="0" w:line="245" w:lineRule="auto"/>
        <w:tabs>
          <w:tab w:leader="none" w:pos="2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20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209"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26, 2024, there were 101,032,444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NOVEMBER 30,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20</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150,721</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440,280</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1,332,733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2,434,437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49,791</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108,615</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166,012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708,658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0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103,393,159 and 101,929,868</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November 30, 2024 and August 31, 2024, respectively</w:t>
            </w: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2,365,100 shares and 2,365,100 shares at cost at November 30, 2024 and August</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 2024, respectively</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1,776,544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2,434,437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November 30, 2024</w:t>
            </w:r>
          </w:p>
        </w:tc>
        <w:tc>
          <w:tcPr>
            <w:tcW w:w="12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3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341,268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308,678</w:t>
            </w:r>
          </w:p>
        </w:tc>
      </w:tr>
      <w:tr>
        <w:trPr>
          <w:trHeight w:val="25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210,782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193,560</w:t>
            </w:r>
          </w:p>
        </w:tc>
      </w:tr>
      <w:tr>
        <w:trPr>
          <w:trHeight w:val="23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130,486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115,118</w:t>
            </w:r>
          </w:p>
        </w:tc>
      </w:tr>
      <w:tr>
        <w:trPr>
          <w:trHeight w:val="257"/>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4"/>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31,990</w:t>
            </w:r>
          </w:p>
        </w:tc>
      </w:tr>
      <w:tr>
        <w:trPr>
          <w:trHeight w:val="25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26,950</w:t>
            </w:r>
          </w:p>
        </w:tc>
      </w:tr>
      <w:tr>
        <w:trPr>
          <w:trHeight w:val="25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4,358</w:t>
            </w:r>
          </w:p>
        </w:tc>
      </w:tr>
      <w:tr>
        <w:trPr>
          <w:trHeight w:val="25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75,861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63,298</w:t>
            </w:r>
          </w:p>
        </w:tc>
      </w:tr>
      <w:tr>
        <w:trPr>
          <w:trHeight w:val="259"/>
        </w:trPr>
        <w:tc>
          <w:tcPr>
            <w:tcW w:w="6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51,820</w:t>
            </w:r>
          </w:p>
        </w:tc>
      </w:tr>
      <w:tr>
        <w:trPr>
          <w:trHeight w:val="259"/>
        </w:trPr>
        <w:tc>
          <w:tcPr>
            <w:tcW w:w="6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1,090</w:t>
            </w:r>
          </w:p>
        </w:tc>
      </w:tr>
      <w:tr>
        <w:trPr>
          <w:trHeight w:val="25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(6,034)</w:t>
            </w:r>
          </w:p>
        </w:tc>
      </w:tr>
      <w:tr>
        <w:trPr>
          <w:trHeight w:val="26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r>
      <w:tr>
        <w:trPr>
          <w:trHeight w:val="25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4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w:t>
            </w:r>
          </w:p>
        </w:tc>
      </w:tr>
      <w:tr>
        <w:trPr>
          <w:trHeight w:val="257"/>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47,108</w:t>
            </w:r>
          </w:p>
        </w:tc>
      </w:tr>
      <w:tr>
        <w:trPr>
          <w:trHeight w:val="25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11,547</w:t>
            </w:r>
          </w:p>
        </w:tc>
      </w:tr>
      <w:tr>
        <w:trPr>
          <w:trHeight w:val="24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35,561</w:t>
            </w:r>
          </w:p>
        </w:tc>
      </w:tr>
      <w:tr>
        <w:trPr>
          <w:trHeight w:val="257"/>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375"/>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r>
      <w:tr>
        <w:trPr>
          <w:trHeight w:val="23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35,833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5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4"/>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r>
      <w:tr>
        <w:trPr>
          <w:trHeight w:val="25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r>
      <w:tr>
        <w:trPr>
          <w:trHeight w:val="25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100,394,693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99,629,188</w:t>
            </w:r>
          </w:p>
        </w:tc>
      </w:tr>
      <w:tr>
        <w:trPr>
          <w:trHeight w:val="250"/>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101,479,603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101,094,736</w:t>
            </w: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0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35,561</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5,605</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385</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4,168</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foreign currency transactions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1,735</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5,173</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(9,806)</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32,021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47,523</w:t>
            </w:r>
          </w:p>
        </w:tc>
      </w:tr>
      <w:tr>
        <w:trPr>
          <w:trHeight w:val="199"/>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199"/>
        </w:trPr>
        <w:tc>
          <w:tcPr>
            <w:tcW w:w="6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(13,103)</w:t>
            </w:r>
          </w:p>
        </w:tc>
      </w:tr>
      <w:tr>
        <w:trPr>
          <w:trHeight w:val="199"/>
        </w:trPr>
        <w:tc>
          <w:tcPr>
            <w:tcW w:w="6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33,620</w:t>
            </w: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r>
      <w:tr>
        <w:trPr>
          <w:trHeight w:val="216"/>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132,530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87,715</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121,759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121,391</w:t>
            </w:r>
          </w:p>
        </w:tc>
      </w:tr>
      <w:tr>
        <w:trPr>
          <w:trHeight w:val="21"/>
        </w:trPr>
        <w:tc>
          <w:tcPr>
            <w:tcW w:w="6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gridSpan w:val="8"/>
            <w:vMerge w:val="restart"/>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20" w:type="dxa"/>
            <w:vAlign w:val="bottom"/>
          </w:tcPr>
          <w:p>
            <w:pPr>
              <w:spacing w:after="0"/>
              <w:rPr>
                <w:sz w:val="16"/>
                <w:szCs w:val="16"/>
                <w:color w:val="auto"/>
              </w:rPr>
            </w:pPr>
          </w:p>
        </w:tc>
        <w:tc>
          <w:tcPr>
            <w:tcW w:w="182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16"/>
                <w:szCs w:val="16"/>
                <w:color w:val="auto"/>
              </w:rPr>
            </w:pPr>
          </w:p>
        </w:tc>
        <w:tc>
          <w:tcPr>
            <w:tcW w:w="146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color w:val="auto"/>
              </w:rPr>
              <w:t>Accumulated 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20" w:type="dxa"/>
            <w:vAlign w:val="bottom"/>
          </w:tcPr>
          <w:p>
            <w:pPr>
              <w:spacing w:after="0"/>
              <w:rPr>
                <w:sz w:val="9"/>
                <w:szCs w:val="9"/>
                <w:color w:val="auto"/>
              </w:rPr>
            </w:pPr>
          </w:p>
        </w:tc>
        <w:tc>
          <w:tcPr>
            <w:tcW w:w="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9"/>
                <w:szCs w:val="9"/>
                <w:color w:val="auto"/>
              </w:rPr>
            </w:pP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9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31,</w:t>
            </w:r>
          </w:p>
        </w:tc>
        <w:tc>
          <w:tcPr>
            <w:tcW w:w="9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102,515,315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713,751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103,393,159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525,387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1,776,544</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30, 2024</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8"/>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20" w:type="dxa"/>
            <w:vAlign w:val="bottom"/>
          </w:tcPr>
          <w:p>
            <w:pPr>
              <w:spacing w:after="0"/>
              <w:rPr>
                <w:sz w:val="24"/>
                <w:szCs w:val="24"/>
                <w:color w:val="auto"/>
              </w:rPr>
            </w:pPr>
          </w:p>
        </w:tc>
        <w:tc>
          <w:tcPr>
            <w:tcW w:w="182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24"/>
                <w:szCs w:val="24"/>
                <w:color w:val="auto"/>
              </w:rPr>
            </w:pPr>
          </w:p>
        </w:tc>
        <w:tc>
          <w:tcPr>
            <w:tcW w:w="14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vMerge w:val="restart"/>
          </w:tcPr>
          <w:p>
            <w:pPr>
              <w:spacing w:after="0"/>
              <w:rPr>
                <w:sz w:val="9"/>
                <w:szCs w:val="9"/>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Capital</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August 26,</w:t>
            </w:r>
          </w:p>
        </w:tc>
        <w:tc>
          <w:tcPr>
            <w:tcW w:w="20" w:type="dxa"/>
            <w:vAlign w:val="bottom"/>
            <w:vMerge w:val="restart"/>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tcPr>
          <w:p>
            <w:pPr>
              <w:spacing w:after="0"/>
              <w:rPr>
                <w:sz w:val="14"/>
                <w:szCs w:val="14"/>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1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20" w:type="dxa"/>
            <w:vAlign w:val="bottom"/>
            <w:vMerge w:val="restart"/>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245,365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20" w:type="dxa"/>
            <w:vAlign w:val="bottom"/>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102,175,233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383,517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25, 2023</w:t>
            </w: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Quest, Atkins, and OWYN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2024, the Company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367"/>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31, 2024, included in the Company’s Annual Report on Form 10-K (“Annual Report”) filed with the SEC on October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are applied on a prospective basis.</w:t>
      </w:r>
    </w:p>
    <w:p>
      <w:pPr>
        <w:spacing w:after="0" w:line="216"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6,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Comprehensive Income - Expense Disaggregation Disclosures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spacing w:after="0" w:line="202"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OWYN Acquisition was funded through a combination of incremental borrowings under our outstanding Term Facility, as defined below, totaling $250.0 million and cash on hand. Business transaction costs within the Consolidated Statements of Operations and Comprehensive Income for the thirteen week period ended November 30, 2024, were $0.6 million, which consisted of legal, accounting, and other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OWYN Acquisition was accounted for as a business combination under ASC 805, Business Combinations (“ASC 805”), which requires, among other things, assets acquired and liabilities assumed to be measured at their acquisition date fair value. The following table sets forth the preliminary purchase price allocation of the OWYN Acquisition to the estimated fair value of the net assets acquired at the date of the Acquisition, in thousands. The preliminary purchase price allocation may be adjusted as a result of the finalization of the Company’s purchase price allocation procedures related to the assets acquired and liabilities assumed; including, but not limited to, certain customary post-closing adjustments such as the finalization of working capital, tax return finalization, and other adjustments.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June 13, 2024, fair value is as follows:</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38,955</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assets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243,626</w:t>
            </w:r>
          </w:p>
        </w:tc>
      </w:tr>
      <w:tr>
        <w:trPr>
          <w:trHeight w:val="27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20,378</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r>
              <w:rPr>
                <w:rFonts w:ascii="Times New Roman" w:cs="Times New Roman" w:eastAsia="Times New Roman" w:hAnsi="Times New Roman"/>
                <w:sz w:val="21"/>
                <w:szCs w:val="21"/>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41,513</w:t>
            </w: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233,332</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(4)</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48,553</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 and liabilities assumed</w:t>
            </w: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281,885</w:t>
            </w:r>
          </w:p>
        </w:tc>
      </w:tr>
      <w:tr>
        <w:trPr>
          <w:trHeight w:val="21"/>
        </w:trPr>
        <w:tc>
          <w:tcPr>
            <w:tcW w:w="8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80"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was estimated using the comparative sales method, which quantifies the fair value of inventory based on the expected sales price of the subject inventory, reduced for: (i) all costs expected to be incurred in its completion/disposition efforts; and (ii) a profit on those costs.</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were recorded at fair value consistent with ASC 820 as a result of the OWYN Acquisition. Intangible assets consisted of $223.0 million of brand and $20.5 million of customer relationships.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206" w:lineRule="exact"/>
        <w:rPr>
          <w:rFonts w:ascii="Times New Roman" w:cs="Times New Roman" w:eastAsia="Times New Roman" w:hAnsi="Times New Roman"/>
          <w:sz w:val="16"/>
          <w:szCs w:val="16"/>
          <w:color w:val="auto"/>
        </w:rPr>
      </w:pPr>
    </w:p>
    <w:p>
      <w:pPr>
        <w:ind w:left="3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indefinite-lived brand asset was estimated using the multi-period excess earnings method of the income approach, wherein the net earnings attributable to the asset are isolated from other “contributory assets” in order to estimate the cash flows solely attributable to the asset over its remaining economic life.</w:t>
      </w:r>
    </w:p>
    <w:p>
      <w:pPr>
        <w:spacing w:after="0" w:line="177" w:lineRule="exact"/>
        <w:rPr>
          <w:rFonts w:ascii="Times New Roman" w:cs="Times New Roman" w:eastAsia="Times New Roman" w:hAnsi="Times New Roman"/>
          <w:sz w:val="16"/>
          <w:szCs w:val="16"/>
          <w:color w:val="auto"/>
        </w:rPr>
      </w:pPr>
    </w:p>
    <w:p>
      <w:pPr>
        <w:jc w:val="both"/>
        <w:ind w:lef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customer relationship intangible asset was estimated using the with/without method of the income approach, wherein the value is estimated by comparing the overall business cash flows with the customer relationships in place to the cash flows in a hypothetical scenario where the customer relationships are not in place. The significant assumptions used in estimating the fair value under the with/without method include the time to recreate the asset, profitability under both scenarios, and the estimated discount rate.</w:t>
      </w:r>
    </w:p>
    <w:p>
      <w:pPr>
        <w:spacing w:after="0" w:line="2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as a result of the fair value attributable to the identifiable intangible assets, the deferred income tax liability was $41.5 million.</w:t>
      </w:r>
    </w:p>
    <w:p>
      <w:pPr>
        <w:spacing w:after="0" w:line="248"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was recorded at fair value consistent with ASC 820 as a result of the OWYN Acquisition. Amounts recorded for goodwill created in an acquisition structured as a stock purchase for tax are generally not expected to be deductible for tax purposes. As such, the acquired goodwill is not expected to be deductible for tax purposes. Goodwill represents the future economic benefits arising from other assets acquired that could not be individually identified and separately recognized.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determination of the fair value of the assets acquired and liabilities assumed is expected to be completed in the fourth fiscal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Measurement period adjustments are recognized in the reporting period in which the adjustments are determined and calculated as if the accounting had been completed at the acquisition date. The final fair value determination of the assets acquired and liabilities assumed will be completed prior to one year from the transaction completion, consistent with ASC 805.</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OWYN’s operations have been included in the Simply Good Foods’ Consolidated Financial Statements since the acquisition date. The Company has not disclosed earnings from the acquired OWYN business as they are immaterial. The following table provides net sales from the acquired OWYN business included in the Company’s results:</w:t>
      </w:r>
    </w:p>
    <w:p>
      <w:pPr>
        <w:spacing w:after="0" w:line="383" w:lineRule="exact"/>
        <w:rPr>
          <w:sz w:val="20"/>
          <w:szCs w:val="20"/>
          <w:color w:val="auto"/>
        </w:rPr>
      </w:pPr>
    </w:p>
    <w:tbl>
      <w:tblPr>
        <w:tblLayout w:type="fixed"/>
        <w:tblInd w:w="332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Thirteen Weeks</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Ended</w:t>
            </w:r>
          </w:p>
        </w:tc>
      </w:tr>
      <w:tr>
        <w:trPr>
          <w:trHeight w:val="27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November 30,</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r>
      <w:tr>
        <w:trPr>
          <w:trHeight w:val="25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 forma financial information is not intended to represent or be indicative of the actual results of operations of the combined business that would have been reported had the OWYN Acquisition been completed at the beginning of the fiscal year 2024, nor is it representative of future operating results of the Company.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unaudited pro forma combined financial information is prepared based on ASC 805 period end guidance. The Company and the legacy OWYN entity have different fiscal year ends, with Simply Good Foods’ fiscal year being the last Saturday of August while the legacy OWYN business fiscal year was December 31. Because the year ends differ by more than 93 days, OWYN’s financial information is required to be adjusted to a period within 93 days of Simply Good Foods’ fiscal period end. In addition to these period end adjustments, the pro forma results include certain nonrecurring adjustments that were directly related to the business combination, including business transaction costs, as disclosed above.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presents combined results of the Company assuming the OWYN Acquisition occurred at the beginning of fiscal year 2024:</w:t>
      </w:r>
    </w:p>
    <w:p>
      <w:pPr>
        <w:spacing w:after="0" w:line="234" w:lineRule="exact"/>
        <w:rPr>
          <w:sz w:val="20"/>
          <w:szCs w:val="20"/>
          <w:color w:val="auto"/>
        </w:rPr>
      </w:pPr>
    </w:p>
    <w:tbl>
      <w:tblPr>
        <w:tblLayout w:type="fixed"/>
        <w:tblInd w:w="268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Thirteen Weeks</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Ended</w:t>
            </w:r>
          </w:p>
        </w:tc>
      </w:tr>
      <w:tr>
        <w:trPr>
          <w:trHeight w:val="229"/>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25,</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r>
      <w:tr>
        <w:trPr>
          <w:trHeight w:val="230"/>
        </w:trPr>
        <w:tc>
          <w:tcPr>
            <w:tcW w:w="3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330,658</w:t>
            </w:r>
          </w:p>
        </w:tc>
      </w:tr>
      <w:tr>
        <w:trPr>
          <w:trHeight w:val="210"/>
        </w:trPr>
        <w:tc>
          <w:tcPr>
            <w:tcW w:w="39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45" w:lineRule="exact"/>
        <w:rPr>
          <w:sz w:val="20"/>
          <w:szCs w:val="20"/>
          <w:color w:val="auto"/>
        </w:rPr>
      </w:pPr>
    </w:p>
    <w:tbl>
      <w:tblPr>
        <w:tblLayout w:type="fixed"/>
        <w:tblInd w:w="186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5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November 30, 2024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5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7"/>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108,168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119,498</w:t>
            </w:r>
          </w:p>
        </w:tc>
      </w:tr>
      <w:tr>
        <w:trPr>
          <w:trHeight w:val="27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191,937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181,463</w:t>
            </w:r>
          </w:p>
        </w:tc>
      </w:tr>
      <w:tr>
        <w:trPr>
          <w:trHeight w:val="267"/>
        </w:trPr>
        <w:tc>
          <w:tcPr>
            <w:tcW w:w="3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OWYN</w:t>
            </w: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32,254</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332,359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300,961</w:t>
            </w:r>
          </w:p>
        </w:tc>
      </w:tr>
      <w:tr>
        <w:trPr>
          <w:trHeight w:val="267"/>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8,909</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7,717</w:t>
            </w:r>
          </w:p>
        </w:tc>
      </w:tr>
      <w:tr>
        <w:trPr>
          <w:trHeight w:val="251"/>
        </w:trPr>
        <w:tc>
          <w:tcPr>
            <w:tcW w:w="3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308,678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both"/>
        <w:ind w:left="1960" w:right="1860" w:hanging="85"/>
        <w:spacing w:after="0" w:line="227" w:lineRule="auto"/>
        <w:tabs>
          <w:tab w:leader="none" w:pos="2028"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8" w:lineRule="exact"/>
        <w:rPr>
          <w:sz w:val="20"/>
          <w:szCs w:val="20"/>
          <w:color w:val="auto"/>
        </w:rPr>
      </w:pPr>
    </w:p>
    <w:p>
      <w:pPr>
        <w:jc w:val="both"/>
        <w:ind w:firstLine="290"/>
        <w:spacing w:after="0" w:line="266" w:lineRule="auto"/>
        <w:rPr>
          <w:sz w:val="20"/>
          <w:szCs w:val="20"/>
          <w:color w:val="auto"/>
        </w:rPr>
      </w:pPr>
      <w:r>
        <w:rPr>
          <w:rFonts w:ascii="Times New Roman" w:cs="Times New Roman" w:eastAsia="Times New Roman" w:hAnsi="Times New Roman"/>
          <w:sz w:val="18"/>
          <w:szCs w:val="18"/>
          <w:color w:val="auto"/>
        </w:rPr>
        <w:t>Charges related to credit losses on accounts receivable from transactions with external customers were $0.8 million for the thirteen weeks ended November 30, 2024, and $0.1 million for the thirteen weeks ended November 25, 2023. As of November 30, 2024, and August 31, 2024, the allowance for credit losses related to accounts receivable was $1.4 million and $0.7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of November 30, 2024, and August 31, 2024,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$591.7 million. There were no impairment charges related to goodwill during the thirteen weeks ended November 30, 2024, or since the inception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November 30,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68,413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12,894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4,933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93,240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1,332,733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31, 2024</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65,171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129,329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89,507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288"/>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thirteen weeks ended November 30, 2024, were primarily related to recurring amortization expense. Amortization expense related to intangible assets was $3.7 million for the thirteen weeks ended November 30, 2024, and $3.9 million for the thirteen weeks ended November 25, 2023. There were no impairment charges related to its finite-lived intangible assets during the thirteen weeks ended November 30, 2024, and November 25, 2023.</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2030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135,294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32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Long-Term Debt and Line of Credit</w:t>
      </w:r>
    </w:p>
    <w:p>
      <w:pPr>
        <w:spacing w:after="0" w:line="256" w:lineRule="exact"/>
        <w:rPr>
          <w:sz w:val="20"/>
          <w:szCs w:val="20"/>
          <w:color w:val="auto"/>
        </w:rPr>
      </w:pPr>
    </w:p>
    <w:p>
      <w:pPr>
        <w:jc w:val="both"/>
        <w:ind w:right="20" w:firstLine="18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2024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2.50% plus (x) 1.50%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2024 Incremental Facility Amendment, the Company expensed $3.4 million of non-deferrable third-party costs through </w:t>
      </w:r>
      <w:r>
        <w:rPr>
          <w:rFonts w:ascii="Times New Roman" w:cs="Times New Roman" w:eastAsia="Times New Roman" w:hAnsi="Times New Roman"/>
          <w:sz w:val="18"/>
          <w:szCs w:val="18"/>
          <w:i w:val="1"/>
          <w:iCs w:val="1"/>
          <w:color w:val="auto"/>
        </w:rPr>
        <w:t>Business transaction costs</w:t>
      </w:r>
      <w:r>
        <w:rPr>
          <w:rFonts w:ascii="Times New Roman" w:cs="Times New Roman" w:eastAsia="Times New Roman" w:hAnsi="Times New Roman"/>
          <w:sz w:val="18"/>
          <w:szCs w:val="18"/>
          <w:color w:val="auto"/>
        </w:rPr>
        <w:t xml:space="preserve"> and capitalized $1.2 million of third-party financing costs.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November 30, 2024 and August 31, 2024,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1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7.2% at November 30, 2024)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1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2,515</w:t>
            </w:r>
          </w:p>
        </w:tc>
      </w:tr>
      <w:tr>
        <w:trPr>
          <w:trHeight w:val="23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347,990</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November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March 2027.</w:t>
      </w:r>
    </w:p>
    <w:p>
      <w:pPr>
        <w:spacing w:after="0" w:line="234"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As of November 30, 2024, the Company had letters of credit in the amount of $2.1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as of November 30, 2024.</w:t>
      </w:r>
    </w:p>
    <w:p>
      <w:pPr>
        <w:spacing w:after="0" w:line="203"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November 30, 2024, and August 31, 2024,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 fair value as of November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2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November 30, 2024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5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47,675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47,108</w:t>
            </w:r>
          </w:p>
        </w:tc>
      </w:tr>
      <w:tr>
        <w:trPr>
          <w:trHeight w:val="267"/>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9,553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11,547</w:t>
            </w:r>
          </w:p>
        </w:tc>
      </w:tr>
      <w:tr>
        <w:trPr>
          <w:trHeight w:val="27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r>
    </w:tbl>
    <w:p>
      <w:pPr>
        <w:spacing w:after="0" w:line="319" w:lineRule="exact"/>
        <w:rPr>
          <w:sz w:val="20"/>
          <w:szCs w:val="20"/>
          <w:color w:val="auto"/>
        </w:rPr>
      </w:pPr>
    </w:p>
    <w:p>
      <w:pPr>
        <w:ind w:firstLine="285"/>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30, 2024, was 4.5% lower than the effective tax rate for the thirteen weeks ended November 25, 2023, which was primarily driven by permanent differences, principally stock-based compensation.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Statements of Operations Caption</w:t>
            </w:r>
          </w:p>
        </w:tc>
        <w:tc>
          <w:tcPr>
            <w:tcW w:w="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12"/>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375"/>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 and General and administrative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2,259</w:t>
            </w:r>
          </w:p>
        </w:tc>
      </w:tr>
      <w:tr>
        <w:trPr>
          <w:trHeight w:val="381"/>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 and General and administrative</w:t>
            </w:r>
          </w:p>
        </w:tc>
        <w:tc>
          <w:tcPr>
            <w:tcW w:w="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w:t>
            </w:r>
          </w:p>
        </w:tc>
      </w:tr>
      <w:tr>
        <w:trPr>
          <w:trHeight w:val="207"/>
        </w:trPr>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3,055</w:t>
            </w: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375"/>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80" w:type="dxa"/>
            <w:vAlign w:val="bottom"/>
          </w:tcPr>
          <w:p>
            <w:pPr>
              <w:spacing w:after="0"/>
              <w:rPr>
                <w:sz w:val="24"/>
                <w:szCs w:val="2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r>
      <w:tr>
        <w:trPr>
          <w:trHeight w:val="205"/>
        </w:trPr>
        <w:tc>
          <w:tcPr>
            <w:tcW w:w="2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20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3,109</w:t>
            </w:r>
          </w:p>
        </w:tc>
      </w:tr>
      <w:tr>
        <w:trPr>
          <w:trHeight w:val="21"/>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820" w:hanging="139"/>
        <w:spacing w:after="0"/>
        <w:tabs>
          <w:tab w:leader="none" w:pos="82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Variable lease cost primarily consists of common area maintenance, such as cleaning and repairs.</w:t>
      </w: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30, 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33,418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5,586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0" w:type="dxa"/>
            <w:vAlign w:val="bottom"/>
          </w:tcPr>
          <w:p>
            <w:pPr>
              <w:spacing w:after="0"/>
              <w:rPr>
                <w:sz w:val="1"/>
                <w:szCs w:val="1"/>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33,117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34,330</w:t>
            </w: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November 30, 2024, were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5,885</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6,783</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6,936</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6,267</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6,183</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14,679</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46,733</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38,703</w:t>
            </w:r>
          </w:p>
        </w:tc>
      </w:tr>
      <w:tr>
        <w:trPr>
          <w:trHeight w:val="21"/>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November 30, 2024</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7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12"/>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w:t>
            </w:r>
          </w:p>
        </w:tc>
      </w:tr>
      <w:tr>
        <w:trPr>
          <w:trHeight w:val="219"/>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0"/>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222"/>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November 30, 2024, the Company will be required to make payments of $1.9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right="20" w:firstLine="278"/>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thirteen weeks ended November 30, 2024, or the thirteen weeks ended November 25, 2023. As of November 30, 2024, approximately $71.5 million remained available under the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November 30, 2024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5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67"/>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5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r>
      <w:tr>
        <w:trPr>
          <w:trHeight w:val="267"/>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5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100,394,693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99,629,188</w:t>
            </w:r>
          </w:p>
        </w:tc>
      </w:tr>
      <w:tr>
        <w:trPr>
          <w:trHeight w:val="226"/>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6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3"/>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7"/>
        </w:trPr>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r>
      <w:tr>
        <w:trPr>
          <w:trHeight w:val="253"/>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r>
      <w:tr>
        <w:trPr>
          <w:trHeight w:val="247"/>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9"/>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100,394,693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99,629,188</w:t>
            </w:r>
          </w:p>
        </w:tc>
      </w:tr>
      <w:tr>
        <w:trPr>
          <w:trHeight w:val="267"/>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Employee stock options</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910,180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1,172,483</w:t>
            </w:r>
          </w:p>
        </w:tc>
      </w:tr>
      <w:tr>
        <w:trPr>
          <w:trHeight w:val="270"/>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Non-vested stock units</w:t>
            </w:r>
          </w:p>
        </w:tc>
        <w:tc>
          <w:tcPr>
            <w:tcW w:w="1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174,730</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293,065</w:t>
            </w:r>
          </w:p>
        </w:tc>
      </w:tr>
      <w:tr>
        <w:trPr>
          <w:trHeight w:val="250"/>
        </w:trPr>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101,479,603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101,094,736</w:t>
            </w:r>
          </w:p>
        </w:tc>
      </w:tr>
      <w:tr>
        <w:trPr>
          <w:trHeight w:val="251"/>
        </w:trPr>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30, 2024, and November 25, 2023, excluded 0.7 million and 0.8 million shares of common stock issuable upon exercise of stock options, respectively, that would have been anti-dilutive.</w:t>
      </w:r>
    </w:p>
    <w:p>
      <w:pPr>
        <w:spacing w:after="0" w:line="189" w:lineRule="exact"/>
        <w:rPr>
          <w:sz w:val="20"/>
          <w:szCs w:val="20"/>
          <w:color w:val="auto"/>
        </w:rPr>
      </w:pPr>
    </w:p>
    <w:p>
      <w:pPr>
        <w:jc w:val="both"/>
        <w:ind w:firstLine="199"/>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30, 2024, and November 25, 2023, both excluded an immaterial number of non-vested stock units that would have been anti-dilutive.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Omnibus Incentive Plan</w:t>
      </w:r>
    </w:p>
    <w:p>
      <w:pPr>
        <w:spacing w:after="0" w:line="256" w:lineRule="exact"/>
        <w:rPr>
          <w:sz w:val="20"/>
          <w:szCs w:val="20"/>
          <w:color w:val="auto"/>
        </w:rPr>
      </w:pPr>
    </w:p>
    <w:p>
      <w:pPr>
        <w:jc w:val="both"/>
        <w:ind w:firstLine="301"/>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recipient’s other compensation is reported.</w:t>
      </w:r>
    </w:p>
    <w:p>
      <w:pPr>
        <w:spacing w:after="0" w:line="207" w:lineRule="exact"/>
        <w:rPr>
          <w:sz w:val="20"/>
          <w:szCs w:val="20"/>
          <w:color w:val="auto"/>
        </w:rPr>
      </w:pPr>
    </w:p>
    <w:p>
      <w:pPr>
        <w:jc w:val="both"/>
        <w:ind w:firstLine="334"/>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$3.8 million and $4.2 million in the thirteen weeks ended November 30, 2024, and November 25,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thirteen weeks ended November 30, 2024:</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2,410,567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(713,751)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13.99</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(15,186)</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39.83</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1,681,630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23.44</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November 30,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1,681,630</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23.44</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November 30,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1,485,031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21.65</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78"/>
        <w:spacing w:after="0" w:line="266" w:lineRule="auto"/>
        <w:rPr>
          <w:sz w:val="20"/>
          <w:szCs w:val="20"/>
          <w:color w:val="auto"/>
        </w:rPr>
      </w:pPr>
      <w:r>
        <w:rPr>
          <w:rFonts w:ascii="Times New Roman" w:cs="Times New Roman" w:eastAsia="Times New Roman" w:hAnsi="Times New Roman"/>
          <w:sz w:val="18"/>
          <w:szCs w:val="18"/>
          <w:color w:val="auto"/>
        </w:rPr>
        <w:t>As of November 30, 2024, the Company had $1.8 million of total unrecognized compensation cost related to stock options that will be recognized over a weighted average period of 1.3 years. During the thirteen weeks ended November 30, 2024, the Company received $10.0 million in cash from stock option exercises. During the thirteen weeks ended November 25, 2023, the Company did not receive cash from stock option exercises.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thirteen weeks ended November 30, 2024:</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290,689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30,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610,481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84"/>
        <w:spacing w:after="0" w:line="282" w:lineRule="auto"/>
        <w:rPr>
          <w:sz w:val="20"/>
          <w:szCs w:val="20"/>
          <w:color w:val="auto"/>
        </w:rPr>
      </w:pPr>
      <w:r>
        <w:rPr>
          <w:rFonts w:ascii="Times New Roman" w:cs="Times New Roman" w:eastAsia="Times New Roman" w:hAnsi="Times New Roman"/>
          <w:sz w:val="18"/>
          <w:szCs w:val="18"/>
          <w:color w:val="auto"/>
        </w:rPr>
        <w:t>As of November 30, 2024, the Company had $18.9 million of total unrecognized compensation cost related to restricted stock units that will be recognized over a weighted average period of 2.1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During the thirteen weeks ended November 30, 2024, the Board of Directors granted performance stock units under the Company’s Incentive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thirteen weeks ended November 30, 2024:</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179,791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154,089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(12,175)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(40,302)</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30, 2024</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281,403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spacing w:after="0" w:line="306" w:lineRule="exact"/>
        <w:rPr>
          <w:sz w:val="20"/>
          <w:szCs w:val="20"/>
          <w:color w:val="auto"/>
        </w:rPr>
      </w:pPr>
    </w:p>
    <w:tbl>
      <w:tblPr>
        <w:tblLayout w:type="fixed"/>
        <w:tblInd w:w="214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Thirteen Weeks Ended</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Thirteen Weeks Ended</w:t>
            </w:r>
          </w:p>
        </w:tc>
      </w:tr>
      <w:tr>
        <w:trPr>
          <w:trHeight w:val="273"/>
        </w:trPr>
        <w:tc>
          <w:tcPr>
            <w:tcW w:w="3600" w:type="dxa"/>
            <w:vAlign w:val="bottom"/>
          </w:tcPr>
          <w:p>
            <w:pPr>
              <w:spacing w:after="0"/>
              <w:rPr>
                <w:sz w:val="23"/>
                <w:szCs w:val="23"/>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November 30, 2024</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5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31.38%</w:t>
            </w:r>
          </w:p>
        </w:tc>
        <w:tc>
          <w:tcPr>
            <w:tcW w:w="12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33.96%</w:t>
            </w:r>
          </w:p>
        </w:tc>
      </w:tr>
      <w:tr>
        <w:trPr>
          <w:trHeight w:val="26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2.93</w:t>
            </w:r>
          </w:p>
        </w:tc>
      </w:tr>
      <w:tr>
        <w:trPr>
          <w:trHeight w:val="26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w:t>
            </w:r>
          </w:p>
        </w:tc>
      </w:tr>
      <w:tr>
        <w:trPr>
          <w:trHeight w:val="27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$54.41</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$57.43</w:t>
            </w:r>
          </w:p>
        </w:tc>
      </w:tr>
    </w:tbl>
    <w:p>
      <w:pPr>
        <w:spacing w:after="0" w:line="319" w:lineRule="exact"/>
        <w:rPr>
          <w:sz w:val="20"/>
          <w:szCs w:val="20"/>
          <w:color w:val="auto"/>
        </w:rPr>
      </w:pPr>
    </w:p>
    <w:p>
      <w:pPr>
        <w:jc w:val="both"/>
        <w:ind w:firstLine="261"/>
        <w:spacing w:after="0" w:line="282" w:lineRule="auto"/>
        <w:rPr>
          <w:sz w:val="20"/>
          <w:szCs w:val="20"/>
          <w:color w:val="auto"/>
        </w:rPr>
      </w:pPr>
      <w:r>
        <w:rPr>
          <w:rFonts w:ascii="Times New Roman" w:cs="Times New Roman" w:eastAsia="Times New Roman" w:hAnsi="Times New Roman"/>
          <w:sz w:val="18"/>
          <w:szCs w:val="18"/>
          <w:color w:val="auto"/>
        </w:rPr>
        <w:t>As of November 30, 2024, the Company had $9.3 million of total unrecognized compensation cost related to performance stock units that will be recognized over an expected weighted average period of 2.2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November 30, 2024, cliff vested two years from the date of grant and must be exercised within five years from the date of grant.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thirteen weeks ended November 30, 2024:</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30,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November 30, 2024</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November 30,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306" w:lineRule="exact"/>
        <w:rPr>
          <w:sz w:val="20"/>
          <w:szCs w:val="20"/>
          <w:color w:val="auto"/>
        </w:rPr>
      </w:pPr>
    </w:p>
    <w:p>
      <w:pPr>
        <w:ind w:right="540" w:firstLine="177"/>
        <w:spacing w:after="0" w:line="282" w:lineRule="auto"/>
        <w:rPr>
          <w:sz w:val="20"/>
          <w:szCs w:val="20"/>
          <w:color w:val="auto"/>
        </w:rPr>
      </w:pPr>
      <w:r>
        <w:rPr>
          <w:rFonts w:ascii="Times New Roman" w:cs="Times New Roman" w:eastAsia="Times New Roman" w:hAnsi="Times New Roman"/>
          <w:sz w:val="18"/>
          <w:szCs w:val="18"/>
          <w:color w:val="auto"/>
        </w:rPr>
        <w:t>The SARs outstanding as of the thirteen weeks ended November 30, 2024,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70" w:lineRule="auto"/>
        <w:rPr>
          <w:sz w:val="20"/>
          <w:szCs w:val="20"/>
          <w:color w:val="auto"/>
        </w:rPr>
      </w:pPr>
      <w:r>
        <w:rPr>
          <w:rFonts w:ascii="Times New Roman" w:cs="Times New Roman" w:eastAsia="Times New Roman" w:hAnsi="Times New Roman"/>
          <w:sz w:val="17"/>
          <w:szCs w:val="17"/>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our growth, our competitive position,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04"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31, 2024,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Atkins, and OWYN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that end, in June 2024, we completed the acquisition of Only What You Need, Inc., a plant-based protein food company, for a cash purchase price of approximately $280.0 million (subject to customary adjustments). For more information, please see “</w:t>
      </w:r>
      <w:r>
        <w:rPr>
          <w:rFonts w:ascii="Times New Roman" w:cs="Times New Roman" w:eastAsia="Times New Roman" w:hAnsi="Times New Roman"/>
          <w:sz w:val="18"/>
          <w:szCs w:val="18"/>
          <w:i w:val="1"/>
          <w:iCs w:val="1"/>
          <w:color w:val="auto"/>
        </w:rPr>
        <w:t>Liquidity and Capital Resources-OWYN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215"/>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189"/>
        <w:spacing w:after="0" w:line="255" w:lineRule="auto"/>
        <w:rPr>
          <w:sz w:val="20"/>
          <w:szCs w:val="20"/>
          <w:color w:val="auto"/>
        </w:rPr>
      </w:pPr>
      <w:r>
        <w:rPr>
          <w:rFonts w:ascii="Times New Roman" w:cs="Times New Roman" w:eastAsia="Times New Roman" w:hAnsi="Times New Roman"/>
          <w:sz w:val="18"/>
          <w:szCs w:val="18"/>
          <w:color w:val="auto"/>
        </w:rPr>
        <w:t>During the thirteen weeks ended November 30, 2024, our business performance improved principally due to the OWYN Acquisition. We benefited from lower ingredient and packaging costs which resulted in gross margin expansion versus the year ago period. We expect fiscal year 2025 organic sales growth to be driven primarily by volume and have strong advertising and marketing plans in place, as well as innovation, merchandising and promotions that we believe should enable us to achieve our objectives. We continue to engage and have discussions with our contract manufacturers and logistics and transportation providers to have our cost structure reflect lower market prices. We continue to monitor key ingredient inflation which may affect profitability; however, we believe our strategy and positioning will continue to drive profitable growth for our product offerings and growth within the growing nutritional snacking category.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2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transaction costs. The following is a brief description of the components of operating expenses:</w:t>
      </w:r>
    </w:p>
    <w:p>
      <w:pPr>
        <w:spacing w:after="0" w:line="184" w:lineRule="exact"/>
        <w:rPr>
          <w:sz w:val="20"/>
          <w:szCs w:val="20"/>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are comprised of broker commissions, customer marketing, media and other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5"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During the thirteen weeks ended November 30, 2024, our net sales increased to $341.3 million compared to $308.7 million for the thirteen weeks ended November 25, 2023, driven by the OWYN Acquisition, resulting in a 10.4% increase in our aggregate North America net sales. Gross profit and gross profit margin improved driven by higher sales volumes and lower ingredient and packaging costs. We expect to see continued growth during fiscal year 2025 by building on our existing capabilities and strengthening the position of our brands in the marketplace. We will continue to invest in our business and improve our operating efficiencies as well as continuing the integration of OWYN.</w:t>
      </w:r>
    </w:p>
    <w:p>
      <w:pPr>
        <w:spacing w:after="0" w:line="210"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November 30, 2024, and the Thirteen Weeks Ended November 25, 2023</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40" w:type="dxa"/>
            <w:vAlign w:val="bottom"/>
          </w:tcPr>
          <w:p>
            <w:pPr>
              <w:spacing w:after="0"/>
              <w:rPr>
                <w:sz w:val="18"/>
                <w:szCs w:val="18"/>
                <w:color w:val="auto"/>
              </w:rPr>
            </w:pPr>
          </w:p>
        </w:tc>
      </w:tr>
      <w:tr>
        <w:trPr>
          <w:trHeight w:val="24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November 30, 2024</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of Net Sales</w:t>
            </w:r>
          </w:p>
        </w:tc>
        <w:tc>
          <w:tcPr>
            <w:tcW w:w="12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November 25, 2023</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2"/>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341,268</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308,678</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210,782</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193,560</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62.7 %</w:t>
            </w:r>
          </w:p>
        </w:tc>
      </w:tr>
      <w:tr>
        <w:trPr>
          <w:trHeight w:val="212"/>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130,486</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75,861</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63,298</w:t>
            </w:r>
          </w:p>
        </w:tc>
        <w:tc>
          <w:tcPr>
            <w:tcW w:w="1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47,675</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61,965</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20.1 %</w:t>
            </w:r>
          </w:p>
        </w:tc>
      </w:tr>
    </w:tbl>
    <w:p>
      <w:pPr>
        <w:spacing w:after="0" w:line="13" w:lineRule="exact"/>
        <w:rPr>
          <w:sz w:val="20"/>
          <w:szCs w:val="20"/>
          <w:color w:val="auto"/>
        </w:rPr>
      </w:pPr>
    </w:p>
    <w:p>
      <w:pPr>
        <w:ind w:left="720" w:right="700" w:hanging="80"/>
        <w:spacing w:after="0" w:line="228" w:lineRule="auto"/>
        <w:tabs>
          <w:tab w:leader="none" w:pos="78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-226695</wp:posOffset>
            </wp:positionV>
            <wp:extent cx="3985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302" w:lineRule="exact"/>
        <w:rPr>
          <w:sz w:val="20"/>
          <w:szCs w:val="20"/>
          <w:color w:val="auto"/>
        </w:rPr>
      </w:pPr>
    </w:p>
    <w:p>
      <w:pPr>
        <w:jc w:val="both"/>
        <w:ind w:firstLine="23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$341.3 million for the thirteen weeks ended November 30, 2024, compared to $308.7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25, 2023, representing an increase of $32.6 million, driven primarily by the OWYN Acquisition. North America net sales increased 10.4% in the thirteen weeks ended November 30, 2024, compared to the thirteen weeks ended November 25, 2023, and International net sales increased 15.4% during the same period.</w:t>
      </w:r>
    </w:p>
    <w:p>
      <w:pPr>
        <w:spacing w:after="0" w:line="203" w:lineRule="exact"/>
        <w:rPr>
          <w:sz w:val="20"/>
          <w:szCs w:val="20"/>
          <w:color w:val="auto"/>
        </w:rPr>
      </w:pPr>
    </w:p>
    <w:p>
      <w:pPr>
        <w:jc w:val="both"/>
        <w:ind w:firstLine="23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$17.2 million, or 8.9%, for the thirteen weeks ended November 30, 2024,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25, 2023. The cost of goods sold increase was driven by higher sales volumes, primarily as a result of the OWYN Acquisition, the effect of the non-cash $1.0 million inventory step-up charge related to the OWYN Acquisition and was partially offset by lower ingredient and packaging costs.</w:t>
      </w:r>
    </w:p>
    <w:p>
      <w:pPr>
        <w:spacing w:after="0" w:line="203"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$15.4 million, or 13.3%, for the thirteen weeks ended November 30,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25, 2023. Additionally, gross profit of $130.5 million, or 38.2% of net sales, for the thirteen weeks ended November 30, 2024, increased 90 basis points from 37.3% of net sales for the thirteen weeks ended November 25, 2023. The increase in gross profit margin was primarily driven by lower ingredient and packaging costs and was partially offset by the effect of the non-cash $1.0 million inventory step-up charge related to the OWYN Acquisition.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$12.6 million, or 19.8%, for the thirteen weeks ended November 30, 2024,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25, 2023, due to the following:</w:t>
      </w:r>
    </w:p>
    <w:p>
      <w:pPr>
        <w:spacing w:after="0" w:line="184" w:lineRule="exact"/>
        <w:rPr>
          <w:sz w:val="20"/>
          <w:szCs w:val="20"/>
          <w:color w:val="auto"/>
        </w:rPr>
      </w:pPr>
    </w:p>
    <w:p>
      <w:pPr>
        <w:ind w:left="660" w:hanging="247"/>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$1.0 million, or 3.1%, for the thirteen weeks ended November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November 25, 2023, primarily due to the OWYN Acquisition.</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$11.1 million, or 41.2%, for the thirteen weeks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thirteen weeks ended November 25, 2023. The increase in general and administrative expenses was primarily attributable to an increase of $4.9 million in integration costs related to the OWYN Acquisition, an increase of $3.0 million in employee-related costs, and higher corporate expenses.</w:t>
      </w:r>
    </w:p>
    <w:p>
      <w:pPr>
        <w:spacing w:after="0" w:line="71"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$4.2 million for the thirteen weeks ended November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 million for the thirteen weeks ended November 25, 2023, respectively.</w:t>
      </w:r>
    </w:p>
    <w:p>
      <w:pPr>
        <w:spacing w:after="0" w:line="18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$0.6 million for the thirteen weeks ended November 30, 2024 and were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OWYN Acquisition.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decreased $0.3 million for the thirteen weeks ended November 30,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25, 2023.</w:t>
      </w:r>
    </w:p>
    <w:p>
      <w:pPr>
        <w:spacing w:after="0" w:line="182" w:lineRule="exact"/>
        <w:rPr>
          <w:sz w:val="20"/>
          <w:szCs w:val="20"/>
          <w:color w:val="auto"/>
        </w:rPr>
      </w:pPr>
    </w:p>
    <w:p>
      <w:pPr>
        <w:jc w:val="both"/>
        <w:ind w:firstLine="2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$1.8 million for the thirteen weeks ended November 30,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25, 2023, primarily due to the effect of the incremental borrowing associated with the OWYN Acquisition on June 13, 2024, and principal payments reducing the outstanding balance of the Term Facility (as defined below) to $350.0 million subsequent to the borrowing as of November 30, 2024.</w:t>
      </w:r>
    </w:p>
    <w:p>
      <w:pPr>
        <w:spacing w:after="0" w:line="203"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foreign currency transactions. </w:t>
      </w:r>
      <w:r>
        <w:rPr>
          <w:rFonts w:ascii="Times New Roman" w:cs="Times New Roman" w:eastAsia="Times New Roman" w:hAnsi="Times New Roman"/>
          <w:sz w:val="18"/>
          <w:szCs w:val="18"/>
          <w:color w:val="auto"/>
        </w:rPr>
        <w:t>Foreign currency transactions resulted in a gain of $0.1 million and $0.2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30, 2024, and November 25, 2023, respectively. The variance is attributable to changes in foreign currency rates related to our international operations.</w:t>
      </w:r>
    </w:p>
    <w:p>
      <w:pPr>
        <w:spacing w:after="0" w:line="198"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$2.0 million for the thirteen weeks ended November 30,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25, 2023. The decrease in our income tax expense was primarily driven by changes in permanent differences, principally stock-based compensation.</w:t>
      </w:r>
    </w:p>
    <w:p>
      <w:pPr>
        <w:spacing w:after="0" w:line="198" w:lineRule="exact"/>
        <w:rPr>
          <w:sz w:val="20"/>
          <w:szCs w:val="20"/>
          <w:color w:val="auto"/>
        </w:rPr>
      </w:pPr>
    </w:p>
    <w:p>
      <w:pPr>
        <w:jc w:val="both"/>
        <w:ind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$38.1 million for the thirteen weeks ended November 30, 2024, an increase of $2.6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$35.6 million for the thirteen weeks ended November 25, 2023. Net income benefited from higher gross profit and a decrease in income tax expense of $2.0 million and was partially offset by $0.6 million of business transaction costs related to the OWYN Acquisition.</w:t>
      </w:r>
    </w:p>
    <w:p>
      <w:pPr>
        <w:spacing w:after="0" w:line="198" w:lineRule="exact"/>
        <w:rPr>
          <w:sz w:val="20"/>
          <w:szCs w:val="20"/>
          <w:color w:val="auto"/>
        </w:rPr>
      </w:pPr>
    </w:p>
    <w:p>
      <w:pPr>
        <w:jc w:val="both"/>
        <w:ind w:firstLine="23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$8.1 million, or 13.1%, for the thirteen weeks ended November 30, 2024,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25, 2023, driven primarily by higher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business transaction costs, purchase price accounting, inventory step-up, integration costs,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weeks ended November 30, 2024, and November 25, 2023:</w:t>
      </w:r>
    </w:p>
    <w:p>
      <w:pPr>
        <w:spacing w:after="0" w:line="234" w:lineRule="exact"/>
        <w:rPr>
          <w:sz w:val="20"/>
          <w:szCs w:val="20"/>
          <w:color w:val="auto"/>
        </w:rPr>
      </w:pPr>
    </w:p>
    <w:tbl>
      <w:tblPr>
        <w:tblLayout w:type="fixed"/>
        <w:tblInd w:w="210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30, 2024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25, 2023</w:t>
            </w:r>
          </w:p>
        </w:tc>
      </w:tr>
      <w:tr>
        <w:trPr>
          <w:trHeight w:val="25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r>
      <w:tr>
        <w:trPr>
          <w:trHeight w:val="26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7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r>
      <w:tr>
        <w:trPr>
          <w:trHeight w:val="26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r>
      <w:tr>
        <w:trPr>
          <w:trHeight w:val="27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r>
      <w:tr>
        <w:trPr>
          <w:trHeight w:val="25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57,657</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r>
      <w:tr>
        <w:trPr>
          <w:trHeight w:val="26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0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Integration of OWYN</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4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61,965</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2260" w:hanging="142"/>
        <w:spacing w:after="0"/>
        <w:tabs>
          <w:tab w:leader="none" w:pos="22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20"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8"/>
          <w:szCs w:val="18"/>
          <w:color w:val="auto"/>
        </w:rPr>
        <w:t>We had $121.8 million in cash as of November 30, 2024.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6, Long-Term Debt and Line of Credit, and Note 9,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w:t>
      </w:r>
    </w:p>
    <w:p>
      <w:pPr>
        <w:spacing w:after="0" w:line="27" w:lineRule="exact"/>
        <w:rPr>
          <w:sz w:val="20"/>
          <w:szCs w:val="20"/>
          <w:color w:val="auto"/>
        </w:rPr>
      </w:pPr>
    </w:p>
    <w:p>
      <w:pPr>
        <w:jc w:val="both"/>
        <w:ind w:firstLine="8"/>
        <w:spacing w:after="0" w:line="253"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date of the 2024 Incremental Facility Amendment, the interest rate per annum for the Initial Term Loans is based on either:</w:t>
      </w:r>
    </w:p>
    <w:p>
      <w:pPr>
        <w:spacing w:after="0" w:line="90" w:lineRule="exact"/>
        <w:rPr>
          <w:sz w:val="20"/>
          <w:szCs w:val="20"/>
          <w:color w:val="auto"/>
        </w:rPr>
      </w:pPr>
    </w:p>
    <w:p>
      <w:pPr>
        <w:jc w:val="both"/>
        <w:ind w:left="660" w:hanging="328"/>
        <w:spacing w:after="0" w:line="266" w:lineRule="auto"/>
        <w:tabs>
          <w:tab w:leader="none" w:pos="6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2.50% plus (x) 1.50% margin for the Term Loan or (y) 2.00% margin for the Revolving Credit Facility;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20" w:hanging="328"/>
        <w:spacing w:after="0" w:line="282" w:lineRule="auto"/>
        <w:tabs>
          <w:tab w:leader="none" w:pos="6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2024 Incremental Facility Amendment, the Company expensed $3.4 million of non-deferrable third-party costs through </w:t>
      </w:r>
      <w:r>
        <w:rPr>
          <w:rFonts w:ascii="Times New Roman" w:cs="Times New Roman" w:eastAsia="Times New Roman" w:hAnsi="Times New Roman"/>
          <w:sz w:val="18"/>
          <w:szCs w:val="18"/>
          <w:i w:val="1"/>
          <w:iCs w:val="1"/>
          <w:color w:val="auto"/>
        </w:rPr>
        <w:t>Business transaction costs</w:t>
      </w:r>
      <w:r>
        <w:rPr>
          <w:rFonts w:ascii="Times New Roman" w:cs="Times New Roman" w:eastAsia="Times New Roman" w:hAnsi="Times New Roman"/>
          <w:sz w:val="18"/>
          <w:szCs w:val="18"/>
          <w:color w:val="auto"/>
        </w:rPr>
        <w:t xml:space="preserve"> and capitalized $1.2 million of third-party financing costs.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November 30, 2024, and August 31, 2024, respectively.</w:t>
      </w:r>
    </w:p>
    <w:p>
      <w:pPr>
        <w:spacing w:after="0" w:line="216" w:lineRule="exact"/>
        <w:rPr>
          <w:sz w:val="20"/>
          <w:szCs w:val="20"/>
          <w:color w:val="auto"/>
        </w:rPr>
      </w:pPr>
    </w:p>
    <w:p>
      <w:pPr>
        <w:jc w:val="both"/>
        <w:ind w:firstLine="205"/>
        <w:spacing w:after="0" w:line="266" w:lineRule="auto"/>
        <w:rPr>
          <w:sz w:val="20"/>
          <w:szCs w:val="20"/>
          <w:color w:val="auto"/>
        </w:rPr>
      </w:pPr>
      <w:r>
        <w:rPr>
          <w:rFonts w:ascii="Times New Roman" w:cs="Times New Roman" w:eastAsia="Times New Roman" w:hAnsi="Times New Roman"/>
          <w:sz w:val="18"/>
          <w:szCs w:val="18"/>
          <w:color w:val="auto"/>
        </w:rPr>
        <w:t>At November 30, 2024, the outstanding balance of the Term Facility was $350.0 million. We are not required to make principal payments on the Term Facility over the twelve months following the period ended November 30, 2024. The outstanding balance of the Term Facility is due upon its maturity in March 2027. As of November 30, 2024,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OWYN Acquisition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OWYN Acquisition was funded through a combination of incremental borrowings under our outstanding Term Facility, totaling $250.0 million, and cash on hand. Business transaction costs associated with the OWYN Acquisition within the Consolidated Statements of Operations and Comprehensive Income </w:t>
      </w:r>
      <w:r>
        <w:rPr>
          <w:rFonts w:ascii="Times New Roman" w:cs="Times New Roman" w:eastAsia="Times New Roman" w:hAnsi="Times New Roman"/>
          <w:sz w:val="16"/>
          <w:szCs w:val="16"/>
          <w:color w:val="auto"/>
        </w:rPr>
        <w:t>for the</w:t>
      </w:r>
      <w:r>
        <w:rPr>
          <w:rFonts w:ascii="Times New Roman" w:cs="Times New Roman" w:eastAsia="Times New Roman" w:hAnsi="Times New Roman"/>
          <w:sz w:val="18"/>
          <w:szCs w:val="18"/>
          <w:color w:val="auto"/>
        </w:rPr>
        <w:t xml:space="preserve"> thirteen weeks ended November 30, 2024, were $0.6 million, which consisted of legal, accounting, and other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26"/>
        <w:spacing w:after="0" w:line="282"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approved the addition of $50.0 million to our stock repurchase program, resulting in authorized stock repurchases of up to an aggregate of $150.0 million.</w:t>
      </w:r>
    </w:p>
    <w:p>
      <w:pPr>
        <w:spacing w:after="0" w:line="189" w:lineRule="exact"/>
        <w:rPr>
          <w:sz w:val="20"/>
          <w:szCs w:val="20"/>
          <w:color w:val="auto"/>
        </w:rPr>
      </w:pPr>
    </w:p>
    <w:p>
      <w:pPr>
        <w:jc w:val="both"/>
        <w:ind w:firstLine="239"/>
        <w:spacing w:after="0" w:line="261"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thirteen weeks ended November 30, 2024, and November 25, 2023. As of November 30, 2024, approximately $71.5 million remained available for repurchases under our $150.0 million stock repurchase program. Refer to Note 11, Stockholders’ Equity, of the Notes to Unaudited Consolidated Financial Statements in this Report for additional information related to our stock repurchase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25, 2023</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47,523</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r>
    </w:tbl>
    <w:p>
      <w:pPr>
        <w:spacing w:after="0" w:line="30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$15.5 million to $32.0 million for the thirteen weeks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$47.5 million for the thirteen weeks ended November 25, 2023. The decrease in cash provided by operating activities was primarily attributable to changes in working capital for the thirteen weeks ended November 30, 2024, as compared to the thirteen weeks ended November 25, 2023. Changes in working capital, comprised of changes in accounts receivable, net, inventories, prepaid expenses, other current assets, accounts payable, accrued interest, accrued expenses and other current liabilities, and other assets and liabilities, were driven by the timing of payments and receipts, the OWYN Acquisition, and the seasonal building of inventory, which consumed cash of $20.8 million in the thirteen weeks ended November 30, 2024 compared to $4.1 million of cash consumed in the thirteen weeks ended November 25, 2023, a difference of $16.6 million. Income from operations increased by $2.8 million to $54.6 million for the thirteen weeks ended November 30, 2024, as compared to $51.8 million for the thirteen weeks ended November 25, 2023. Additionally, cash paid for interest was $7.5 million in the thirteen weeks ended November 30, 2024, which was an increase of $5.4 million as compared to the $2.1 million paid for interest in the thirteen weeks ended November 25, 2023.</w:t>
      </w:r>
    </w:p>
    <w:p>
      <w:pPr>
        <w:spacing w:after="0" w:line="21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$0.7 million for the thirteen weeks ended November 30, 2024, compared to $0.8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November 25, 2023. Our net cash used in investing activities for the thirteen weeks ended November 30, 2024, was primarily comprised of $0.3 million of purchases of property and equipment and $0.4 million of investments in intangible and other assets. The $0.8 million of net cash used in investing activities for the thirteen weeks ended November 25, 2023, was primarily comprised of $0.7 million of purchases of property and equipment.</w:t>
      </w:r>
    </w:p>
    <w:p>
      <w:pPr>
        <w:spacing w:after="0" w:line="210" w:lineRule="exact"/>
        <w:rPr>
          <w:sz w:val="20"/>
          <w:szCs w:val="20"/>
          <w:color w:val="auto"/>
        </w:rPr>
      </w:pPr>
    </w:p>
    <w:p>
      <w:pPr>
        <w:jc w:val="both"/>
        <w:ind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$42.3 million for the thirteen weeks ended November 30, 2024, compared to $13.1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November 25, 2023. Net cash used in financing activities for the thirteen weeks ended November 30, 2024, primarily consisted of $50.0 million in principal payments on the Term Facility, and $2.3 million in tax payments related to the issuance of restricted stock units and performance stock units, partially offset by $10.0 million of cash proceeds received from option exercises. Net cash used in financing activities for the thirteen weeks ended November 25, 2023, primarily consisted of $10.0 million in principal payments on the Term Facility, and $3.6 million in tax payments related to issuance of restricted stock units and performance stock units, partially offset by $0.6 million of cash received on repayment of a note receivable.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03"/>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November 30, 2024.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November 30, 2024, the Company’s disclosure controls and procedures were effective.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on June 13, 2024, we completed the OWYN Acquisition. As such, the scope of our assessment of the effectiveness of our disclosure controls and procedures did not include the internal control over financial reporting of OWYN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OWYN and its affiliated entities accounted for 15% of our total assets and 9% of our total net sales as of and for the thirteen weeks ended November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OWYN Acquisition, we have commenced a project to evaluate the processes and procedures of OWYN’s internal control over financial reporting and incorporate OWYN’s internal control over financial reporting into our internal control over financial reporting framework. In addition, as a result of the OWYN Acquisition, we have implemented new processes and controls over accounting for an acquisition, including determining the fair value of the assets acquired and liabilities assumed.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controls over financial reporting during the quarter ended November 30, 2024,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In the three months ended November 30, 2024,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960" w:type="dxa"/>
            <w:vAlign w:val="bottom"/>
            <w:tcBorders>
              <w:top w:val="single" w:sz="8" w:color="auto"/>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auto"/>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8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6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888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1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888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9"/>
        </w:trPr>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9"/>
        </w:trPr>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3"/>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9"/>
        </w:trPr>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ind w:left="660" w:right="1720" w:hanging="6"/>
        <w:spacing w:after="0" w:line="281" w:lineRule="auto"/>
        <w:tabs>
          <w:tab w:leader="none" w:pos="175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January 8, 2025</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60"/>
          </w:cols>
          <w:pgMar w:left="320" w:top="121" w:right="11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2025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226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2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2025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20" w:firstLine="18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November 30, 2024,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2025</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2025</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lowerRoman"/>
      <w:start w:val="2"/>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2025-01-08T15:52:04Z</dcterms:created>
  <dcterms:modified xsi:type="dcterms:W3CDTF">2025-01-08T15:52:04Z</dcterms:modified>
</cp:coreProperties>
</file>