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 w:lineRule="exact"/>
        <w:rPr>
          <w:sz w:val="24"/>
          <w:szCs w:val="24"/>
          <w:color w:val="auto"/>
        </w:rPr>
      </w:pPr>
    </w:p>
    <w:p>
      <w:pPr>
        <w:ind w:left="3160"/>
        <w:spacing w:after="0"/>
        <w:rPr>
          <w:sz w:val="20"/>
          <w:szCs w:val="20"/>
          <w:color w:val="auto"/>
        </w:rPr>
      </w:pPr>
      <w:r>
        <w:rPr>
          <w:rFonts w:ascii="Arial" w:cs="Arial" w:eastAsia="Arial" w:hAnsi="Arial"/>
          <w:sz w:val="18"/>
          <w:szCs w:val="18"/>
          <w:color w:val="auto"/>
        </w:rPr>
        <w:t>_______________________________________________________</w:t>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38" w:lineRule="exact"/>
        <w:rPr>
          <w:sz w:val="24"/>
          <w:szCs w:val="24"/>
          <w:color w:val="auto"/>
        </w:rPr>
      </w:pPr>
    </w:p>
    <w:p>
      <w:pPr>
        <w:ind w:left="3160"/>
        <w:spacing w:after="0"/>
        <w:rPr>
          <w:sz w:val="20"/>
          <w:szCs w:val="20"/>
          <w:color w:val="auto"/>
        </w:rPr>
      </w:pPr>
      <w:r>
        <w:rPr>
          <w:rFonts w:ascii="Arial" w:cs="Arial" w:eastAsia="Arial" w:hAnsi="Arial"/>
          <w:sz w:val="18"/>
          <w:szCs w:val="18"/>
          <w:color w:val="auto"/>
        </w:rPr>
        <w:t>_______________________________________________________</w:t>
      </w:r>
    </w:p>
    <w:p>
      <w:pPr>
        <w:spacing w:after="0" w:line="120" w:lineRule="exact"/>
        <w:rPr>
          <w:sz w:val="24"/>
          <w:szCs w:val="24"/>
          <w:color w:val="auto"/>
        </w:rPr>
      </w:pPr>
    </w:p>
    <w:p>
      <w:pPr>
        <w:ind w:left="900"/>
        <w:spacing w:after="0"/>
        <w:rPr>
          <w:sz w:val="20"/>
          <w:szCs w:val="20"/>
          <w:color w:val="auto"/>
        </w:rPr>
      </w:pPr>
      <w:r>
        <w:rPr>
          <w:rFonts w:ascii="Arial" w:cs="Arial" w:eastAsia="Arial" w:hAnsi="Arial"/>
          <w:sz w:val="14"/>
          <w:szCs w:val="14"/>
          <w:b w:val="1"/>
          <w:bCs w:val="1"/>
          <w:color w:val="auto"/>
        </w:rPr>
        <w:t>(Mark One)</w:t>
      </w:r>
    </w:p>
    <w:p>
      <w:pPr>
        <w:spacing w:after="0" w:line="109" w:lineRule="exact"/>
        <w:rPr>
          <w:sz w:val="24"/>
          <w:szCs w:val="24"/>
          <w:color w:val="auto"/>
        </w:rPr>
      </w:pPr>
    </w:p>
    <w:p>
      <w:pPr>
        <w:ind w:left="1980" w:right="620" w:hanging="777"/>
        <w:spacing w:after="0" w:line="232" w:lineRule="auto"/>
        <w:tabs>
          <w:tab w:leader="none" w:pos="1980" w:val="left"/>
        </w:tabs>
        <w:numPr>
          <w:ilvl w:val="0"/>
          <w:numId w:val="1"/>
        </w:numPr>
        <w:rPr>
          <w:rFonts w:ascii="MS PGothic" w:cs="MS PGothic" w:eastAsia="MS PGothic" w:hAnsi="MS PGothic"/>
          <w:sz w:val="16"/>
          <w:szCs w:val="16"/>
          <w:color w:val="auto"/>
        </w:rPr>
      </w:pPr>
      <w:r>
        <w:rPr>
          <w:rFonts w:ascii="Arial" w:cs="Arial" w:eastAsia="Arial" w:hAnsi="Arial"/>
          <w:sz w:val="20"/>
          <w:szCs w:val="20"/>
          <w:b w:val="1"/>
          <w:bCs w:val="1"/>
          <w:color w:val="auto"/>
        </w:rPr>
        <w:t>ANNUAL REPORT PURSUANT TO SECTION 13 OR 15(d) OF THE SECURITIES EXCHANGE ACT OF 1934</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 the fiscal year ended August 28, 2021</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55" w:lineRule="exact"/>
        <w:rPr>
          <w:sz w:val="24"/>
          <w:szCs w:val="24"/>
          <w:color w:val="auto"/>
        </w:rPr>
      </w:pPr>
    </w:p>
    <w:p>
      <w:pPr>
        <w:ind w:left="1980" w:right="620" w:hanging="777"/>
        <w:spacing w:after="0" w:line="232" w:lineRule="auto"/>
        <w:tabs>
          <w:tab w:leader="none" w:pos="1980" w:val="left"/>
        </w:tabs>
        <w:numPr>
          <w:ilvl w:val="0"/>
          <w:numId w:val="2"/>
        </w:numPr>
        <w:rPr>
          <w:rFonts w:ascii="MS PGothic" w:cs="MS PGothic" w:eastAsia="MS PGothic" w:hAnsi="MS PGothic"/>
          <w:sz w:val="16"/>
          <w:szCs w:val="16"/>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28" w:lineRule="exact"/>
        <w:rPr>
          <w:sz w:val="24"/>
          <w:szCs w:val="24"/>
          <w:color w:val="auto"/>
        </w:rPr>
      </w:pPr>
    </w:p>
    <w:p>
      <w:pPr>
        <w:ind w:left="4140"/>
        <w:spacing w:after="0"/>
        <w:rPr>
          <w:sz w:val="20"/>
          <w:szCs w:val="20"/>
          <w:color w:val="auto"/>
        </w:rPr>
      </w:pPr>
      <w:r>
        <w:rPr>
          <w:rFonts w:ascii="Arial" w:cs="Arial" w:eastAsia="Arial" w:hAnsi="Arial"/>
          <w:sz w:val="14"/>
          <w:szCs w:val="14"/>
          <w:b w:val="1"/>
          <w:bCs w:val="1"/>
          <w:color w:val="auto"/>
        </w:rPr>
        <w:t>For the transition period from ______ to ______</w:t>
      </w:r>
    </w:p>
    <w:p>
      <w:pPr>
        <w:spacing w:after="0" w:line="200" w:lineRule="exact"/>
        <w:rPr>
          <w:sz w:val="24"/>
          <w:szCs w:val="24"/>
          <w:color w:val="auto"/>
        </w:rPr>
      </w:pPr>
    </w:p>
    <w:p>
      <w:pPr>
        <w:spacing w:after="0" w:line="2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001-38115</w:t>
      </w:r>
    </w:p>
    <w:p>
      <w:pPr>
        <w:spacing w:after="0" w:line="26" w:lineRule="exact"/>
        <w:rPr>
          <w:sz w:val="24"/>
          <w:szCs w:val="24"/>
          <w:color w:val="auto"/>
        </w:rPr>
      </w:pPr>
    </w:p>
    <w:p>
      <w:pPr>
        <w:ind w:left="274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The Simply Good Foods Company</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2233930</wp:posOffset>
            </wp:positionH>
            <wp:positionV relativeFrom="paragraph">
              <wp:posOffset>83185</wp:posOffset>
            </wp:positionV>
            <wp:extent cx="2682875" cy="514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82875"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ind w:left="274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w:t>
      </w:r>
    </w:p>
    <w:p>
      <w:pPr>
        <w:sectPr>
          <w:pgSz w:w="11900" w:h="16838" w:orient="portrait"/>
          <w:cols w:equalWidth="0" w:num="1">
            <w:col w:w="11240"/>
          </w:cols>
          <w:pgMar w:left="320" w:top="1025" w:right="339" w:bottom="322" w:gutter="0" w:footer="0" w:header="0"/>
        </w:sectPr>
      </w:pPr>
    </w:p>
    <w:p>
      <w:pPr>
        <w:spacing w:after="0" w:line="148" w:lineRule="exact"/>
        <w:rPr>
          <w:sz w:val="24"/>
          <w:szCs w:val="24"/>
          <w:color w:val="auto"/>
        </w:rPr>
      </w:pPr>
    </w:p>
    <w:p>
      <w:pPr>
        <w:ind w:left="14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82-1038121</w:t>
      </w:r>
    </w:p>
    <w:p>
      <w:pPr>
        <w:spacing w:after="0" w:line="86" w:lineRule="exact"/>
        <w:rPr>
          <w:sz w:val="24"/>
          <w:szCs w:val="24"/>
          <w:color w:val="auto"/>
        </w:rPr>
      </w:pPr>
    </w:p>
    <w:p>
      <w:pPr>
        <w:sectPr>
          <w:pgSz w:w="11900" w:h="16838" w:orient="portrait"/>
          <w:cols w:equalWidth="0" w:num="2">
            <w:col w:w="8100" w:space="720"/>
            <w:col w:w="2420"/>
          </w:cols>
          <w:pgMar w:left="320" w:top="1025" w:right="339" w:bottom="322" w:gutter="0" w:footer="0" w:header="0"/>
          <w:type w:val="continuous"/>
        </w:sectPr>
      </w:pPr>
    </w:p>
    <w:tbl>
      <w:tblPr>
        <w:tblLayout w:type="fixed"/>
        <w:tblInd w:w="860" w:type="dxa"/>
        <w:tblCellMar>
          <w:top w:w="0" w:type="dxa"/>
          <w:left w:w="0" w:type="dxa"/>
          <w:bottom w:w="0" w:type="dxa"/>
          <w:right w:w="0" w:type="dxa"/>
        </w:tblCellMar>
      </w:tblPr>
      <w:tr>
        <w:trPr>
          <w:trHeight w:val="184"/>
        </w:trPr>
        <w:tc>
          <w:tcPr>
            <w:tcW w:w="4580" w:type="dxa"/>
            <w:vAlign w:val="bottom"/>
          </w:tcPr>
          <w:p>
            <w:pPr>
              <w:jc w:val="center"/>
              <w:ind w:right="2539"/>
              <w:spacing w:after="0"/>
              <w:rPr>
                <w:sz w:val="20"/>
                <w:szCs w:val="20"/>
                <w:color w:val="auto"/>
              </w:rPr>
            </w:pPr>
            <w:r>
              <w:rPr>
                <w:rFonts w:ascii="Arial" w:cs="Arial" w:eastAsia="Arial" w:hAnsi="Arial"/>
                <w:sz w:val="16"/>
                <w:szCs w:val="16"/>
                <w:color w:val="auto"/>
                <w:w w:val="93"/>
              </w:rPr>
              <w:t>(State or other jurisdiction of</w:t>
            </w:r>
          </w:p>
        </w:tc>
        <w:tc>
          <w:tcPr>
            <w:tcW w:w="5000" w:type="dxa"/>
            <w:vAlign w:val="bottom"/>
            <w:vMerge w:val="restart"/>
          </w:tcPr>
          <w:p>
            <w:pPr>
              <w:ind w:left="2640"/>
              <w:spacing w:after="0"/>
              <w:rPr>
                <w:sz w:val="20"/>
                <w:szCs w:val="20"/>
                <w:color w:val="auto"/>
              </w:rPr>
            </w:pPr>
            <w:r>
              <w:rPr>
                <w:rFonts w:ascii="Arial" w:cs="Arial" w:eastAsia="Arial" w:hAnsi="Arial"/>
                <w:sz w:val="16"/>
                <w:szCs w:val="16"/>
                <w:color w:val="auto"/>
                <w:w w:val="94"/>
              </w:rPr>
              <w:t>(I.R.S. Employer Identification No.)</w:t>
            </w:r>
          </w:p>
        </w:tc>
        <w:tc>
          <w:tcPr>
            <w:tcW w:w="0" w:type="dxa"/>
            <w:vAlign w:val="bottom"/>
          </w:tcPr>
          <w:p>
            <w:pPr>
              <w:spacing w:after="0"/>
              <w:rPr>
                <w:sz w:val="1"/>
                <w:szCs w:val="1"/>
                <w:color w:val="auto"/>
              </w:rPr>
            </w:pPr>
          </w:p>
        </w:tc>
      </w:tr>
      <w:tr>
        <w:trPr>
          <w:trHeight w:val="98"/>
        </w:trPr>
        <w:tc>
          <w:tcPr>
            <w:tcW w:w="4580" w:type="dxa"/>
            <w:vAlign w:val="bottom"/>
            <w:vMerge w:val="restart"/>
          </w:tcPr>
          <w:p>
            <w:pPr>
              <w:jc w:val="center"/>
              <w:ind w:right="2539"/>
              <w:spacing w:after="0"/>
              <w:rPr>
                <w:sz w:val="20"/>
                <w:szCs w:val="20"/>
                <w:color w:val="auto"/>
              </w:rPr>
            </w:pPr>
            <w:r>
              <w:rPr>
                <w:rFonts w:ascii="Arial" w:cs="Arial" w:eastAsia="Arial" w:hAnsi="Arial"/>
                <w:sz w:val="16"/>
                <w:szCs w:val="16"/>
                <w:color w:val="auto"/>
                <w:w w:val="94"/>
              </w:rPr>
              <w:t>incorporation or organization)</w:t>
            </w:r>
          </w:p>
        </w:tc>
        <w:tc>
          <w:tcPr>
            <w:tcW w:w="5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580" w:type="dxa"/>
            <w:vAlign w:val="bottom"/>
            <w:vMerge w:val="continue"/>
          </w:tcPr>
          <w:p>
            <w:pPr>
              <w:spacing w:after="0"/>
              <w:rPr>
                <w:sz w:val="9"/>
                <w:szCs w:val="9"/>
                <w:color w:val="auto"/>
              </w:rPr>
            </w:pPr>
          </w:p>
        </w:tc>
        <w:tc>
          <w:tcPr>
            <w:tcW w:w="50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1225 17th Street, Suite 1000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Denver, CO 80202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and zip code</w:t>
      </w:r>
      <w:r>
        <w:rPr>
          <w:rFonts w:ascii="Arial" w:cs="Arial" w:eastAsia="Arial" w:hAnsi="Arial"/>
          <w:sz w:val="18"/>
          <w:szCs w:val="18"/>
          <w:b w:val="1"/>
          <w:bCs w:val="1"/>
          <w:color w:val="auto"/>
        </w:rPr>
        <w:t>)</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(303) 633-2840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7" w:lineRule="exact"/>
        <w:rPr>
          <w:sz w:val="24"/>
          <w:szCs w:val="24"/>
          <w:color w:val="auto"/>
        </w:rPr>
      </w:pPr>
    </w:p>
    <w:p>
      <w:pPr>
        <w:ind w:left="274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5" w:lineRule="exact"/>
        <w:rPr>
          <w:sz w:val="24"/>
          <w:szCs w:val="24"/>
          <w:color w:val="auto"/>
        </w:rPr>
      </w:pPr>
    </w:p>
    <w:tbl>
      <w:tblPr>
        <w:tblLayout w:type="fixed"/>
        <w:tblInd w:w="600" w:type="dxa"/>
        <w:tblCellMar>
          <w:top w:w="0" w:type="dxa"/>
          <w:left w:w="0" w:type="dxa"/>
          <w:bottom w:w="0" w:type="dxa"/>
          <w:right w:w="0" w:type="dxa"/>
        </w:tblCellMar>
      </w:tblPr>
      <w:tr>
        <w:trPr>
          <w:trHeight w:val="206"/>
        </w:trPr>
        <w:tc>
          <w:tcPr>
            <w:tcW w:w="3420" w:type="dxa"/>
            <w:vAlign w:val="bottom"/>
            <w:gridSpan w:val="2"/>
          </w:tcPr>
          <w:p>
            <w:pPr>
              <w:jc w:val="center"/>
              <w:ind w:right="140"/>
              <w:spacing w:after="0"/>
              <w:rPr>
                <w:sz w:val="20"/>
                <w:szCs w:val="20"/>
                <w:color w:val="auto"/>
              </w:rPr>
            </w:pPr>
            <w:r>
              <w:rPr>
                <w:rFonts w:ascii="Arial" w:cs="Arial" w:eastAsia="Arial" w:hAnsi="Arial"/>
                <w:sz w:val="16"/>
                <w:szCs w:val="16"/>
                <w:color w:val="auto"/>
                <w:w w:val="90"/>
              </w:rPr>
              <w:t>Title of each class</w:t>
            </w:r>
          </w:p>
        </w:tc>
        <w:tc>
          <w:tcPr>
            <w:tcW w:w="3340" w:type="dxa"/>
            <w:vAlign w:val="bottom"/>
            <w:gridSpan w:val="2"/>
          </w:tcPr>
          <w:p>
            <w:pPr>
              <w:jc w:val="center"/>
              <w:ind w:right="160"/>
              <w:spacing w:after="0"/>
              <w:rPr>
                <w:sz w:val="20"/>
                <w:szCs w:val="20"/>
                <w:color w:val="auto"/>
              </w:rPr>
            </w:pPr>
            <w:r>
              <w:rPr>
                <w:rFonts w:ascii="Arial" w:cs="Arial" w:eastAsia="Arial" w:hAnsi="Arial"/>
                <w:sz w:val="16"/>
                <w:szCs w:val="16"/>
                <w:color w:val="auto"/>
                <w:w w:val="93"/>
              </w:rPr>
              <w:t>Trading Symbol(s)</w:t>
            </w:r>
          </w:p>
        </w:tc>
        <w:tc>
          <w:tcPr>
            <w:tcW w:w="3280" w:type="dxa"/>
            <w:vAlign w:val="bottom"/>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47"/>
        </w:trPr>
        <w:tc>
          <w:tcPr>
            <w:tcW w:w="32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32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3280" w:type="dxa"/>
            <w:vAlign w:val="bottom"/>
            <w:tcBorders>
              <w:bottom w:val="single" w:sz="8" w:color="auto"/>
            </w:tcBorders>
          </w:tcPr>
          <w:p>
            <w:pPr>
              <w:spacing w:after="0"/>
              <w:rPr>
                <w:sz w:val="4"/>
                <w:szCs w:val="4"/>
                <w:color w:val="auto"/>
              </w:rPr>
            </w:pPr>
          </w:p>
        </w:tc>
      </w:tr>
      <w:tr>
        <w:trPr>
          <w:trHeight w:val="203"/>
        </w:trPr>
        <w:tc>
          <w:tcPr>
            <w:tcW w:w="3420" w:type="dxa"/>
            <w:vAlign w:val="bottom"/>
            <w:gridSpan w:val="2"/>
          </w:tcPr>
          <w:p>
            <w:pPr>
              <w:jc w:val="center"/>
              <w:ind w:right="140"/>
              <w:spacing w:after="0"/>
              <w:rPr>
                <w:sz w:val="20"/>
                <w:szCs w:val="20"/>
                <w:color w:val="auto"/>
              </w:rPr>
            </w:pPr>
            <w:r>
              <w:rPr>
                <w:rFonts w:ascii="Arial" w:cs="Arial" w:eastAsia="Arial" w:hAnsi="Arial"/>
                <w:sz w:val="16"/>
                <w:szCs w:val="16"/>
                <w:color w:val="auto"/>
                <w:w w:val="90"/>
              </w:rPr>
              <w:t>Common Stock, par value $0.01 per share</w:t>
            </w:r>
          </w:p>
        </w:tc>
        <w:tc>
          <w:tcPr>
            <w:tcW w:w="3340" w:type="dxa"/>
            <w:vAlign w:val="bottom"/>
            <w:gridSpan w:val="2"/>
          </w:tcPr>
          <w:p>
            <w:pPr>
              <w:jc w:val="center"/>
              <w:ind w:right="160"/>
              <w:spacing w:after="0"/>
              <w:rPr>
                <w:sz w:val="20"/>
                <w:szCs w:val="20"/>
                <w:color w:val="auto"/>
              </w:rPr>
            </w:pPr>
            <w:r>
              <w:rPr>
                <w:rFonts w:ascii="Arial" w:cs="Arial" w:eastAsia="Arial" w:hAnsi="Arial"/>
                <w:sz w:val="16"/>
                <w:szCs w:val="16"/>
                <w:color w:val="auto"/>
                <w:w w:val="96"/>
              </w:rPr>
              <w:t>SMPL</w:t>
            </w:r>
          </w:p>
        </w:tc>
        <w:tc>
          <w:tcPr>
            <w:tcW w:w="3280" w:type="dxa"/>
            <w:vAlign w:val="bottom"/>
          </w:tcPr>
          <w:p>
            <w:pPr>
              <w:jc w:val="center"/>
              <w:spacing w:after="0"/>
              <w:rPr>
                <w:sz w:val="20"/>
                <w:szCs w:val="20"/>
                <w:color w:val="auto"/>
              </w:rPr>
            </w:pPr>
            <w:r>
              <w:rPr>
                <w:rFonts w:ascii="Arial" w:cs="Arial" w:eastAsia="Arial" w:hAnsi="Arial"/>
                <w:sz w:val="16"/>
                <w:szCs w:val="16"/>
                <w:color w:val="auto"/>
                <w:w w:val="86"/>
              </w:rPr>
              <w:t>Nasdaq</w:t>
            </w:r>
          </w:p>
        </w:tc>
      </w:tr>
    </w:tbl>
    <w:p>
      <w:pPr>
        <w:spacing w:after="0" w:line="366"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p>
      <w:pPr>
        <w:spacing w:after="0" w:line="22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Date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025" w:right="339" w:bottom="322" w:gutter="0" w:footer="0" w:header="0"/>
          <w:type w:val="continuous"/>
        </w:sectPr>
      </w:pPr>
    </w:p>
    <w:p>
      <w:pPr>
        <w:spacing w:after="0" w:line="148" w:lineRule="exact"/>
        <w:rPr>
          <w:sz w:val="24"/>
          <w:szCs w:val="24"/>
          <w:color w:val="auto"/>
        </w:rPr>
      </w:pPr>
    </w:p>
    <w:p>
      <w:pPr>
        <w:ind w:left="3300"/>
        <w:spacing w:after="0"/>
        <w:rPr>
          <w:sz w:val="20"/>
          <w:szCs w:val="20"/>
          <w:color w:val="auto"/>
        </w:rPr>
      </w:pPr>
      <w:r>
        <w:rPr>
          <w:rFonts w:ascii="Arial" w:cs="Arial" w:eastAsia="Arial" w:hAnsi="Arial"/>
          <w:sz w:val="14"/>
          <w:szCs w:val="14"/>
          <w:color w:val="auto"/>
        </w:rPr>
        <w:t>Large Accelerated Filer</w:t>
      </w:r>
    </w:p>
    <w:p>
      <w:pPr>
        <w:spacing w:after="0" w:line="96" w:lineRule="exact"/>
        <w:rPr>
          <w:sz w:val="24"/>
          <w:szCs w:val="24"/>
          <w:color w:val="auto"/>
        </w:rPr>
      </w:pPr>
    </w:p>
    <w:p>
      <w:pPr>
        <w:ind w:left="3300"/>
        <w:spacing w:after="0"/>
        <w:rPr>
          <w:sz w:val="20"/>
          <w:szCs w:val="20"/>
          <w:color w:val="auto"/>
        </w:rPr>
      </w:pPr>
      <w:r>
        <w:rPr>
          <w:rFonts w:ascii="Arial" w:cs="Arial" w:eastAsia="Arial" w:hAnsi="Arial"/>
          <w:sz w:val="15"/>
          <w:szCs w:val="15"/>
          <w:color w:val="auto"/>
        </w:rPr>
        <w:t>Non-Accelerated Filer</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ind w:left="760"/>
        <w:spacing w:after="0" w:line="173"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5"/>
          <w:szCs w:val="15"/>
          <w:color w:val="auto"/>
        </w:rPr>
        <w:t>☐</w:t>
      </w:r>
    </w:p>
    <w:p>
      <w:pPr>
        <w:spacing w:after="0" w:line="111" w:lineRule="exact"/>
        <w:rPr>
          <w:sz w:val="24"/>
          <w:szCs w:val="24"/>
          <w:color w:val="auto"/>
        </w:rPr>
      </w:pPr>
    </w:p>
    <w:p>
      <w:pPr>
        <w:spacing w:after="0" w:line="173"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5"/>
          <w:szCs w:val="15"/>
          <w:color w:val="auto"/>
        </w:rPr>
        <w:t>☐</w:t>
      </w:r>
    </w:p>
    <w:p>
      <w:pPr>
        <w:spacing w:after="0" w:line="84" w:lineRule="exact"/>
        <w:rPr>
          <w:sz w:val="24"/>
          <w:szCs w:val="24"/>
          <w:color w:val="auto"/>
        </w:rPr>
      </w:pPr>
    </w:p>
    <w:p>
      <w:pPr>
        <w:ind w:left="20"/>
        <w:spacing w:after="0" w:line="173"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5"/>
          <w:szCs w:val="15"/>
          <w:color w:val="auto"/>
        </w:rPr>
        <w:t>☐</w:t>
      </w:r>
    </w:p>
    <w:p>
      <w:pPr>
        <w:sectPr>
          <w:pgSz w:w="11900" w:h="16838" w:orient="portrait"/>
          <w:cols w:equalWidth="0" w:num="3">
            <w:col w:w="4820" w:space="100"/>
            <w:col w:w="160" w:space="680"/>
            <w:col w:w="5480"/>
          </w:cols>
          <w:pgMar w:left="320" w:top="1025" w:right="339" w:bottom="322" w:gutter="0" w:footer="0" w:header="0"/>
          <w:type w:val="continuous"/>
        </w:sectPr>
      </w:pPr>
    </w:p>
    <w:bookmarkStart w:id="1" w:name="page2"/>
    <w:bookmarkEnd w:id="1"/>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9"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8"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aggregate market value of the common stock held by non-affiliates of the registrant as of February 26, 2021, the last trading day of the registrant’s most recently completed second fiscal quarter was approximately $2.5 billion based on the closing price of $29.17 for one share of common stock, as reported on the Nasdaq Capital Market on that date.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of October 20, 2021, there were 95,834,960 shares of common stock, par value $0.01 per share, issued and outstanding.</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56" w:lineRule="exact"/>
        <w:rPr>
          <w:sz w:val="20"/>
          <w:szCs w:val="20"/>
          <w:color w:val="auto"/>
        </w:rPr>
      </w:pPr>
    </w:p>
    <w:p>
      <w:pPr>
        <w:jc w:val="both"/>
        <w:ind w:firstLine="224"/>
        <w:spacing w:after="0" w:line="223" w:lineRule="exact"/>
        <w:rPr>
          <w:sz w:val="20"/>
          <w:szCs w:val="20"/>
          <w:color w:val="auto"/>
        </w:rPr>
      </w:pPr>
      <w:r>
        <w:rPr>
          <w:rFonts w:ascii="Arial" w:cs="Arial" w:eastAsia="Arial" w:hAnsi="Arial"/>
          <w:sz w:val="18"/>
          <w:szCs w:val="18"/>
          <w:color w:val="auto"/>
        </w:rPr>
        <w:t>Certain portions of the registrant’s definitive proxy statement, in connection with its 2022 annual meeting of stockholders, to be filed within 120 days after the end of fiscal year ended August 28, 2021, are incorporated by reference into Part III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725170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Item 1</w:t>
        </w:r>
      </w:hyperlink>
    </w:p>
    <w:p>
      <w:pPr>
        <w:spacing w:after="0" w:line="50" w:lineRule="exact"/>
        <w:rPr>
          <w:sz w:val="20"/>
          <w:szCs w:val="20"/>
          <w:color w:val="auto"/>
        </w:rPr>
      </w:pPr>
    </w:p>
    <w:p>
      <w:pPr>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Item 1A</w:t>
        </w:r>
      </w:hyperlink>
    </w:p>
    <w:p>
      <w:pPr>
        <w:spacing w:after="0" w:line="50" w:lineRule="exact"/>
        <w:rPr>
          <w:sz w:val="20"/>
          <w:szCs w:val="20"/>
          <w:color w:val="auto"/>
        </w:rPr>
      </w:pPr>
    </w:p>
    <w:p>
      <w:pPr>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Item 1B</w:t>
        </w:r>
      </w:hyperlink>
    </w:p>
    <w:p>
      <w:pPr>
        <w:spacing w:after="0" w:line="50" w:lineRule="exact"/>
        <w:rPr>
          <w:sz w:val="20"/>
          <w:szCs w:val="20"/>
          <w:color w:val="auto"/>
        </w:rPr>
      </w:pPr>
    </w:p>
    <w:p>
      <w:pPr>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Item 2</w:t>
        </w:r>
      </w:hyperlink>
    </w:p>
    <w:p>
      <w:pPr>
        <w:spacing w:after="0" w:line="50" w:lineRule="exact"/>
        <w:rPr>
          <w:sz w:val="20"/>
          <w:szCs w:val="20"/>
          <w:color w:val="auto"/>
        </w:rPr>
      </w:pPr>
    </w:p>
    <w:p>
      <w:pPr>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Item 3</w:t>
        </w:r>
      </w:hyperlink>
    </w:p>
    <w:p>
      <w:pPr>
        <w:spacing w:after="0" w:line="50" w:lineRule="exact"/>
        <w:rPr>
          <w:sz w:val="20"/>
          <w:szCs w:val="20"/>
          <w:color w:val="auto"/>
        </w:rPr>
      </w:pPr>
    </w:p>
    <w:p>
      <w:pPr>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Item 4</w:t>
        </w:r>
      </w:hyperlink>
    </w:p>
    <w:p>
      <w:pPr>
        <w:spacing w:after="0" w:line="200" w:lineRule="exact"/>
        <w:rPr>
          <w:sz w:val="20"/>
          <w:szCs w:val="20"/>
          <w:color w:val="auto"/>
        </w:rPr>
      </w:pPr>
    </w:p>
    <w:p>
      <w:pPr>
        <w:spacing w:after="0" w:line="282" w:lineRule="exact"/>
        <w:rPr>
          <w:sz w:val="20"/>
          <w:szCs w:val="20"/>
          <w:color w:val="auto"/>
        </w:rPr>
      </w:pPr>
    </w:p>
    <w:p>
      <w:pPr>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Item 5</w:t>
        </w:r>
      </w:hyperlink>
    </w:p>
    <w:p>
      <w:pPr>
        <w:spacing w:after="0" w:line="212" w:lineRule="exact"/>
        <w:rPr>
          <w:sz w:val="20"/>
          <w:szCs w:val="20"/>
          <w:color w:val="auto"/>
        </w:rPr>
      </w:pPr>
    </w:p>
    <w:p>
      <w:pPr>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Item 6</w:t>
        </w:r>
      </w:hyperlink>
    </w:p>
    <w:p>
      <w:pPr>
        <w:spacing w:after="0" w:line="50" w:lineRule="exact"/>
        <w:rPr>
          <w:sz w:val="20"/>
          <w:szCs w:val="20"/>
          <w:color w:val="auto"/>
        </w:rPr>
      </w:pPr>
    </w:p>
    <w:p>
      <w:pPr>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Item 7</w:t>
        </w:r>
      </w:hyperlink>
    </w:p>
    <w:p>
      <w:pPr>
        <w:spacing w:after="0" w:line="50" w:lineRule="exact"/>
        <w:rPr>
          <w:sz w:val="20"/>
          <w:szCs w:val="20"/>
          <w:color w:val="auto"/>
        </w:rPr>
      </w:pPr>
    </w:p>
    <w:p>
      <w:pPr>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Item 7A</w:t>
        </w:r>
      </w:hyperlink>
    </w:p>
    <w:p>
      <w:pPr>
        <w:spacing w:after="0" w:line="50" w:lineRule="exact"/>
        <w:rPr>
          <w:sz w:val="20"/>
          <w:szCs w:val="20"/>
          <w:color w:val="auto"/>
        </w:rPr>
      </w:pPr>
    </w:p>
    <w:p>
      <w:pPr>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Item 8</w:t>
        </w:r>
      </w:hyperlink>
    </w:p>
    <w:p>
      <w:pPr>
        <w:spacing w:after="0" w:line="50" w:lineRule="exact"/>
        <w:rPr>
          <w:sz w:val="20"/>
          <w:szCs w:val="20"/>
          <w:color w:val="auto"/>
        </w:rPr>
      </w:pPr>
    </w:p>
    <w:p>
      <w:pPr>
        <w:spacing w:after="0"/>
        <w:rPr>
          <w:rFonts w:ascii="Arial" w:cs="Arial" w:eastAsia="Arial" w:hAnsi="Arial"/>
          <w:sz w:val="18"/>
          <w:szCs w:val="18"/>
          <w:u w:val="single" w:color="auto"/>
          <w:color w:val="0000FF"/>
        </w:rPr>
      </w:pPr>
      <w:hyperlink w:anchor="page83">
        <w:r>
          <w:rPr>
            <w:rFonts w:ascii="Arial" w:cs="Arial" w:eastAsia="Arial" w:hAnsi="Arial"/>
            <w:sz w:val="18"/>
            <w:szCs w:val="18"/>
            <w:u w:val="single" w:color="auto"/>
            <w:color w:val="0000FF"/>
          </w:rPr>
          <w:t>Item 9</w:t>
        </w:r>
      </w:hyperlink>
    </w:p>
    <w:p>
      <w:pPr>
        <w:spacing w:after="0" w:line="50" w:lineRule="exact"/>
        <w:rPr>
          <w:sz w:val="20"/>
          <w:szCs w:val="20"/>
          <w:color w:val="auto"/>
        </w:rPr>
      </w:pPr>
    </w:p>
    <w:p>
      <w:pPr>
        <w:spacing w:after="0"/>
        <w:rPr>
          <w:rFonts w:ascii="Arial" w:cs="Arial" w:eastAsia="Arial" w:hAnsi="Arial"/>
          <w:sz w:val="18"/>
          <w:szCs w:val="18"/>
          <w:u w:val="single" w:color="auto"/>
          <w:color w:val="0000FF"/>
        </w:rPr>
      </w:pPr>
      <w:hyperlink w:anchor="page84">
        <w:r>
          <w:rPr>
            <w:rFonts w:ascii="Arial" w:cs="Arial" w:eastAsia="Arial" w:hAnsi="Arial"/>
            <w:sz w:val="18"/>
            <w:szCs w:val="18"/>
            <w:u w:val="single" w:color="auto"/>
            <w:color w:val="0000FF"/>
          </w:rPr>
          <w:t>Item 9A</w:t>
        </w:r>
      </w:hyperlink>
    </w:p>
    <w:p>
      <w:pPr>
        <w:spacing w:after="0" w:line="50" w:lineRule="exact"/>
        <w:rPr>
          <w:sz w:val="20"/>
          <w:szCs w:val="20"/>
          <w:color w:val="auto"/>
        </w:rPr>
      </w:pPr>
    </w:p>
    <w:p>
      <w:pPr>
        <w:spacing w:after="0"/>
        <w:rPr>
          <w:rFonts w:ascii="Arial" w:cs="Arial" w:eastAsia="Arial" w:hAnsi="Arial"/>
          <w:sz w:val="18"/>
          <w:szCs w:val="18"/>
          <w:u w:val="single" w:color="auto"/>
          <w:color w:val="0000FF"/>
        </w:rPr>
      </w:pPr>
      <w:hyperlink w:anchor="page86">
        <w:r>
          <w:rPr>
            <w:rFonts w:ascii="Arial" w:cs="Arial" w:eastAsia="Arial" w:hAnsi="Arial"/>
            <w:sz w:val="18"/>
            <w:szCs w:val="18"/>
            <w:u w:val="single" w:color="auto"/>
            <w:color w:val="0000FF"/>
          </w:rPr>
          <w:t>Item 9B</w:t>
        </w:r>
      </w:hyperlink>
    </w:p>
    <w:p>
      <w:pPr>
        <w:spacing w:after="0" w:line="63" w:lineRule="exact"/>
        <w:rPr>
          <w:sz w:val="20"/>
          <w:szCs w:val="20"/>
          <w:color w:val="auto"/>
        </w:rPr>
      </w:pPr>
    </w:p>
    <w:p>
      <w:pPr>
        <w:spacing w:after="0"/>
        <w:rPr>
          <w:rFonts w:ascii="Arial" w:cs="Arial" w:eastAsia="Arial" w:hAnsi="Arial"/>
          <w:sz w:val="18"/>
          <w:szCs w:val="18"/>
          <w:u w:val="single" w:color="auto"/>
          <w:color w:val="0000FF"/>
        </w:rPr>
      </w:pPr>
      <w:hyperlink w:anchor="page87">
        <w:r>
          <w:rPr>
            <w:rFonts w:ascii="Arial" w:cs="Arial" w:eastAsia="Arial" w:hAnsi="Arial"/>
            <w:sz w:val="18"/>
            <w:szCs w:val="18"/>
            <w:u w:val="single" w:color="auto"/>
            <w:color w:val="0000FF"/>
          </w:rPr>
          <w:t>Item 9C</w:t>
        </w:r>
      </w:hyperlink>
    </w:p>
    <w:p>
      <w:pPr>
        <w:spacing w:after="0" w:line="200" w:lineRule="exact"/>
        <w:rPr>
          <w:sz w:val="20"/>
          <w:szCs w:val="20"/>
          <w:color w:val="auto"/>
        </w:rPr>
      </w:pPr>
    </w:p>
    <w:p>
      <w:pPr>
        <w:spacing w:after="0" w:line="282" w:lineRule="exact"/>
        <w:rPr>
          <w:sz w:val="20"/>
          <w:szCs w:val="20"/>
          <w:color w:val="auto"/>
        </w:rPr>
      </w:pPr>
    </w:p>
    <w:p>
      <w:pPr>
        <w:spacing w:after="0"/>
        <w:rPr>
          <w:rFonts w:ascii="Arial" w:cs="Arial" w:eastAsia="Arial" w:hAnsi="Arial"/>
          <w:sz w:val="18"/>
          <w:szCs w:val="18"/>
          <w:u w:val="single" w:color="auto"/>
          <w:color w:val="0000FF"/>
        </w:rPr>
      </w:pPr>
      <w:hyperlink w:anchor="page88">
        <w:r>
          <w:rPr>
            <w:rFonts w:ascii="Arial" w:cs="Arial" w:eastAsia="Arial" w:hAnsi="Arial"/>
            <w:sz w:val="18"/>
            <w:szCs w:val="18"/>
            <w:u w:val="single" w:color="auto"/>
            <w:color w:val="0000FF"/>
          </w:rPr>
          <w:t>Item 10</w:t>
        </w:r>
      </w:hyperlink>
    </w:p>
    <w:p>
      <w:pPr>
        <w:spacing w:after="0" w:line="50" w:lineRule="exact"/>
        <w:rPr>
          <w:sz w:val="20"/>
          <w:szCs w:val="20"/>
          <w:color w:val="auto"/>
        </w:rPr>
      </w:pPr>
    </w:p>
    <w:p>
      <w:pPr>
        <w:spacing w:after="0"/>
        <w:rPr>
          <w:rFonts w:ascii="Arial" w:cs="Arial" w:eastAsia="Arial" w:hAnsi="Arial"/>
          <w:sz w:val="18"/>
          <w:szCs w:val="18"/>
          <w:u w:val="single" w:color="auto"/>
          <w:color w:val="0000FF"/>
        </w:rPr>
      </w:pPr>
      <w:hyperlink w:anchor="page88">
        <w:r>
          <w:rPr>
            <w:rFonts w:ascii="Arial" w:cs="Arial" w:eastAsia="Arial" w:hAnsi="Arial"/>
            <w:sz w:val="18"/>
            <w:szCs w:val="18"/>
            <w:u w:val="single" w:color="auto"/>
            <w:color w:val="0000FF"/>
          </w:rPr>
          <w:t>Item 11</w:t>
        </w:r>
      </w:hyperlink>
    </w:p>
    <w:p>
      <w:pPr>
        <w:spacing w:after="0" w:line="50" w:lineRule="exact"/>
        <w:rPr>
          <w:sz w:val="20"/>
          <w:szCs w:val="20"/>
          <w:color w:val="auto"/>
        </w:rPr>
      </w:pPr>
    </w:p>
    <w:p>
      <w:pPr>
        <w:spacing w:after="0"/>
        <w:rPr>
          <w:rFonts w:ascii="Arial" w:cs="Arial" w:eastAsia="Arial" w:hAnsi="Arial"/>
          <w:sz w:val="18"/>
          <w:szCs w:val="18"/>
          <w:u w:val="single" w:color="auto"/>
          <w:color w:val="0000FF"/>
        </w:rPr>
      </w:pPr>
      <w:hyperlink w:anchor="page88">
        <w:r>
          <w:rPr>
            <w:rFonts w:ascii="Arial" w:cs="Arial" w:eastAsia="Arial" w:hAnsi="Arial"/>
            <w:sz w:val="18"/>
            <w:szCs w:val="18"/>
            <w:u w:val="single" w:color="auto"/>
            <w:color w:val="0000FF"/>
          </w:rPr>
          <w:t>Item 12</w:t>
        </w:r>
      </w:hyperlink>
    </w:p>
    <w:p>
      <w:pPr>
        <w:spacing w:after="0" w:line="50" w:lineRule="exact"/>
        <w:rPr>
          <w:sz w:val="20"/>
          <w:szCs w:val="20"/>
          <w:color w:val="auto"/>
        </w:rPr>
      </w:pPr>
    </w:p>
    <w:p>
      <w:pPr>
        <w:spacing w:after="0"/>
        <w:rPr>
          <w:rFonts w:ascii="Arial" w:cs="Arial" w:eastAsia="Arial" w:hAnsi="Arial"/>
          <w:sz w:val="18"/>
          <w:szCs w:val="18"/>
          <w:u w:val="single" w:color="auto"/>
          <w:color w:val="0000FF"/>
        </w:rPr>
      </w:pPr>
      <w:hyperlink w:anchor="page88">
        <w:r>
          <w:rPr>
            <w:rFonts w:ascii="Arial" w:cs="Arial" w:eastAsia="Arial" w:hAnsi="Arial"/>
            <w:sz w:val="18"/>
            <w:szCs w:val="18"/>
            <w:u w:val="single" w:color="auto"/>
            <w:color w:val="0000FF"/>
          </w:rPr>
          <w:t>Item 13</w:t>
        </w:r>
      </w:hyperlink>
    </w:p>
    <w:p>
      <w:pPr>
        <w:spacing w:after="0" w:line="50" w:lineRule="exact"/>
        <w:rPr>
          <w:sz w:val="20"/>
          <w:szCs w:val="20"/>
          <w:color w:val="auto"/>
        </w:rPr>
      </w:pPr>
    </w:p>
    <w:p>
      <w:pPr>
        <w:spacing w:after="0"/>
        <w:rPr>
          <w:rFonts w:ascii="Arial" w:cs="Arial" w:eastAsia="Arial" w:hAnsi="Arial"/>
          <w:sz w:val="18"/>
          <w:szCs w:val="18"/>
          <w:u w:val="single" w:color="auto"/>
          <w:color w:val="0000FF"/>
        </w:rPr>
      </w:pPr>
      <w:hyperlink w:anchor="page88">
        <w:r>
          <w:rPr>
            <w:rFonts w:ascii="Arial" w:cs="Arial" w:eastAsia="Arial" w:hAnsi="Arial"/>
            <w:sz w:val="18"/>
            <w:szCs w:val="18"/>
            <w:u w:val="single" w:color="auto"/>
            <w:color w:val="0000FF"/>
          </w:rPr>
          <w:t>Item 14</w:t>
        </w:r>
      </w:hyperlink>
    </w:p>
    <w:p>
      <w:pPr>
        <w:spacing w:after="0" w:line="200" w:lineRule="exact"/>
        <w:rPr>
          <w:sz w:val="20"/>
          <w:szCs w:val="20"/>
          <w:color w:val="auto"/>
        </w:rPr>
      </w:pPr>
    </w:p>
    <w:p>
      <w:pPr>
        <w:spacing w:after="0" w:line="282" w:lineRule="exact"/>
        <w:rPr>
          <w:sz w:val="20"/>
          <w:szCs w:val="20"/>
          <w:color w:val="auto"/>
        </w:rPr>
      </w:pPr>
    </w:p>
    <w:p>
      <w:pPr>
        <w:spacing w:after="0"/>
        <w:rPr>
          <w:rFonts w:ascii="Arial" w:cs="Arial" w:eastAsia="Arial" w:hAnsi="Arial"/>
          <w:sz w:val="18"/>
          <w:szCs w:val="18"/>
          <w:u w:val="single" w:color="auto"/>
          <w:color w:val="0000FF"/>
        </w:rPr>
      </w:pPr>
      <w:hyperlink w:anchor="page89">
        <w:r>
          <w:rPr>
            <w:rFonts w:ascii="Arial" w:cs="Arial" w:eastAsia="Arial" w:hAnsi="Arial"/>
            <w:sz w:val="18"/>
            <w:szCs w:val="18"/>
            <w:u w:val="single" w:color="auto"/>
            <w:color w:val="0000FF"/>
          </w:rPr>
          <w:t>Item 15</w:t>
        </w:r>
      </w:hyperlink>
    </w:p>
    <w:p>
      <w:pPr>
        <w:spacing w:after="0" w:line="50" w:lineRule="exact"/>
        <w:rPr>
          <w:sz w:val="20"/>
          <w:szCs w:val="20"/>
          <w:color w:val="auto"/>
        </w:rPr>
      </w:pPr>
    </w:p>
    <w:p>
      <w:pPr>
        <w:spacing w:after="0"/>
        <w:rPr>
          <w:rFonts w:ascii="Arial" w:cs="Arial" w:eastAsia="Arial" w:hAnsi="Arial"/>
          <w:sz w:val="18"/>
          <w:szCs w:val="18"/>
          <w:u w:val="single" w:color="auto"/>
          <w:color w:val="0000FF"/>
        </w:rPr>
      </w:pPr>
      <w:hyperlink w:anchor="page90">
        <w:r>
          <w:rPr>
            <w:rFonts w:ascii="Arial" w:cs="Arial" w:eastAsia="Arial" w:hAnsi="Arial"/>
            <w:sz w:val="18"/>
            <w:szCs w:val="18"/>
            <w:u w:val="single" w:color="auto"/>
            <w:color w:val="0000FF"/>
          </w:rPr>
          <w:t>Item 16</w:t>
        </w:r>
      </w:hyperlink>
    </w:p>
    <w:p>
      <w:pPr>
        <w:spacing w:after="0" w:line="306" w:lineRule="exact"/>
        <w:rPr>
          <w:sz w:val="20"/>
          <w:szCs w:val="20"/>
          <w:color w:val="auto"/>
        </w:rPr>
      </w:pPr>
    </w:p>
    <w:p>
      <w:pPr>
        <w:spacing w:after="0"/>
        <w:rPr>
          <w:rFonts w:ascii="Arial" w:cs="Arial" w:eastAsia="Arial" w:hAnsi="Arial"/>
          <w:sz w:val="16"/>
          <w:szCs w:val="16"/>
          <w:u w:val="single" w:color="auto"/>
          <w:color w:val="0000FF"/>
        </w:rPr>
      </w:pPr>
      <w:hyperlink w:anchor="page90">
        <w:r>
          <w:rPr>
            <w:rFonts w:ascii="Arial" w:cs="Arial" w:eastAsia="Arial" w:hAnsi="Arial"/>
            <w:sz w:val="16"/>
            <w:szCs w:val="16"/>
            <w:u w:val="single" w:color="auto"/>
            <w:color w:val="0000FF"/>
          </w:rPr>
          <w:t>SIGNATURES</w:t>
        </w:r>
      </w:hyperlink>
    </w:p>
    <w:p>
      <w:pPr>
        <w:spacing w:after="0" w:line="20" w:lineRule="exact"/>
        <w:rPr>
          <w:sz w:val="20"/>
          <w:szCs w:val="20"/>
          <w:color w:val="auto"/>
        </w:rPr>
      </w:pPr>
      <w:r>
        <w:rPr>
          <w:sz w:val="20"/>
          <w:szCs w:val="20"/>
          <w:color w:val="auto"/>
        </w:rPr>
        <w:br w:type="column"/>
      </w:r>
    </w:p>
    <w:p>
      <w:pPr>
        <w:jc w:val="center"/>
        <w:ind w:right="1760"/>
        <w:spacing w:after="0"/>
        <w:rPr>
          <w:sz w:val="20"/>
          <w:szCs w:val="20"/>
          <w:color w:val="auto"/>
        </w:rPr>
      </w:pPr>
      <w:r>
        <w:rPr>
          <w:rFonts w:ascii="Arial" w:cs="Arial" w:eastAsia="Arial" w:hAnsi="Arial"/>
          <w:sz w:val="18"/>
          <w:szCs w:val="18"/>
          <w:b w:val="1"/>
          <w:bCs w:val="1"/>
          <w:color w:val="auto"/>
        </w:rPr>
        <w:t>The Simply Good Foods Company and Subsidiaries</w:t>
      </w:r>
    </w:p>
    <w:p>
      <w:pPr>
        <w:spacing w:after="0" w:line="252"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78"/>
              </w:rPr>
              <w:t>Page</w:t>
            </w:r>
          </w:p>
        </w:tc>
      </w:tr>
      <w:tr>
        <w:trPr>
          <w:trHeight w:val="412"/>
        </w:trPr>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0" w:type="dxa"/>
            <w:vAlign w:val="bottom"/>
            <w:gridSpan w:val="15"/>
          </w:tcPr>
          <w:p>
            <w:pPr>
              <w:jc w:val="center"/>
              <w:ind w:right="4140"/>
              <w:spacing w:after="0"/>
              <w:rPr>
                <w:sz w:val="20"/>
                <w:szCs w:val="20"/>
                <w:color w:val="auto"/>
              </w:rPr>
            </w:pPr>
            <w:r>
              <w:rPr>
                <w:rFonts w:ascii="Arial" w:cs="Arial" w:eastAsia="Arial" w:hAnsi="Arial"/>
                <w:sz w:val="18"/>
                <w:szCs w:val="18"/>
                <w:b w:val="1"/>
                <w:bCs w:val="1"/>
                <w:color w:val="0000FF"/>
                <w:w w:val="98"/>
              </w:rPr>
              <w:t>PART I</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7"/>
        </w:trPr>
        <w:tc>
          <w:tcPr>
            <w:tcW w:w="640" w:type="dxa"/>
            <w:vAlign w:val="bottom"/>
          </w:tcPr>
          <w:p>
            <w:pPr>
              <w:spacing w:after="0"/>
              <w:rPr>
                <w:rFonts w:ascii="Arial" w:cs="Arial" w:eastAsia="Arial" w:hAnsi="Arial"/>
                <w:sz w:val="18"/>
                <w:szCs w:val="18"/>
                <w:color w:val="0000FF"/>
                <w:w w:val="84"/>
              </w:rPr>
            </w:pPr>
            <w:hyperlink w:anchor="page7">
              <w:r>
                <w:rPr>
                  <w:rFonts w:ascii="Arial" w:cs="Arial" w:eastAsia="Arial" w:hAnsi="Arial"/>
                  <w:sz w:val="18"/>
                  <w:szCs w:val="18"/>
                  <w:color w:val="0000FF"/>
                  <w:w w:val="84"/>
                </w:rPr>
                <w:t>Business</w:t>
              </w:r>
            </w:hyperlink>
          </w:p>
        </w:tc>
        <w:tc>
          <w:tcPr>
            <w:tcW w:w="2220" w:type="dxa"/>
            <w:vAlign w:val="bottom"/>
            <w:gridSpan w:val="12"/>
          </w:tcPr>
          <w:p>
            <w:pPr>
              <w:spacing w:after="0"/>
              <w:rPr>
                <w:sz w:val="20"/>
                <w:szCs w:val="20"/>
                <w:color w:val="auto"/>
              </w:rPr>
            </w:pPr>
          </w:p>
        </w:tc>
        <w:tc>
          <w:tcPr>
            <w:tcW w:w="520" w:type="dxa"/>
            <w:vAlign w:val="bottom"/>
            <w:tcBorders>
              <w:top w:val="single" w:sz="8" w:color="0000FF"/>
            </w:tcBorders>
            <w:gridSpan w:val="3"/>
          </w:tcPr>
          <w:p>
            <w:pPr>
              <w:spacing w:after="0"/>
              <w:rPr>
                <w:sz w:val="20"/>
                <w:szCs w:val="20"/>
                <w:color w:val="auto"/>
              </w:rPr>
            </w:pPr>
          </w:p>
        </w:tc>
        <w:tc>
          <w:tcPr>
            <w:tcW w:w="4180" w:type="dxa"/>
            <w:vAlign w:val="bottom"/>
            <w:gridSpan w:val="11"/>
          </w:tcPr>
          <w:p>
            <w:pPr>
              <w:spacing w:after="0"/>
              <w:rPr>
                <w:sz w:val="20"/>
                <w:szCs w:val="20"/>
                <w:color w:val="auto"/>
              </w:rPr>
            </w:pPr>
          </w:p>
        </w:tc>
        <w:tc>
          <w:tcPr>
            <w:tcW w:w="220" w:type="dxa"/>
            <w:vAlign w:val="bottom"/>
            <w:gridSpan w:val="2"/>
          </w:tcPr>
          <w:p>
            <w:pPr>
              <w:jc w:val="center"/>
              <w:ind w:left="50"/>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7</w:t>
              </w:r>
            </w:hyperlink>
          </w:p>
        </w:tc>
        <w:tc>
          <w:tcPr>
            <w:tcW w:w="140" w:type="dxa"/>
            <w:vAlign w:val="bottom"/>
          </w:tcPr>
          <w:p>
            <w:pPr>
              <w:spacing w:after="0"/>
              <w:rPr>
                <w:sz w:val="20"/>
                <w:szCs w:val="20"/>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7"/>
        </w:trPr>
        <w:tc>
          <w:tcPr>
            <w:tcW w:w="7560" w:type="dxa"/>
            <w:vAlign w:val="bottom"/>
            <w:gridSpan w:val="27"/>
          </w:tcPr>
          <w:p>
            <w:pPr>
              <w:spacing w:after="0"/>
              <w:rPr>
                <w:rFonts w:ascii="Arial" w:cs="Arial" w:eastAsia="Arial" w:hAnsi="Arial"/>
                <w:sz w:val="18"/>
                <w:szCs w:val="18"/>
                <w:color w:val="0000FF"/>
              </w:rPr>
            </w:pPr>
            <w:hyperlink w:anchor="page17">
              <w:r>
                <w:rPr>
                  <w:rFonts w:ascii="Arial" w:cs="Arial" w:eastAsia="Arial" w:hAnsi="Arial"/>
                  <w:sz w:val="18"/>
                  <w:szCs w:val="18"/>
                  <w:color w:val="0000FF"/>
                </w:rPr>
                <w:t>Risk Factors</w:t>
              </w:r>
            </w:hyperlink>
          </w:p>
        </w:tc>
        <w:tc>
          <w:tcPr>
            <w:tcW w:w="360" w:type="dxa"/>
            <w:vAlign w:val="bottom"/>
            <w:gridSpan w:val="3"/>
          </w:tcPr>
          <w:p>
            <w:pPr>
              <w:jc w:val="center"/>
              <w:spacing w:after="0"/>
              <w:rPr>
                <w:rFonts w:ascii="Arial" w:cs="Arial" w:eastAsia="Arial" w:hAnsi="Arial"/>
                <w:sz w:val="18"/>
                <w:szCs w:val="18"/>
                <w:color w:val="0000FF"/>
                <w:w w:val="89"/>
              </w:rPr>
            </w:pPr>
            <w:hyperlink w:anchor="page17">
              <w:r>
                <w:rPr>
                  <w:rFonts w:ascii="Arial" w:cs="Arial" w:eastAsia="Arial" w:hAnsi="Arial"/>
                  <w:sz w:val="18"/>
                  <w:szCs w:val="18"/>
                  <w:color w:val="0000FF"/>
                  <w:w w:val="89"/>
                </w:rPr>
                <w:t>18</w:t>
              </w:r>
            </w:hyperlink>
          </w:p>
        </w:tc>
      </w:tr>
      <w:tr>
        <w:trPr>
          <w:trHeight w:val="20"/>
        </w:trPr>
        <w:tc>
          <w:tcPr>
            <w:tcW w:w="66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37"/>
        </w:trPr>
        <w:tc>
          <w:tcPr>
            <w:tcW w:w="7560" w:type="dxa"/>
            <w:vAlign w:val="bottom"/>
            <w:gridSpan w:val="27"/>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Unresolved Staff Comments</w:t>
              </w:r>
            </w:hyperlink>
          </w:p>
        </w:tc>
        <w:tc>
          <w:tcPr>
            <w:tcW w:w="360" w:type="dxa"/>
            <w:vAlign w:val="bottom"/>
            <w:gridSpan w:val="3"/>
          </w:tcPr>
          <w:p>
            <w:pPr>
              <w:jc w:val="center"/>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34</w:t>
              </w:r>
            </w:hyperlink>
          </w:p>
        </w:tc>
      </w:tr>
      <w:tr>
        <w:trPr>
          <w:trHeight w:val="20"/>
        </w:trPr>
        <w:tc>
          <w:tcPr>
            <w:tcW w:w="66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36"/>
        </w:trPr>
        <w:tc>
          <w:tcPr>
            <w:tcW w:w="2040" w:type="dxa"/>
            <w:vAlign w:val="bottom"/>
            <w:gridSpan w:val="9"/>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Properties</w:t>
              </w:r>
            </w:hyperlink>
          </w:p>
        </w:tc>
        <w:tc>
          <w:tcPr>
            <w:tcW w:w="5520" w:type="dxa"/>
            <w:vAlign w:val="bottom"/>
            <w:gridSpan w:val="18"/>
          </w:tcPr>
          <w:p>
            <w:pPr>
              <w:spacing w:after="0"/>
              <w:rPr>
                <w:sz w:val="20"/>
                <w:szCs w:val="20"/>
                <w:color w:val="auto"/>
              </w:rPr>
            </w:pPr>
          </w:p>
        </w:tc>
        <w:tc>
          <w:tcPr>
            <w:tcW w:w="360" w:type="dxa"/>
            <w:vAlign w:val="bottom"/>
            <w:gridSpan w:val="3"/>
          </w:tcPr>
          <w:p>
            <w:pPr>
              <w:jc w:val="center"/>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34</w:t>
              </w:r>
            </w:hyperlink>
          </w:p>
        </w:tc>
      </w:tr>
      <w:tr>
        <w:trPr>
          <w:trHeight w:val="20"/>
        </w:trPr>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37"/>
        </w:trPr>
        <w:tc>
          <w:tcPr>
            <w:tcW w:w="1320" w:type="dxa"/>
            <w:vAlign w:val="bottom"/>
            <w:gridSpan w:val="5"/>
          </w:tcPr>
          <w:p>
            <w:pPr>
              <w:spacing w:after="0"/>
              <w:rPr>
                <w:rFonts w:ascii="Arial" w:cs="Arial" w:eastAsia="Arial" w:hAnsi="Arial"/>
                <w:sz w:val="18"/>
                <w:szCs w:val="18"/>
                <w:color w:val="0000FF"/>
                <w:w w:val="85"/>
              </w:rPr>
            </w:pPr>
            <w:hyperlink w:anchor="page34">
              <w:r>
                <w:rPr>
                  <w:rFonts w:ascii="Arial" w:cs="Arial" w:eastAsia="Arial" w:hAnsi="Arial"/>
                  <w:sz w:val="18"/>
                  <w:szCs w:val="18"/>
                  <w:color w:val="0000FF"/>
                  <w:w w:val="85"/>
                </w:rPr>
                <w:t>Legal Proceedings</w:t>
              </w:r>
            </w:hyperlink>
          </w:p>
        </w:tc>
        <w:tc>
          <w:tcPr>
            <w:tcW w:w="6240" w:type="dxa"/>
            <w:vAlign w:val="bottom"/>
            <w:gridSpan w:val="22"/>
          </w:tcPr>
          <w:p>
            <w:pPr>
              <w:spacing w:after="0"/>
              <w:rPr>
                <w:sz w:val="20"/>
                <w:szCs w:val="20"/>
                <w:color w:val="auto"/>
              </w:rPr>
            </w:pPr>
          </w:p>
        </w:tc>
        <w:tc>
          <w:tcPr>
            <w:tcW w:w="360" w:type="dxa"/>
            <w:vAlign w:val="bottom"/>
            <w:gridSpan w:val="3"/>
          </w:tcPr>
          <w:p>
            <w:pPr>
              <w:jc w:val="center"/>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34</w:t>
              </w:r>
            </w:hyperlink>
          </w:p>
        </w:tc>
      </w:tr>
      <w:tr>
        <w:trPr>
          <w:trHeight w:val="20"/>
        </w:trPr>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36"/>
        </w:trPr>
        <w:tc>
          <w:tcPr>
            <w:tcW w:w="7560" w:type="dxa"/>
            <w:vAlign w:val="bottom"/>
            <w:gridSpan w:val="27"/>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Mine Safety Disclosures</w:t>
              </w:r>
            </w:hyperlink>
          </w:p>
        </w:tc>
        <w:tc>
          <w:tcPr>
            <w:tcW w:w="360" w:type="dxa"/>
            <w:vAlign w:val="bottom"/>
            <w:gridSpan w:val="3"/>
          </w:tcPr>
          <w:p>
            <w:pPr>
              <w:jc w:val="center"/>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34</w:t>
              </w:r>
            </w:hyperlink>
          </w:p>
        </w:tc>
      </w:tr>
      <w:tr>
        <w:trPr>
          <w:trHeight w:val="412"/>
        </w:trPr>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FF"/>
            </w:tcBorders>
            <w:gridSpan w:val="5"/>
          </w:tcPr>
          <w:p>
            <w:pPr>
              <w:jc w:val="center"/>
              <w:spacing w:after="0"/>
              <w:rPr>
                <w:rFonts w:ascii="Arial" w:cs="Arial" w:eastAsia="Arial" w:hAnsi="Arial"/>
                <w:sz w:val="18"/>
                <w:szCs w:val="18"/>
                <w:b w:val="1"/>
                <w:bCs w:val="1"/>
                <w:color w:val="0000FF"/>
              </w:rPr>
            </w:pPr>
            <w:hyperlink w:anchor="page6">
              <w:r>
                <w:rPr>
                  <w:rFonts w:ascii="Arial" w:cs="Arial" w:eastAsia="Arial" w:hAnsi="Arial"/>
                  <w:sz w:val="18"/>
                  <w:szCs w:val="18"/>
                  <w:b w:val="1"/>
                  <w:bCs w:val="1"/>
                  <w:color w:val="0000FF"/>
                </w:rPr>
                <w:t>PART II</w:t>
              </w:r>
            </w:hyperlink>
          </w:p>
        </w:tc>
        <w:tc>
          <w:tcPr>
            <w:tcW w:w="4140" w:type="dxa"/>
            <w:vAlign w:val="bottom"/>
            <w:gridSpan w:val="10"/>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r>
      <w:tr>
        <w:trPr>
          <w:trHeight w:val="210"/>
        </w:trPr>
        <w:tc>
          <w:tcPr>
            <w:tcW w:w="7560" w:type="dxa"/>
            <w:vAlign w:val="bottom"/>
            <w:gridSpan w:val="27"/>
          </w:tcPr>
          <w:p>
            <w:pPr>
              <w:spacing w:after="0"/>
              <w:rPr>
                <w:rFonts w:ascii="Arial" w:cs="Arial" w:eastAsia="Arial" w:hAnsi="Arial"/>
                <w:sz w:val="18"/>
                <w:szCs w:val="18"/>
                <w:color w:val="0000FF"/>
                <w:w w:val="93"/>
              </w:rPr>
            </w:pPr>
            <w:hyperlink w:anchor="page35">
              <w:r>
                <w:rPr>
                  <w:rFonts w:ascii="Arial" w:cs="Arial" w:eastAsia="Arial" w:hAnsi="Arial"/>
                  <w:sz w:val="18"/>
                  <w:szCs w:val="18"/>
                  <w:color w:val="0000FF"/>
                  <w:w w:val="93"/>
                </w:rPr>
                <w:t>Market for Registrant’s Common Equity, Related Stockholder Matters and Issuer Purchases of Equity</w:t>
              </w:r>
            </w:hyperlink>
          </w:p>
        </w:tc>
        <w:tc>
          <w:tcPr>
            <w:tcW w:w="360" w:type="dxa"/>
            <w:vAlign w:val="bottom"/>
            <w:gridSpan w:val="3"/>
          </w:tcPr>
          <w:p>
            <w:pPr>
              <w:jc w:val="center"/>
              <w:spacing w:after="0"/>
              <w:rPr>
                <w:rFonts w:ascii="Arial" w:cs="Arial" w:eastAsia="Arial" w:hAnsi="Arial"/>
                <w:sz w:val="18"/>
                <w:szCs w:val="18"/>
                <w:color w:val="0000FF"/>
                <w:w w:val="89"/>
              </w:rPr>
            </w:pPr>
            <w:hyperlink w:anchor="page35">
              <w:r>
                <w:rPr>
                  <w:rFonts w:ascii="Arial" w:cs="Arial" w:eastAsia="Arial" w:hAnsi="Arial"/>
                  <w:sz w:val="18"/>
                  <w:szCs w:val="18"/>
                  <w:color w:val="0000FF"/>
                  <w:w w:val="89"/>
                </w:rPr>
                <w:t>35</w:t>
              </w:r>
            </w:hyperlink>
          </w:p>
        </w:tc>
      </w:tr>
      <w:tr>
        <w:trPr>
          <w:trHeight w:val="155"/>
        </w:trPr>
        <w:tc>
          <w:tcPr>
            <w:tcW w:w="732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w:anchor="page35">
              <w:r>
                <w:rPr>
                  <w:rFonts w:ascii="Arial" w:cs="Arial" w:eastAsia="Arial" w:hAnsi="Arial"/>
                  <w:sz w:val="18"/>
                  <w:szCs w:val="18"/>
                  <w:color w:val="0000FF"/>
                </w:rPr>
                <w:t>Securities</w:t>
              </w:r>
            </w:hyperlink>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r>
      <w:tr>
        <w:trPr>
          <w:trHeight w:val="223"/>
        </w:trPr>
        <w:tc>
          <w:tcPr>
            <w:tcW w:w="72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0000FF"/>
                <w:w w:val="88"/>
              </w:rPr>
              <w:t>Reserved</w:t>
            </w:r>
          </w:p>
        </w:tc>
        <w:tc>
          <w:tcPr>
            <w:tcW w:w="6840" w:type="dxa"/>
            <w:vAlign w:val="bottom"/>
            <w:gridSpan w:val="24"/>
          </w:tcPr>
          <w:p>
            <w:pPr>
              <w:spacing w:after="0"/>
              <w:rPr>
                <w:sz w:val="19"/>
                <w:szCs w:val="19"/>
                <w:color w:val="auto"/>
              </w:rPr>
            </w:pPr>
          </w:p>
        </w:tc>
        <w:tc>
          <w:tcPr>
            <w:tcW w:w="360" w:type="dxa"/>
            <w:vAlign w:val="bottom"/>
            <w:gridSpan w:val="3"/>
          </w:tcPr>
          <w:p>
            <w:pPr>
              <w:jc w:val="center"/>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36</w:t>
              </w:r>
            </w:hyperlink>
          </w:p>
        </w:tc>
      </w:tr>
      <w:tr>
        <w:trPr>
          <w:trHeight w:val="20"/>
        </w:trPr>
        <w:tc>
          <w:tcPr>
            <w:tcW w:w="660" w:type="dxa"/>
            <w:vAlign w:val="bottom"/>
            <w:gridSpan w:val="2"/>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37"/>
        </w:trPr>
        <w:tc>
          <w:tcPr>
            <w:tcW w:w="6460" w:type="dxa"/>
            <w:vAlign w:val="bottom"/>
            <w:gridSpan w:val="24"/>
          </w:tcPr>
          <w:p>
            <w:pPr>
              <w:spacing w:after="0"/>
              <w:rPr>
                <w:rFonts w:ascii="Arial" w:cs="Arial" w:eastAsia="Arial" w:hAnsi="Arial"/>
                <w:sz w:val="18"/>
                <w:szCs w:val="18"/>
                <w:color w:val="0000FF"/>
                <w:w w:val="90"/>
              </w:rPr>
            </w:pPr>
            <w:hyperlink w:anchor="page36">
              <w:r>
                <w:rPr>
                  <w:rFonts w:ascii="Arial" w:cs="Arial" w:eastAsia="Arial" w:hAnsi="Arial"/>
                  <w:sz w:val="18"/>
                  <w:szCs w:val="18"/>
                  <w:color w:val="0000FF"/>
                  <w:w w:val="90"/>
                </w:rPr>
                <w:t>Management’s Discussion and Analysis of Financial Condition and Results of Operations</w:t>
              </w:r>
            </w:hyperlink>
          </w:p>
        </w:tc>
        <w:tc>
          <w:tcPr>
            <w:tcW w:w="1100" w:type="dxa"/>
            <w:vAlign w:val="bottom"/>
            <w:gridSpan w:val="3"/>
          </w:tcPr>
          <w:p>
            <w:pPr>
              <w:spacing w:after="0"/>
              <w:rPr>
                <w:sz w:val="20"/>
                <w:szCs w:val="20"/>
                <w:color w:val="auto"/>
              </w:rPr>
            </w:pPr>
          </w:p>
        </w:tc>
        <w:tc>
          <w:tcPr>
            <w:tcW w:w="360" w:type="dxa"/>
            <w:vAlign w:val="bottom"/>
            <w:gridSpan w:val="3"/>
          </w:tcPr>
          <w:p>
            <w:pPr>
              <w:jc w:val="center"/>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37</w:t>
              </w:r>
            </w:hyperlink>
          </w:p>
        </w:tc>
      </w:tr>
      <w:tr>
        <w:trPr>
          <w:trHeight w:val="20"/>
        </w:trPr>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36"/>
        </w:trPr>
        <w:tc>
          <w:tcPr>
            <w:tcW w:w="4360" w:type="dxa"/>
            <w:vAlign w:val="bottom"/>
            <w:gridSpan w:val="21"/>
          </w:tcPr>
          <w:p>
            <w:pPr>
              <w:spacing w:after="0"/>
              <w:rPr>
                <w:rFonts w:ascii="Arial" w:cs="Arial" w:eastAsia="Arial" w:hAnsi="Arial"/>
                <w:sz w:val="18"/>
                <w:szCs w:val="18"/>
                <w:color w:val="0000FF"/>
                <w:w w:val="92"/>
              </w:rPr>
            </w:pPr>
            <w:hyperlink w:anchor="page48">
              <w:r>
                <w:rPr>
                  <w:rFonts w:ascii="Arial" w:cs="Arial" w:eastAsia="Arial" w:hAnsi="Arial"/>
                  <w:sz w:val="18"/>
                  <w:szCs w:val="18"/>
                  <w:color w:val="0000FF"/>
                  <w:w w:val="92"/>
                </w:rPr>
                <w:t>Quantitative and Qualitative Disclosures About Market Risk</w:t>
              </w:r>
            </w:hyperlink>
          </w:p>
        </w:tc>
        <w:tc>
          <w:tcPr>
            <w:tcW w:w="2100" w:type="dxa"/>
            <w:vAlign w:val="bottom"/>
            <w:gridSpan w:val="3"/>
          </w:tcPr>
          <w:p>
            <w:pPr>
              <w:spacing w:after="0"/>
              <w:rPr>
                <w:sz w:val="20"/>
                <w:szCs w:val="20"/>
                <w:color w:val="auto"/>
              </w:rPr>
            </w:pPr>
          </w:p>
        </w:tc>
        <w:tc>
          <w:tcPr>
            <w:tcW w:w="1100" w:type="dxa"/>
            <w:vAlign w:val="bottom"/>
            <w:gridSpan w:val="3"/>
          </w:tcPr>
          <w:p>
            <w:pPr>
              <w:spacing w:after="0"/>
              <w:rPr>
                <w:sz w:val="20"/>
                <w:szCs w:val="20"/>
                <w:color w:val="auto"/>
              </w:rPr>
            </w:pPr>
          </w:p>
        </w:tc>
        <w:tc>
          <w:tcPr>
            <w:tcW w:w="360" w:type="dxa"/>
            <w:vAlign w:val="bottom"/>
            <w:gridSpan w:val="3"/>
          </w:tcPr>
          <w:p>
            <w:pPr>
              <w:jc w:val="center"/>
              <w:spacing w:after="0"/>
              <w:rPr>
                <w:rFonts w:ascii="Arial" w:cs="Arial" w:eastAsia="Arial" w:hAnsi="Arial"/>
                <w:sz w:val="18"/>
                <w:szCs w:val="18"/>
                <w:color w:val="0000FF"/>
                <w:w w:val="89"/>
              </w:rPr>
            </w:pPr>
            <w:hyperlink w:anchor="page48">
              <w:r>
                <w:rPr>
                  <w:rFonts w:ascii="Arial" w:cs="Arial" w:eastAsia="Arial" w:hAnsi="Arial"/>
                  <w:sz w:val="18"/>
                  <w:szCs w:val="18"/>
                  <w:color w:val="0000FF"/>
                  <w:w w:val="89"/>
                </w:rPr>
                <w:t>49</w:t>
              </w:r>
            </w:hyperlink>
          </w:p>
        </w:tc>
      </w:tr>
      <w:tr>
        <w:trPr>
          <w:trHeight w:val="20"/>
        </w:trPr>
        <w:tc>
          <w:tcPr>
            <w:tcW w:w="132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36"/>
        </w:trPr>
        <w:tc>
          <w:tcPr>
            <w:tcW w:w="4360" w:type="dxa"/>
            <w:vAlign w:val="bottom"/>
            <w:gridSpan w:val="21"/>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Financial Statements and Supplementary Data</w:t>
              </w:r>
            </w:hyperlink>
          </w:p>
        </w:tc>
        <w:tc>
          <w:tcPr>
            <w:tcW w:w="3200" w:type="dxa"/>
            <w:vAlign w:val="bottom"/>
            <w:gridSpan w:val="6"/>
          </w:tcPr>
          <w:p>
            <w:pPr>
              <w:spacing w:after="0"/>
              <w:rPr>
                <w:sz w:val="20"/>
                <w:szCs w:val="20"/>
                <w:color w:val="auto"/>
              </w:rPr>
            </w:pPr>
          </w:p>
        </w:tc>
        <w:tc>
          <w:tcPr>
            <w:tcW w:w="360" w:type="dxa"/>
            <w:vAlign w:val="bottom"/>
            <w:gridSpan w:val="3"/>
          </w:tcPr>
          <w:p>
            <w:pPr>
              <w:jc w:val="center"/>
              <w:spacing w:after="0"/>
              <w:rPr>
                <w:rFonts w:ascii="Arial" w:cs="Arial" w:eastAsia="Arial" w:hAnsi="Arial"/>
                <w:sz w:val="18"/>
                <w:szCs w:val="18"/>
                <w:color w:val="0000FF"/>
                <w:w w:val="89"/>
              </w:rPr>
            </w:pPr>
            <w:hyperlink w:anchor="page49">
              <w:r>
                <w:rPr>
                  <w:rFonts w:ascii="Arial" w:cs="Arial" w:eastAsia="Arial" w:hAnsi="Arial"/>
                  <w:sz w:val="18"/>
                  <w:szCs w:val="18"/>
                  <w:color w:val="0000FF"/>
                  <w:w w:val="89"/>
                </w:rPr>
                <w:t>50</w:t>
              </w:r>
            </w:hyperlink>
          </w:p>
        </w:tc>
      </w:tr>
      <w:tr>
        <w:trPr>
          <w:trHeight w:val="20"/>
        </w:trPr>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37"/>
        </w:trPr>
        <w:tc>
          <w:tcPr>
            <w:tcW w:w="7560" w:type="dxa"/>
            <w:vAlign w:val="bottom"/>
            <w:gridSpan w:val="27"/>
          </w:tcPr>
          <w:p>
            <w:pPr>
              <w:spacing w:after="0"/>
              <w:rPr>
                <w:rFonts w:ascii="Arial" w:cs="Arial" w:eastAsia="Arial" w:hAnsi="Arial"/>
                <w:sz w:val="18"/>
                <w:szCs w:val="18"/>
                <w:color w:val="0000FF"/>
              </w:rPr>
            </w:pPr>
            <w:hyperlink w:anchor="page83">
              <w:r>
                <w:rPr>
                  <w:rFonts w:ascii="Arial" w:cs="Arial" w:eastAsia="Arial" w:hAnsi="Arial"/>
                  <w:sz w:val="18"/>
                  <w:szCs w:val="18"/>
                  <w:color w:val="0000FF"/>
                </w:rPr>
                <w:t>Changes in and Disagreements With Accountants on Accounting and Financial Disclosure</w:t>
              </w:r>
            </w:hyperlink>
          </w:p>
        </w:tc>
        <w:tc>
          <w:tcPr>
            <w:tcW w:w="360" w:type="dxa"/>
            <w:vAlign w:val="bottom"/>
            <w:gridSpan w:val="3"/>
          </w:tcPr>
          <w:p>
            <w:pPr>
              <w:jc w:val="center"/>
              <w:spacing w:after="0"/>
              <w:rPr>
                <w:rFonts w:ascii="Arial" w:cs="Arial" w:eastAsia="Arial" w:hAnsi="Arial"/>
                <w:sz w:val="18"/>
                <w:szCs w:val="18"/>
                <w:color w:val="0000FF"/>
                <w:w w:val="89"/>
              </w:rPr>
            </w:pPr>
            <w:hyperlink w:anchor="page83">
              <w:r>
                <w:rPr>
                  <w:rFonts w:ascii="Arial" w:cs="Arial" w:eastAsia="Arial" w:hAnsi="Arial"/>
                  <w:sz w:val="18"/>
                  <w:szCs w:val="18"/>
                  <w:color w:val="0000FF"/>
                  <w:w w:val="89"/>
                </w:rPr>
                <w:t>84</w:t>
              </w:r>
            </w:hyperlink>
          </w:p>
        </w:tc>
      </w:tr>
      <w:tr>
        <w:trPr>
          <w:trHeight w:val="20"/>
        </w:trPr>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37"/>
        </w:trPr>
        <w:tc>
          <w:tcPr>
            <w:tcW w:w="6460" w:type="dxa"/>
            <w:vAlign w:val="bottom"/>
            <w:gridSpan w:val="24"/>
          </w:tcPr>
          <w:p>
            <w:pPr>
              <w:spacing w:after="0"/>
              <w:rPr>
                <w:rFonts w:ascii="Arial" w:cs="Arial" w:eastAsia="Arial" w:hAnsi="Arial"/>
                <w:sz w:val="18"/>
                <w:szCs w:val="18"/>
                <w:color w:val="0000FF"/>
              </w:rPr>
            </w:pPr>
            <w:hyperlink w:anchor="page84">
              <w:r>
                <w:rPr>
                  <w:rFonts w:ascii="Arial" w:cs="Arial" w:eastAsia="Arial" w:hAnsi="Arial"/>
                  <w:sz w:val="18"/>
                  <w:szCs w:val="18"/>
                  <w:color w:val="0000FF"/>
                </w:rPr>
                <w:t>Controls and Procedures</w:t>
              </w:r>
            </w:hyperlink>
          </w:p>
        </w:tc>
        <w:tc>
          <w:tcPr>
            <w:tcW w:w="1100" w:type="dxa"/>
            <w:vAlign w:val="bottom"/>
            <w:gridSpan w:val="3"/>
          </w:tcPr>
          <w:p>
            <w:pPr>
              <w:spacing w:after="0"/>
              <w:rPr>
                <w:sz w:val="20"/>
                <w:szCs w:val="20"/>
                <w:color w:val="auto"/>
              </w:rPr>
            </w:pPr>
          </w:p>
        </w:tc>
        <w:tc>
          <w:tcPr>
            <w:tcW w:w="360" w:type="dxa"/>
            <w:vAlign w:val="bottom"/>
            <w:gridSpan w:val="3"/>
          </w:tcPr>
          <w:p>
            <w:pPr>
              <w:jc w:val="center"/>
              <w:spacing w:after="0"/>
              <w:rPr>
                <w:rFonts w:ascii="Arial" w:cs="Arial" w:eastAsia="Arial" w:hAnsi="Arial"/>
                <w:sz w:val="18"/>
                <w:szCs w:val="18"/>
                <w:color w:val="0000FF"/>
                <w:w w:val="89"/>
              </w:rPr>
            </w:pPr>
            <w:hyperlink w:anchor="page84">
              <w:r>
                <w:rPr>
                  <w:rFonts w:ascii="Arial" w:cs="Arial" w:eastAsia="Arial" w:hAnsi="Arial"/>
                  <w:sz w:val="18"/>
                  <w:szCs w:val="18"/>
                  <w:color w:val="0000FF"/>
                  <w:w w:val="89"/>
                </w:rPr>
                <w:t>84</w:t>
              </w:r>
            </w:hyperlink>
          </w:p>
        </w:tc>
      </w:tr>
      <w:tr>
        <w:trPr>
          <w:trHeight w:val="20"/>
        </w:trPr>
        <w:tc>
          <w:tcPr>
            <w:tcW w:w="132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36"/>
        </w:trPr>
        <w:tc>
          <w:tcPr>
            <w:tcW w:w="1320" w:type="dxa"/>
            <w:vAlign w:val="bottom"/>
            <w:gridSpan w:val="5"/>
          </w:tcPr>
          <w:p>
            <w:pPr>
              <w:spacing w:after="0"/>
              <w:rPr>
                <w:rFonts w:ascii="Arial" w:cs="Arial" w:eastAsia="Arial" w:hAnsi="Arial"/>
                <w:sz w:val="18"/>
                <w:szCs w:val="18"/>
                <w:color w:val="0000FF"/>
                <w:w w:val="91"/>
              </w:rPr>
            </w:pPr>
            <w:hyperlink w:anchor="page86">
              <w:r>
                <w:rPr>
                  <w:rFonts w:ascii="Arial" w:cs="Arial" w:eastAsia="Arial" w:hAnsi="Arial"/>
                  <w:sz w:val="18"/>
                  <w:szCs w:val="18"/>
                  <w:color w:val="0000FF"/>
                  <w:w w:val="91"/>
                </w:rPr>
                <w:t>Other Information</w:t>
              </w:r>
            </w:hyperlink>
          </w:p>
        </w:tc>
        <w:tc>
          <w:tcPr>
            <w:tcW w:w="440" w:type="dxa"/>
            <w:vAlign w:val="bottom"/>
            <w:gridSpan w:val="2"/>
          </w:tcPr>
          <w:p>
            <w:pPr>
              <w:spacing w:after="0"/>
              <w:rPr>
                <w:sz w:val="20"/>
                <w:szCs w:val="20"/>
                <w:color w:val="auto"/>
              </w:rPr>
            </w:pPr>
          </w:p>
        </w:tc>
        <w:tc>
          <w:tcPr>
            <w:tcW w:w="5800" w:type="dxa"/>
            <w:vAlign w:val="bottom"/>
            <w:gridSpan w:val="20"/>
          </w:tcPr>
          <w:p>
            <w:pPr>
              <w:spacing w:after="0"/>
              <w:rPr>
                <w:sz w:val="20"/>
                <w:szCs w:val="20"/>
                <w:color w:val="auto"/>
              </w:rPr>
            </w:pPr>
          </w:p>
        </w:tc>
        <w:tc>
          <w:tcPr>
            <w:tcW w:w="360" w:type="dxa"/>
            <w:vAlign w:val="bottom"/>
            <w:gridSpan w:val="3"/>
          </w:tcPr>
          <w:p>
            <w:pPr>
              <w:jc w:val="center"/>
              <w:spacing w:after="0"/>
              <w:rPr>
                <w:rFonts w:ascii="Arial" w:cs="Arial" w:eastAsia="Arial" w:hAnsi="Arial"/>
                <w:sz w:val="18"/>
                <w:szCs w:val="18"/>
                <w:color w:val="0000FF"/>
                <w:w w:val="89"/>
              </w:rPr>
            </w:pPr>
            <w:hyperlink w:anchor="page86">
              <w:r>
                <w:rPr>
                  <w:rFonts w:ascii="Arial" w:cs="Arial" w:eastAsia="Arial" w:hAnsi="Arial"/>
                  <w:sz w:val="18"/>
                  <w:szCs w:val="18"/>
                  <w:color w:val="0000FF"/>
                  <w:w w:val="89"/>
                </w:rPr>
                <w:t>87</w:t>
              </w:r>
            </w:hyperlink>
          </w:p>
        </w:tc>
      </w:tr>
      <w:tr>
        <w:trPr>
          <w:trHeight w:val="20"/>
        </w:trPr>
        <w:tc>
          <w:tcPr>
            <w:tcW w:w="1320" w:type="dxa"/>
            <w:vAlign w:val="bottom"/>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50"/>
        </w:trPr>
        <w:tc>
          <w:tcPr>
            <w:tcW w:w="4900" w:type="dxa"/>
            <w:vAlign w:val="bottom"/>
            <w:gridSpan w:val="22"/>
          </w:tcPr>
          <w:p>
            <w:pPr>
              <w:spacing w:after="0"/>
              <w:rPr>
                <w:rFonts w:ascii="Arial" w:cs="Arial" w:eastAsia="Arial" w:hAnsi="Arial"/>
                <w:sz w:val="18"/>
                <w:szCs w:val="18"/>
                <w:color w:val="0000FF"/>
                <w:w w:val="90"/>
              </w:rPr>
            </w:pPr>
            <w:hyperlink w:anchor="page87">
              <w:r>
                <w:rPr>
                  <w:rFonts w:ascii="Arial" w:cs="Arial" w:eastAsia="Arial" w:hAnsi="Arial"/>
                  <w:sz w:val="18"/>
                  <w:szCs w:val="18"/>
                  <w:color w:val="0000FF"/>
                  <w:w w:val="90"/>
                </w:rPr>
                <w:t>Disclosure Regarding Foreign Jurisdictions that Prevent Inspections</w:t>
              </w:r>
            </w:hyperlink>
          </w:p>
        </w:tc>
        <w:tc>
          <w:tcPr>
            <w:tcW w:w="2660" w:type="dxa"/>
            <w:vAlign w:val="bottom"/>
            <w:gridSpan w:val="5"/>
          </w:tcPr>
          <w:p>
            <w:pPr>
              <w:spacing w:after="0"/>
              <w:rPr>
                <w:sz w:val="21"/>
                <w:szCs w:val="21"/>
                <w:color w:val="auto"/>
              </w:rPr>
            </w:pPr>
          </w:p>
        </w:tc>
        <w:tc>
          <w:tcPr>
            <w:tcW w:w="360" w:type="dxa"/>
            <w:vAlign w:val="bottom"/>
            <w:gridSpan w:val="3"/>
          </w:tcPr>
          <w:p>
            <w:pPr>
              <w:jc w:val="center"/>
              <w:spacing w:after="0"/>
              <w:rPr>
                <w:rFonts w:ascii="Arial" w:cs="Arial" w:eastAsia="Arial" w:hAnsi="Arial"/>
                <w:sz w:val="18"/>
                <w:szCs w:val="18"/>
                <w:color w:val="0000FF"/>
                <w:w w:val="89"/>
              </w:rPr>
            </w:pPr>
            <w:hyperlink w:anchor="page86">
              <w:r>
                <w:rPr>
                  <w:rFonts w:ascii="Arial" w:cs="Arial" w:eastAsia="Arial" w:hAnsi="Arial"/>
                  <w:sz w:val="18"/>
                  <w:szCs w:val="18"/>
                  <w:color w:val="0000FF"/>
                  <w:w w:val="89"/>
                </w:rPr>
                <w:t>87</w:t>
              </w:r>
            </w:hyperlink>
          </w:p>
        </w:tc>
      </w:tr>
      <w:tr>
        <w:trPr>
          <w:trHeight w:val="439"/>
        </w:trPr>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740" w:type="dxa"/>
            <w:vAlign w:val="bottom"/>
            <w:tcBorders>
              <w:top w:val="single" w:sz="8" w:color="0000FF"/>
              <w:bottom w:val="single" w:sz="8" w:color="0000FF"/>
            </w:tcBorders>
            <w:gridSpan w:val="9"/>
          </w:tcPr>
          <w:p>
            <w:pPr>
              <w:jc w:val="center"/>
              <w:ind w:right="20"/>
              <w:spacing w:after="0"/>
              <w:rPr>
                <w:rFonts w:ascii="Arial" w:cs="Arial" w:eastAsia="Arial" w:hAnsi="Arial"/>
                <w:sz w:val="18"/>
                <w:szCs w:val="18"/>
                <w:b w:val="1"/>
                <w:bCs w:val="1"/>
                <w:color w:val="0000FF"/>
              </w:rPr>
            </w:pPr>
            <w:hyperlink w:anchor="page87">
              <w:r>
                <w:rPr>
                  <w:rFonts w:ascii="Arial" w:cs="Arial" w:eastAsia="Arial" w:hAnsi="Arial"/>
                  <w:sz w:val="18"/>
                  <w:szCs w:val="18"/>
                  <w:b w:val="1"/>
                  <w:bCs w:val="1"/>
                  <w:color w:val="0000FF"/>
                </w:rPr>
                <w:t>PART III</w:t>
              </w:r>
            </w:hyperlink>
          </w:p>
        </w:tc>
        <w:tc>
          <w:tcPr>
            <w:tcW w:w="1440" w:type="dxa"/>
            <w:vAlign w:val="bottom"/>
            <w:tcBorders>
              <w:top w:val="single" w:sz="8" w:color="0000FF"/>
            </w:tcBorders>
            <w:gridSpan w:val="3"/>
          </w:tcPr>
          <w:p>
            <w:pPr>
              <w:spacing w:after="0"/>
              <w:rPr>
                <w:sz w:val="24"/>
                <w:szCs w:val="24"/>
                <w:color w:val="auto"/>
              </w:rPr>
            </w:pPr>
          </w:p>
        </w:tc>
        <w:tc>
          <w:tcPr>
            <w:tcW w:w="2660" w:type="dxa"/>
            <w:vAlign w:val="bottom"/>
            <w:gridSpan w:val="5"/>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r>
      <w:tr>
        <w:trPr>
          <w:trHeight w:val="210"/>
        </w:trPr>
        <w:tc>
          <w:tcPr>
            <w:tcW w:w="4100" w:type="dxa"/>
            <w:vAlign w:val="bottom"/>
            <w:gridSpan w:val="20"/>
          </w:tcPr>
          <w:p>
            <w:pPr>
              <w:spacing w:after="0"/>
              <w:rPr>
                <w:rFonts w:ascii="Arial" w:cs="Arial" w:eastAsia="Arial" w:hAnsi="Arial"/>
                <w:sz w:val="18"/>
                <w:szCs w:val="18"/>
                <w:color w:val="0000FF"/>
                <w:w w:val="90"/>
              </w:rPr>
            </w:pPr>
            <w:hyperlink w:anchor="page88">
              <w:r>
                <w:rPr>
                  <w:rFonts w:ascii="Arial" w:cs="Arial" w:eastAsia="Arial" w:hAnsi="Arial"/>
                  <w:sz w:val="18"/>
                  <w:szCs w:val="18"/>
                  <w:color w:val="0000FF"/>
                  <w:w w:val="90"/>
                </w:rPr>
                <w:t>Directors, Executive Officers and Corporate Governance</w:t>
              </w:r>
            </w:hyperlink>
          </w:p>
        </w:tc>
        <w:tc>
          <w:tcPr>
            <w:tcW w:w="3460" w:type="dxa"/>
            <w:vAlign w:val="bottom"/>
            <w:gridSpan w:val="7"/>
          </w:tcPr>
          <w:p>
            <w:pPr>
              <w:spacing w:after="0"/>
              <w:rPr>
                <w:sz w:val="18"/>
                <w:szCs w:val="18"/>
                <w:color w:val="auto"/>
              </w:rPr>
            </w:pPr>
          </w:p>
        </w:tc>
        <w:tc>
          <w:tcPr>
            <w:tcW w:w="360" w:type="dxa"/>
            <w:vAlign w:val="bottom"/>
            <w:gridSpan w:val="3"/>
          </w:tcPr>
          <w:p>
            <w:pPr>
              <w:jc w:val="center"/>
              <w:spacing w:after="0"/>
              <w:rPr>
                <w:rFonts w:ascii="Arial" w:cs="Arial" w:eastAsia="Arial" w:hAnsi="Arial"/>
                <w:sz w:val="18"/>
                <w:szCs w:val="18"/>
                <w:color w:val="0000FF"/>
                <w:w w:val="89"/>
              </w:rPr>
            </w:pPr>
            <w:hyperlink w:anchor="page88">
              <w:r>
                <w:rPr>
                  <w:rFonts w:ascii="Arial" w:cs="Arial" w:eastAsia="Arial" w:hAnsi="Arial"/>
                  <w:sz w:val="18"/>
                  <w:szCs w:val="18"/>
                  <w:color w:val="0000FF"/>
                  <w:w w:val="89"/>
                </w:rPr>
                <w:t>88</w:t>
              </w:r>
            </w:hyperlink>
          </w:p>
        </w:tc>
      </w:tr>
      <w:tr>
        <w:trPr>
          <w:trHeight w:val="20"/>
        </w:trPr>
        <w:tc>
          <w:tcPr>
            <w:tcW w:w="154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37"/>
        </w:trPr>
        <w:tc>
          <w:tcPr>
            <w:tcW w:w="4100" w:type="dxa"/>
            <w:vAlign w:val="bottom"/>
            <w:gridSpan w:val="20"/>
          </w:tcPr>
          <w:p>
            <w:pPr>
              <w:spacing w:after="0"/>
              <w:rPr>
                <w:rFonts w:ascii="Arial" w:cs="Arial" w:eastAsia="Arial" w:hAnsi="Arial"/>
                <w:sz w:val="18"/>
                <w:szCs w:val="18"/>
                <w:color w:val="0000FF"/>
              </w:rPr>
            </w:pPr>
            <w:hyperlink w:anchor="page88">
              <w:r>
                <w:rPr>
                  <w:rFonts w:ascii="Arial" w:cs="Arial" w:eastAsia="Arial" w:hAnsi="Arial"/>
                  <w:sz w:val="18"/>
                  <w:szCs w:val="18"/>
                  <w:color w:val="0000FF"/>
                </w:rPr>
                <w:t>Executive Compensation</w:t>
              </w:r>
            </w:hyperlink>
          </w:p>
        </w:tc>
        <w:tc>
          <w:tcPr>
            <w:tcW w:w="3460" w:type="dxa"/>
            <w:vAlign w:val="bottom"/>
            <w:gridSpan w:val="7"/>
          </w:tcPr>
          <w:p>
            <w:pPr>
              <w:spacing w:after="0"/>
              <w:rPr>
                <w:sz w:val="20"/>
                <w:szCs w:val="20"/>
                <w:color w:val="auto"/>
              </w:rPr>
            </w:pPr>
          </w:p>
        </w:tc>
        <w:tc>
          <w:tcPr>
            <w:tcW w:w="360" w:type="dxa"/>
            <w:vAlign w:val="bottom"/>
            <w:gridSpan w:val="3"/>
          </w:tcPr>
          <w:p>
            <w:pPr>
              <w:jc w:val="center"/>
              <w:spacing w:after="0"/>
              <w:rPr>
                <w:rFonts w:ascii="Arial" w:cs="Arial" w:eastAsia="Arial" w:hAnsi="Arial"/>
                <w:sz w:val="18"/>
                <w:szCs w:val="18"/>
                <w:color w:val="0000FF"/>
                <w:w w:val="89"/>
              </w:rPr>
            </w:pPr>
            <w:hyperlink w:anchor="page88">
              <w:r>
                <w:rPr>
                  <w:rFonts w:ascii="Arial" w:cs="Arial" w:eastAsia="Arial" w:hAnsi="Arial"/>
                  <w:sz w:val="18"/>
                  <w:szCs w:val="18"/>
                  <w:color w:val="0000FF"/>
                  <w:w w:val="89"/>
                </w:rPr>
                <w:t>88</w:t>
              </w:r>
            </w:hyperlink>
          </w:p>
        </w:tc>
      </w:tr>
      <w:tr>
        <w:trPr>
          <w:trHeight w:val="20"/>
        </w:trPr>
        <w:tc>
          <w:tcPr>
            <w:tcW w:w="154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36"/>
        </w:trPr>
        <w:tc>
          <w:tcPr>
            <w:tcW w:w="7560" w:type="dxa"/>
            <w:vAlign w:val="bottom"/>
            <w:gridSpan w:val="27"/>
          </w:tcPr>
          <w:p>
            <w:pPr>
              <w:spacing w:after="0"/>
              <w:rPr>
                <w:rFonts w:ascii="Arial" w:cs="Arial" w:eastAsia="Arial" w:hAnsi="Arial"/>
                <w:sz w:val="18"/>
                <w:szCs w:val="18"/>
                <w:color w:val="0000FF"/>
                <w:w w:val="94"/>
              </w:rPr>
            </w:pPr>
            <w:hyperlink w:anchor="page88">
              <w:r>
                <w:rPr>
                  <w:rFonts w:ascii="Arial" w:cs="Arial" w:eastAsia="Arial" w:hAnsi="Arial"/>
                  <w:sz w:val="18"/>
                  <w:szCs w:val="18"/>
                  <w:color w:val="0000FF"/>
                  <w:w w:val="94"/>
                </w:rPr>
                <w:t>Security Ownership of Certain Beneficial Owners and Management and Related Stockholder Matters</w:t>
              </w:r>
            </w:hyperlink>
          </w:p>
        </w:tc>
        <w:tc>
          <w:tcPr>
            <w:tcW w:w="360" w:type="dxa"/>
            <w:vAlign w:val="bottom"/>
            <w:gridSpan w:val="3"/>
          </w:tcPr>
          <w:p>
            <w:pPr>
              <w:jc w:val="center"/>
              <w:spacing w:after="0"/>
              <w:rPr>
                <w:rFonts w:ascii="Arial" w:cs="Arial" w:eastAsia="Arial" w:hAnsi="Arial"/>
                <w:sz w:val="18"/>
                <w:szCs w:val="18"/>
                <w:color w:val="0000FF"/>
                <w:w w:val="89"/>
              </w:rPr>
            </w:pPr>
            <w:hyperlink w:anchor="page88">
              <w:r>
                <w:rPr>
                  <w:rFonts w:ascii="Arial" w:cs="Arial" w:eastAsia="Arial" w:hAnsi="Arial"/>
                  <w:sz w:val="18"/>
                  <w:szCs w:val="18"/>
                  <w:color w:val="0000FF"/>
                  <w:w w:val="89"/>
                </w:rPr>
                <w:t>88</w:t>
              </w:r>
            </w:hyperlink>
          </w:p>
        </w:tc>
      </w:tr>
      <w:tr>
        <w:trPr>
          <w:trHeight w:val="20"/>
        </w:trPr>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37"/>
        </w:trPr>
        <w:tc>
          <w:tcPr>
            <w:tcW w:w="7280" w:type="dxa"/>
            <w:vAlign w:val="bottom"/>
            <w:gridSpan w:val="25"/>
          </w:tcPr>
          <w:p>
            <w:pPr>
              <w:spacing w:after="0"/>
              <w:rPr>
                <w:rFonts w:ascii="Arial" w:cs="Arial" w:eastAsia="Arial" w:hAnsi="Arial"/>
                <w:sz w:val="18"/>
                <w:szCs w:val="18"/>
                <w:color w:val="0000FF"/>
              </w:rPr>
            </w:pPr>
            <w:hyperlink w:anchor="page88">
              <w:r>
                <w:rPr>
                  <w:rFonts w:ascii="Arial" w:cs="Arial" w:eastAsia="Arial" w:hAnsi="Arial"/>
                  <w:sz w:val="18"/>
                  <w:szCs w:val="18"/>
                  <w:color w:val="0000FF"/>
                </w:rPr>
                <w:t>Certain Relationships and Related Transactions, and Director Independence</w:t>
              </w:r>
            </w:hyperlink>
          </w:p>
        </w:tc>
        <w:tc>
          <w:tcPr>
            <w:tcW w:w="280" w:type="dxa"/>
            <w:vAlign w:val="bottom"/>
            <w:gridSpan w:val="2"/>
          </w:tcPr>
          <w:p>
            <w:pPr>
              <w:spacing w:after="0"/>
              <w:rPr>
                <w:sz w:val="20"/>
                <w:szCs w:val="20"/>
                <w:color w:val="auto"/>
              </w:rPr>
            </w:pPr>
          </w:p>
        </w:tc>
        <w:tc>
          <w:tcPr>
            <w:tcW w:w="360" w:type="dxa"/>
            <w:vAlign w:val="bottom"/>
            <w:gridSpan w:val="3"/>
          </w:tcPr>
          <w:p>
            <w:pPr>
              <w:jc w:val="center"/>
              <w:spacing w:after="0"/>
              <w:rPr>
                <w:rFonts w:ascii="Arial" w:cs="Arial" w:eastAsia="Arial" w:hAnsi="Arial"/>
                <w:sz w:val="18"/>
                <w:szCs w:val="18"/>
                <w:color w:val="0000FF"/>
                <w:w w:val="89"/>
              </w:rPr>
            </w:pPr>
            <w:hyperlink w:anchor="page88">
              <w:r>
                <w:rPr>
                  <w:rFonts w:ascii="Arial" w:cs="Arial" w:eastAsia="Arial" w:hAnsi="Arial"/>
                  <w:sz w:val="18"/>
                  <w:szCs w:val="18"/>
                  <w:color w:val="0000FF"/>
                  <w:w w:val="89"/>
                </w:rPr>
                <w:t>88</w:t>
              </w:r>
            </w:hyperlink>
          </w:p>
        </w:tc>
      </w:tr>
      <w:tr>
        <w:trPr>
          <w:trHeight w:val="20"/>
        </w:trPr>
        <w:tc>
          <w:tcPr>
            <w:tcW w:w="1540" w:type="dxa"/>
            <w:vAlign w:val="bottom"/>
            <w:gridSpan w:val="6"/>
            <w:shd w:val="clear" w:color="auto" w:fill="0000FF"/>
          </w:tcPr>
          <w:p>
            <w:pPr>
              <w:spacing w:after="0" w:line="20" w:lineRule="exact"/>
              <w:rPr>
                <w:sz w:val="1"/>
                <w:szCs w:val="1"/>
                <w:color w:val="auto"/>
              </w:rPr>
            </w:pPr>
          </w:p>
        </w:tc>
        <w:tc>
          <w:tcPr>
            <w:tcW w:w="1200" w:type="dxa"/>
            <w:vAlign w:val="bottom"/>
            <w:gridSpan w:val="5"/>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2000" w:type="dxa"/>
            <w:vAlign w:val="bottom"/>
            <w:gridSpan w:val="5"/>
            <w:shd w:val="clear" w:color="auto" w:fill="0000FF"/>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36"/>
        </w:trPr>
        <w:tc>
          <w:tcPr>
            <w:tcW w:w="2860" w:type="dxa"/>
            <w:vAlign w:val="bottom"/>
            <w:gridSpan w:val="13"/>
          </w:tcPr>
          <w:p>
            <w:pPr>
              <w:spacing w:after="0"/>
              <w:rPr>
                <w:rFonts w:ascii="Arial" w:cs="Arial" w:eastAsia="Arial" w:hAnsi="Arial"/>
                <w:sz w:val="18"/>
                <w:szCs w:val="18"/>
                <w:color w:val="0000FF"/>
                <w:w w:val="88"/>
              </w:rPr>
            </w:pPr>
            <w:hyperlink w:anchor="page88">
              <w:r>
                <w:rPr>
                  <w:rFonts w:ascii="Arial" w:cs="Arial" w:eastAsia="Arial" w:hAnsi="Arial"/>
                  <w:sz w:val="18"/>
                  <w:szCs w:val="18"/>
                  <w:color w:val="0000FF"/>
                  <w:w w:val="88"/>
                </w:rPr>
                <w:t>Principal Accountant Fees and Services</w:t>
              </w:r>
            </w:hyperlink>
          </w:p>
        </w:tc>
        <w:tc>
          <w:tcPr>
            <w:tcW w:w="2580" w:type="dxa"/>
            <w:vAlign w:val="bottom"/>
            <w:gridSpan w:val="10"/>
          </w:tcPr>
          <w:p>
            <w:pPr>
              <w:spacing w:after="0"/>
              <w:rPr>
                <w:sz w:val="20"/>
                <w:szCs w:val="20"/>
                <w:color w:val="auto"/>
              </w:rPr>
            </w:pPr>
          </w:p>
        </w:tc>
        <w:tc>
          <w:tcPr>
            <w:tcW w:w="2120" w:type="dxa"/>
            <w:vAlign w:val="bottom"/>
            <w:gridSpan w:val="4"/>
          </w:tcPr>
          <w:p>
            <w:pPr>
              <w:spacing w:after="0"/>
              <w:rPr>
                <w:sz w:val="20"/>
                <w:szCs w:val="20"/>
                <w:color w:val="auto"/>
              </w:rPr>
            </w:pPr>
          </w:p>
        </w:tc>
        <w:tc>
          <w:tcPr>
            <w:tcW w:w="360" w:type="dxa"/>
            <w:vAlign w:val="bottom"/>
            <w:gridSpan w:val="3"/>
          </w:tcPr>
          <w:p>
            <w:pPr>
              <w:jc w:val="center"/>
              <w:spacing w:after="0"/>
              <w:rPr>
                <w:rFonts w:ascii="Arial" w:cs="Arial" w:eastAsia="Arial" w:hAnsi="Arial"/>
                <w:sz w:val="18"/>
                <w:szCs w:val="18"/>
                <w:color w:val="0000FF"/>
                <w:w w:val="89"/>
              </w:rPr>
            </w:pPr>
            <w:hyperlink w:anchor="page88">
              <w:r>
                <w:rPr>
                  <w:rFonts w:ascii="Arial" w:cs="Arial" w:eastAsia="Arial" w:hAnsi="Arial"/>
                  <w:sz w:val="18"/>
                  <w:szCs w:val="18"/>
                  <w:color w:val="0000FF"/>
                  <w:w w:val="89"/>
                </w:rPr>
                <w:t>88</w:t>
              </w:r>
            </w:hyperlink>
          </w:p>
        </w:tc>
      </w:tr>
      <w:tr>
        <w:trPr>
          <w:trHeight w:val="20"/>
        </w:trPr>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439"/>
        </w:trPr>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20" w:type="dxa"/>
            <w:vAlign w:val="bottom"/>
            <w:gridSpan w:val="16"/>
          </w:tcPr>
          <w:p>
            <w:pPr>
              <w:jc w:val="center"/>
              <w:ind w:right="4120"/>
              <w:spacing w:after="0"/>
              <w:rPr>
                <w:rFonts w:ascii="Arial" w:cs="Arial" w:eastAsia="Arial" w:hAnsi="Arial"/>
                <w:sz w:val="18"/>
                <w:szCs w:val="18"/>
                <w:b w:val="1"/>
                <w:bCs w:val="1"/>
                <w:color w:val="0000FF"/>
                <w:w w:val="98"/>
              </w:rPr>
            </w:pPr>
            <w:hyperlink w:anchor="page88">
              <w:r>
                <w:rPr>
                  <w:rFonts w:ascii="Arial" w:cs="Arial" w:eastAsia="Arial" w:hAnsi="Arial"/>
                  <w:sz w:val="18"/>
                  <w:szCs w:val="18"/>
                  <w:b w:val="1"/>
                  <w:bCs w:val="1"/>
                  <w:color w:val="0000FF"/>
                  <w:w w:val="98"/>
                </w:rPr>
                <w:t>PART IV</w:t>
              </w:r>
            </w:hyperlink>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
        </w:trPr>
        <w:tc>
          <w:tcPr>
            <w:tcW w:w="1540" w:type="dxa"/>
            <w:vAlign w:val="bottom"/>
            <w:gridSpan w:val="6"/>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4120" w:type="dxa"/>
            <w:vAlign w:val="bottom"/>
            <w:gridSpan w:val="9"/>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r>
      <w:tr>
        <w:trPr>
          <w:trHeight w:val="236"/>
        </w:trPr>
        <w:tc>
          <w:tcPr>
            <w:tcW w:w="3160" w:type="dxa"/>
            <w:vAlign w:val="bottom"/>
            <w:gridSpan w:val="14"/>
          </w:tcPr>
          <w:p>
            <w:pPr>
              <w:spacing w:after="0"/>
              <w:rPr>
                <w:rFonts w:ascii="Arial" w:cs="Arial" w:eastAsia="Arial" w:hAnsi="Arial"/>
                <w:sz w:val="18"/>
                <w:szCs w:val="18"/>
                <w:color w:val="0000FF"/>
                <w:w w:val="89"/>
              </w:rPr>
            </w:pPr>
            <w:hyperlink w:anchor="page89">
              <w:r>
                <w:rPr>
                  <w:rFonts w:ascii="Arial" w:cs="Arial" w:eastAsia="Arial" w:hAnsi="Arial"/>
                  <w:sz w:val="18"/>
                  <w:szCs w:val="18"/>
                  <w:color w:val="0000FF"/>
                  <w:w w:val="89"/>
                </w:rPr>
                <w:t>Exhibits and Financial Statement Schedules</w:t>
              </w:r>
            </w:hyperlink>
          </w:p>
        </w:tc>
        <w:tc>
          <w:tcPr>
            <w:tcW w:w="4400" w:type="dxa"/>
            <w:vAlign w:val="bottom"/>
            <w:gridSpan w:val="13"/>
          </w:tcPr>
          <w:p>
            <w:pPr>
              <w:spacing w:after="0"/>
              <w:rPr>
                <w:sz w:val="20"/>
                <w:szCs w:val="20"/>
                <w:color w:val="auto"/>
              </w:rPr>
            </w:pPr>
          </w:p>
        </w:tc>
        <w:tc>
          <w:tcPr>
            <w:tcW w:w="360" w:type="dxa"/>
            <w:vAlign w:val="bottom"/>
            <w:gridSpan w:val="3"/>
          </w:tcPr>
          <w:p>
            <w:pPr>
              <w:jc w:val="center"/>
              <w:spacing w:after="0"/>
              <w:rPr>
                <w:rFonts w:ascii="Arial" w:cs="Arial" w:eastAsia="Arial" w:hAnsi="Arial"/>
                <w:sz w:val="18"/>
                <w:szCs w:val="18"/>
                <w:color w:val="0000FF"/>
                <w:w w:val="89"/>
              </w:rPr>
            </w:pPr>
            <w:hyperlink w:anchor="page89">
              <w:r>
                <w:rPr>
                  <w:rFonts w:ascii="Arial" w:cs="Arial" w:eastAsia="Arial" w:hAnsi="Arial"/>
                  <w:sz w:val="18"/>
                  <w:szCs w:val="18"/>
                  <w:color w:val="0000FF"/>
                  <w:w w:val="89"/>
                </w:rPr>
                <w:t>89</w:t>
              </w:r>
            </w:hyperlink>
          </w:p>
        </w:tc>
      </w:tr>
      <w:tr>
        <w:trPr>
          <w:trHeight w:val="20"/>
        </w:trPr>
        <w:tc>
          <w:tcPr>
            <w:tcW w:w="1540" w:type="dxa"/>
            <w:vAlign w:val="bottom"/>
            <w:gridSpan w:val="6"/>
            <w:shd w:val="clear" w:color="auto" w:fill="0000FF"/>
          </w:tcPr>
          <w:p>
            <w:pPr>
              <w:spacing w:after="0" w:line="20" w:lineRule="exact"/>
              <w:rPr>
                <w:sz w:val="1"/>
                <w:szCs w:val="1"/>
                <w:color w:val="auto"/>
              </w:rPr>
            </w:pPr>
          </w:p>
        </w:tc>
        <w:tc>
          <w:tcPr>
            <w:tcW w:w="1620" w:type="dxa"/>
            <w:vAlign w:val="bottom"/>
            <w:gridSpan w:val="8"/>
            <w:shd w:val="clear" w:color="auto" w:fill="0000FF"/>
          </w:tcPr>
          <w:p>
            <w:pPr>
              <w:spacing w:after="0" w:line="20" w:lineRule="exact"/>
              <w:rPr>
                <w:sz w:val="1"/>
                <w:szCs w:val="1"/>
                <w:color w:val="auto"/>
              </w:rPr>
            </w:pPr>
          </w:p>
        </w:tc>
        <w:tc>
          <w:tcPr>
            <w:tcW w:w="4400" w:type="dxa"/>
            <w:vAlign w:val="bottom"/>
            <w:gridSpan w:val="13"/>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37"/>
        </w:trPr>
        <w:tc>
          <w:tcPr>
            <w:tcW w:w="3160" w:type="dxa"/>
            <w:vAlign w:val="bottom"/>
            <w:gridSpan w:val="14"/>
          </w:tcPr>
          <w:p>
            <w:pPr>
              <w:spacing w:after="0"/>
              <w:rPr>
                <w:rFonts w:ascii="Arial" w:cs="Arial" w:eastAsia="Arial" w:hAnsi="Arial"/>
                <w:sz w:val="18"/>
                <w:szCs w:val="18"/>
                <w:color w:val="0000FF"/>
              </w:rPr>
            </w:pPr>
            <w:hyperlink w:anchor="page90">
              <w:r>
                <w:rPr>
                  <w:rFonts w:ascii="Arial" w:cs="Arial" w:eastAsia="Arial" w:hAnsi="Arial"/>
                  <w:sz w:val="18"/>
                  <w:szCs w:val="18"/>
                  <w:color w:val="0000FF"/>
                </w:rPr>
                <w:t>Form 10-K Summary</w:t>
              </w:r>
            </w:hyperlink>
          </w:p>
        </w:tc>
        <w:tc>
          <w:tcPr>
            <w:tcW w:w="4400" w:type="dxa"/>
            <w:vAlign w:val="bottom"/>
            <w:gridSpan w:val="13"/>
          </w:tcPr>
          <w:p>
            <w:pPr>
              <w:spacing w:after="0"/>
              <w:rPr>
                <w:sz w:val="20"/>
                <w:szCs w:val="20"/>
                <w:color w:val="auto"/>
              </w:rPr>
            </w:pPr>
          </w:p>
        </w:tc>
        <w:tc>
          <w:tcPr>
            <w:tcW w:w="360" w:type="dxa"/>
            <w:vAlign w:val="bottom"/>
            <w:gridSpan w:val="3"/>
          </w:tcPr>
          <w:p>
            <w:pPr>
              <w:jc w:val="center"/>
              <w:spacing w:after="0"/>
              <w:rPr>
                <w:rFonts w:ascii="Arial" w:cs="Arial" w:eastAsia="Arial" w:hAnsi="Arial"/>
                <w:sz w:val="18"/>
                <w:szCs w:val="18"/>
                <w:color w:val="0000FF"/>
                <w:w w:val="89"/>
              </w:rPr>
            </w:pPr>
            <w:hyperlink w:anchor="page90">
              <w:r>
                <w:rPr>
                  <w:rFonts w:ascii="Arial" w:cs="Arial" w:eastAsia="Arial" w:hAnsi="Arial"/>
                  <w:sz w:val="18"/>
                  <w:szCs w:val="18"/>
                  <w:color w:val="0000FF"/>
                  <w:w w:val="89"/>
                </w:rPr>
                <w:t>91</w:t>
              </w:r>
            </w:hyperlink>
          </w:p>
        </w:tc>
      </w:tr>
      <w:tr>
        <w:trPr>
          <w:trHeight w:val="20"/>
        </w:trPr>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-1619885</wp:posOffset>
            </wp:positionH>
            <wp:positionV relativeFrom="paragraph">
              <wp:posOffset>70485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200" w:space="720"/>
            <w:col w:w="7920"/>
          </w:cols>
          <w:pgMar w:left="940" w:top="931" w:right="11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Cautionary Note Regarding Forward Looking Statements</w:t>
      </w:r>
    </w:p>
    <w:p>
      <w:pPr>
        <w:spacing w:after="0" w:line="256" w:lineRule="exact"/>
        <w:rPr>
          <w:sz w:val="20"/>
          <w:szCs w:val="20"/>
          <w:color w:val="auto"/>
        </w:rPr>
      </w:pPr>
    </w:p>
    <w:p>
      <w:pPr>
        <w:jc w:val="both"/>
        <w:ind w:firstLine="246"/>
        <w:spacing w:after="0" w:line="284" w:lineRule="auto"/>
        <w:rPr>
          <w:sz w:val="20"/>
          <w:szCs w:val="20"/>
          <w:color w:val="auto"/>
        </w:rPr>
      </w:pPr>
      <w:r>
        <w:rPr>
          <w:rFonts w:ascii="Arial" w:cs="Arial" w:eastAsia="Arial" w:hAnsi="Arial"/>
          <w:sz w:val="16"/>
          <w:szCs w:val="16"/>
          <w:color w:val="auto"/>
        </w:rPr>
        <w:t>This Form 10-K (this “Report”) contains forward-looking statements within the meaning of Section 21E of the Securities Exchange Act of 1934, as amended (the “Exchange Act”). When used anywhere in this Report, the words “expect,” “believe,” “anticipate,” “estimate,” “intend,” “plan” and similar expressions are intended to identify forward-looking statements. These statements relate to future events or our future financial or operational performance and involve known and unknown risks, uncertainties and other factors that could cause our actual results, levels of activity, performance or achievement to differ materially from those expressed or implied by these forward-looking statements. We caution you that these forward-looking statements are not guarantees of future performance and involve risks, uncertainties and assumptions that are difficult to predict. You should not place undue reliance on forward-looking statements. These statements reflect our current views with respect to future events, are based on assumptions and are subject to risks and uncertainties. These forward-looking statements include, among other things, statements regarding the effect of the novel coronavirus (“COVID-19”) on our business, financial condition and results of operations, our ability to continue to operate at a profit, the sufficiency of our sources of liquidity and capital, our ability to maintain current operation levels, our ability to maintain and gain market acceptance for our products or new products, our ability to capitalize on attractive opportunities, our ability to respond to competition and changes in the economy including changes regarding increasing ingredient and packaging costs and labor challenges at our contract manufacturers and third party logistics providers, the amounts of or changes with respect to certain anticipated restructuring, raw materials and other costs, difficulties and delays in achieving the synergies and cost savings in connection with acquisitions, changes in the business environment in which we operate including general financial, economic, capital market, regulatory and political conditions affecting us and the industry in which we operate, changes in consumer preferences and purchasing habits, our ability to maintain adequate product inventory levels to timely supply customer orders, changes in taxes, tariffs, duties, governmental laws and regulations, the availability of or competition for other brands, assets or other opportunities for investment by us or to expand our business, competitive product and pricing activity, difficulties of managing growth profitably, the loss of one or more members of our management team, potential for increased costs and harm to our business resulting from unauthorized access of the information technology systems we use in our business, expansion of our wellness platform and other risks and uncertainties indicated in this Report, including those set forth under “Risk Factors” in this Report. Important factors could cause actual results to differ materially from those indicated or implied by forward-looking statements such as those contained in documents we have filed with the U.S. Securities and Exchange Commission (the “SEC”), including in this Report in “Management’s Discussion and Analysis of Financial Condition and Results of Operations,” “Risk Factors” and those contained in subsequent reports we will file with the SEC. All forward-looking statements in this Report are qualified entirely by the cautionary statements included in this Report and such other filings. These risks and uncertainties or other important factors could cause actual results to differ materially from results expressed or implied by forward-looking statements contained in this Report. These forward-looking statements speak only as of the date of this Report. We undertake no intention or obligation to update or revise any forward-looking statements, whether as a result of new information, future events or otherwise, and readers should not rely on the forward-looking statements as representing the Company’s views as of any date subsequent to the date of the filing of this Report.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56" w:lineRule="exact"/>
        <w:rPr>
          <w:sz w:val="20"/>
          <w:szCs w:val="20"/>
          <w:color w:val="auto"/>
        </w:rPr>
      </w:pPr>
    </w:p>
    <w:p>
      <w:pPr>
        <w:jc w:val="both"/>
        <w:ind w:firstLine="253"/>
        <w:spacing w:after="0" w:line="263" w:lineRule="auto"/>
        <w:rPr>
          <w:sz w:val="20"/>
          <w:szCs w:val="20"/>
          <w:color w:val="auto"/>
        </w:rPr>
      </w:pPr>
      <w:r>
        <w:rPr>
          <w:rFonts w:ascii="Arial" w:cs="Arial" w:eastAsia="Arial" w:hAnsi="Arial"/>
          <w:sz w:val="18"/>
          <w:szCs w:val="18"/>
          <w:color w:val="auto"/>
        </w:rPr>
        <w:t>The Simply Good Foods Company (“Simply Good Foods”) was formed on March 30, 2017, to consummate a business combination (the “Business Combination”) between Conyers Park Acquisition Corp. (“Conyers Park”) and NCP-ATK Holdings, Inc. (“Atkins”), which occurred on July 7, 2017. As a result, Simply Good Foods owns all of the equity in Atkins.</w:t>
      </w:r>
    </w:p>
    <w:p>
      <w:pPr>
        <w:spacing w:after="0" w:line="211" w:lineRule="exact"/>
        <w:rPr>
          <w:sz w:val="20"/>
          <w:szCs w:val="20"/>
          <w:color w:val="auto"/>
        </w:rPr>
      </w:pPr>
    </w:p>
    <w:p>
      <w:pPr>
        <w:jc w:val="both"/>
        <w:ind w:firstLine="316"/>
        <w:spacing w:after="0" w:line="263" w:lineRule="auto"/>
        <w:rPr>
          <w:sz w:val="20"/>
          <w:szCs w:val="20"/>
          <w:color w:val="auto"/>
        </w:rPr>
      </w:pPr>
      <w:r>
        <w:rPr>
          <w:rFonts w:ascii="Arial" w:cs="Arial" w:eastAsia="Arial" w:hAnsi="Arial"/>
          <w:sz w:val="18"/>
          <w:szCs w:val="18"/>
          <w:color w:val="auto"/>
        </w:rPr>
        <w:t>Conyers Park, a special purpose acquisition company, was formed in 2016 for the purpose of effecting a merger, capital stock exchange, asset acquisition, stock purchase, reorganization or similar business combination with one or more businesses. Simply Good Foods is listed on the Nasdaq Capital Market under the symbol “SMPL.”</w:t>
      </w:r>
    </w:p>
    <w:p>
      <w:pPr>
        <w:spacing w:after="0" w:line="211" w:lineRule="exact"/>
        <w:rPr>
          <w:sz w:val="20"/>
          <w:szCs w:val="20"/>
          <w:color w:val="auto"/>
        </w:rPr>
      </w:pPr>
    </w:p>
    <w:p>
      <w:pPr>
        <w:jc w:val="both"/>
        <w:ind w:right="20" w:firstLine="216"/>
        <w:spacing w:after="0" w:line="277" w:lineRule="auto"/>
        <w:rPr>
          <w:sz w:val="20"/>
          <w:szCs w:val="20"/>
          <w:color w:val="auto"/>
        </w:rPr>
      </w:pPr>
      <w:r>
        <w:rPr>
          <w:rFonts w:ascii="Arial" w:cs="Arial" w:eastAsia="Arial" w:hAnsi="Arial"/>
          <w:sz w:val="18"/>
          <w:szCs w:val="18"/>
          <w:color w:val="auto"/>
        </w:rPr>
        <w:t>As part of Simply Good Foods’ strategy to become an industry leading snacking platform, in November 2019, it acquired Quest Nutrition, LLC. This transaction is referred to as the “Quest Acquisition.”</w:t>
      </w:r>
    </w:p>
    <w:p>
      <w:pPr>
        <w:spacing w:after="0" w:line="197" w:lineRule="exact"/>
        <w:rPr>
          <w:sz w:val="20"/>
          <w:szCs w:val="20"/>
          <w:color w:val="auto"/>
        </w:rPr>
      </w:pPr>
    </w:p>
    <w:p>
      <w:pPr>
        <w:jc w:val="both"/>
        <w:ind w:firstLine="201"/>
        <w:spacing w:after="0" w:line="258" w:lineRule="auto"/>
        <w:rPr>
          <w:sz w:val="20"/>
          <w:szCs w:val="20"/>
          <w:color w:val="auto"/>
        </w:rPr>
      </w:pPr>
      <w:r>
        <w:rPr>
          <w:rFonts w:ascii="Arial" w:cs="Arial" w:eastAsia="Arial" w:hAnsi="Arial"/>
          <w:sz w:val="17"/>
          <w:szCs w:val="17"/>
          <w:color w:val="auto"/>
        </w:rPr>
        <w:t>Effective September 24, 2020, Simply Good Foods sold the assets exclusively related to its SimplyProtein® brand of products to a newly formed entity led by the former Canadian-based management team who had been responsible for this brand prior to the sale transaction (the “SimplyProtein Sale”). In addition to purchasing these assets, the buyer assumed certain liabilities related to the SimplyProtein</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brand’s business. The transaction enables our management to focus its full time and our resources on our core Atkins</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Quest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branded businesses and other strategic initiatives.</w:t>
      </w:r>
    </w:p>
    <w:p>
      <w:pPr>
        <w:spacing w:after="0" w:line="143" w:lineRule="exact"/>
        <w:rPr>
          <w:sz w:val="20"/>
          <w:szCs w:val="20"/>
          <w:color w:val="auto"/>
        </w:rPr>
      </w:pPr>
    </w:p>
    <w:p>
      <w:pPr>
        <w:jc w:val="both"/>
        <w:ind w:firstLine="211"/>
        <w:spacing w:after="0" w:line="266" w:lineRule="auto"/>
        <w:rPr>
          <w:sz w:val="20"/>
          <w:szCs w:val="20"/>
          <w:color w:val="auto"/>
        </w:rPr>
      </w:pPr>
      <w:r>
        <w:rPr>
          <w:rFonts w:ascii="Arial" w:cs="Arial" w:eastAsia="Arial" w:hAnsi="Arial"/>
          <w:sz w:val="18"/>
          <w:szCs w:val="18"/>
          <w:color w:val="auto"/>
        </w:rPr>
        <w:t>Unless the context otherwise requires, “we,” “us,” “our” and the “Company” refer, for periods prior to the completion of the Business Combination, to Atkins and its subsidiaries, and, for periods upon or after the completion of the Business Combination, to The Simply Good Foods Company and its subsidiaries. In context, “Atkins” may also refer to the Atkins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Summary of Risk Factors</w:t>
      </w:r>
    </w:p>
    <w:p>
      <w:pPr>
        <w:spacing w:after="0" w:line="256" w:lineRule="exact"/>
        <w:rPr>
          <w:sz w:val="20"/>
          <w:szCs w:val="20"/>
          <w:color w:val="auto"/>
        </w:rPr>
      </w:pPr>
    </w:p>
    <w:p>
      <w:pPr>
        <w:jc w:val="both"/>
        <w:ind w:firstLine="251"/>
        <w:spacing w:after="0" w:line="259" w:lineRule="auto"/>
        <w:rPr>
          <w:sz w:val="20"/>
          <w:szCs w:val="20"/>
          <w:color w:val="auto"/>
        </w:rPr>
      </w:pPr>
      <w:r>
        <w:rPr>
          <w:rFonts w:ascii="Arial" w:cs="Arial" w:eastAsia="Arial" w:hAnsi="Arial"/>
          <w:sz w:val="18"/>
          <w:szCs w:val="18"/>
          <w:color w:val="auto"/>
        </w:rPr>
        <w:t>An investment in our securities involves a high degree of risk. You should carefully consider the risks described in Item 1A “Risk Factors” of this Report, which are summarized below, before making an investment decision. Our business, prospects, financial condition or operating results could be harmed by any of these risks, and other risks not currently known to us or that we currently consider immaterial. The trading price of our securities could decline due to any of these risks, and, as a result, you may lose all or part of your investment.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w:t>
      </w:r>
    </w:p>
    <w:p>
      <w:pPr>
        <w:spacing w:after="0" w:line="252" w:lineRule="exact"/>
        <w:rPr>
          <w:sz w:val="20"/>
          <w:szCs w:val="20"/>
          <w:color w:val="auto"/>
        </w:rPr>
      </w:pPr>
    </w:p>
    <w:p>
      <w:pPr>
        <w:jc w:val="both"/>
        <w:ind w:left="660" w:right="20" w:hanging="328"/>
        <w:spacing w:after="0" w:line="255"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Pandemics, epidemics or disease outbreaks, such as the novel coronavirus (“COVID-19”), may disrupt our business, including, among other things, consumption and trade patterns, our supply chain and production processes, each of which could materially affect our operations, liquidity, financial condition and results of operations.</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be able to compete successfully in the highly competitive nutritional snacking industry.</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fail to implement our growth strategies successfully or maintain or increase prices, our ability to increase our revenue and operating profits could be materially and adversely affected.</w:t>
      </w: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do not continually enhance our brand recognition, increase distribution of our products, grow and maintain shelf space, attract new consumers to our brands and introduce new and innovative products, either on a timely basis or at all, our business may suffer.</w:t>
      </w: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consumer preferences, perceptions and discretionary spending may negatively affect our brand loyalty and net sales, and materially and adversely affect our business, financial condition and results of operations.</w:t>
      </w:r>
    </w:p>
    <w:p>
      <w:pPr>
        <w:jc w:val="both"/>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the perception of our brands or organizational reputation are damaged, including as a result of negative information on social media, our consumers, distributors and retailers may react negatively, which could materially and adversely affect our business, financial condition and results of operations.</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must expend resources to maintain consumer awareness of our brands, build brand loyalty and generate interest in our products. Our marketing strategies and channels will evolve, and our programs may or may not be successful.</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cannot maintain or increase prices, our margins may decrease.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geographic focus makes us particularly vulnerable to economic and other events and trends in North America.</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Operating Model</w:t>
      </w:r>
    </w:p>
    <w:p>
      <w:pPr>
        <w:spacing w:after="0" w:line="252"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Ingredient and packaging costs are volatile and may rise significantly, which may negatively affect the profitability of our business.</w:t>
      </w:r>
    </w:p>
    <w:p>
      <w:pPr>
        <w:spacing w:after="0" w:line="23"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on sales to a limited number of retailers for a substantial portion of our net sales and we maintain “at will” contracts with these retailers, which do not require recurring or minimum purchase amounts of our products.</w:t>
      </w:r>
    </w:p>
    <w:p>
      <w:pPr>
        <w:ind w:left="660" w:right="2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Losses in, disruption of and lack of efficiency in our fulfillment network could materially and adversely affect our business, financial condition and results of operations.</w:t>
      </w:r>
    </w:p>
    <w:p>
      <w:pPr>
        <w:jc w:val="both"/>
        <w:ind w:left="660" w:right="2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Shortages or interruptions in the supply or delivery of our core ingredients, packaging and products could materially and adversely affect our operating results as we rely on a limited number of third-party suppliers to supply our core ingredients and a limited number of contract manufacturers to manufacture our products.</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Severe weather conditions and natural disasters can affect crop supplies, manufacturing facilities and distribution activities, and negatively affect the operating results of our business.</w:t>
      </w:r>
    </w:p>
    <w:p>
      <w:pPr>
        <w:ind w:left="6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intend to grow through acquisitions or joint ventures, and we may not successfully integrate, operate or realize the anticipated benefits of such business combinations.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insurance may not provide adequate levels of coverage against claims.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 of our key executive officers or other personnel, or an inability to attract and retain such management and other personnel, could negatively affect our business.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not be able to adequately protect our material intellectual property and other proprietary rights.</w:t>
      </w:r>
    </w:p>
    <w:p>
      <w:pPr>
        <w:spacing w:after="0" w:line="9" w:lineRule="exact"/>
        <w:rPr>
          <w:rFonts w:ascii="Arial" w:cs="Arial" w:eastAsia="Arial" w:hAnsi="Arial"/>
          <w:sz w:val="18"/>
          <w:szCs w:val="18"/>
          <w:color w:val="auto"/>
        </w:rPr>
      </w:pPr>
    </w:p>
    <w:p>
      <w:pPr>
        <w:ind w:left="660" w:right="20" w:hanging="328"/>
        <w:spacing w:after="0" w:line="26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inadequacy, failure or interruption of our information technology systems may harm our ability to effectively operate our business, and our business is subject to online security risks, including security breaches and identity theft.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Risks and Litigation Risks</w:t>
      </w:r>
    </w:p>
    <w:p>
      <w:pPr>
        <w:spacing w:after="0" w:line="239" w:lineRule="exact"/>
        <w:rPr>
          <w:sz w:val="20"/>
          <w:szCs w:val="20"/>
          <w:color w:val="auto"/>
        </w:rPr>
      </w:pPr>
    </w:p>
    <w:p>
      <w:pPr>
        <w:ind w:left="660" w:right="680" w:hanging="328"/>
        <w:spacing w:after="0" w:line="228"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of our products must comply with regulations of the FDA and state and local regulations. Any non-compliance with the FDA or other applicable regulations could harm our business.</w:t>
      </w:r>
    </w:p>
    <w:p>
      <w:pPr>
        <w:ind w:left="660" w:hanging="328"/>
        <w:spacing w:after="0" w:line="232"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advertising is regulated for accuracy, and if our advertising is determined to be false or misleading, we may face fines or sanctions.</w:t>
      </w:r>
    </w:p>
    <w:p>
      <w:pPr>
        <w:ind w:left="660" w:right="140" w:hanging="328"/>
        <w:spacing w:after="0" w:line="219"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legal and regulatory environment could limit our business activities, increase our operating costs, reduce demand for our products or result in litigation.</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Litigation or legal proceedings could expose us to significant liabilities and have a negative effect on our reputation.</w:t>
      </w:r>
    </w:p>
    <w:p>
      <w:pPr>
        <w:sectPr>
          <w:pgSz w:w="11900" w:h="16838" w:orient="portrait"/>
          <w:cols w:equalWidth="0" w:num="1">
            <w:col w:w="11240"/>
          </w:cols>
          <w:pgMar w:left="320" w:top="688" w:right="339" w:bottom="1440" w:gutter="0" w:footer="0" w:header="0"/>
        </w:sect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Risks Related to our Capital Structure</w:t>
      </w:r>
    </w:p>
    <w:p>
      <w:pPr>
        <w:spacing w:after="0" w:line="239" w:lineRule="exact"/>
        <w:rPr>
          <w:sz w:val="20"/>
          <w:szCs w:val="20"/>
          <w:color w:val="auto"/>
        </w:rPr>
      </w:pPr>
    </w:p>
    <w:p>
      <w:pPr>
        <w:ind w:left="660" w:right="100" w:hanging="328"/>
        <w:spacing w:after="0" w:line="228"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indebtedness could materially and adversely affect our financial condition and ability to operate our company, and we may incur additional debt.</w:t>
      </w:r>
    </w:p>
    <w:p>
      <w:pPr>
        <w:ind w:left="660" w:hanging="328"/>
        <w:spacing w:after="0" w:line="21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interest rates may adversely affect our earnings and/or cash flows.</w:t>
      </w:r>
    </w:p>
    <w:p>
      <w:pPr>
        <w:ind w:left="660" w:hanging="328"/>
        <w:spacing w:after="0" w:line="21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need additional capital in the future, and it may not be available on acceptable terms or at all.</w:t>
      </w:r>
    </w:p>
    <w:p>
      <w:pPr>
        <w:ind w:left="660" w:hanging="328"/>
        <w:spacing w:after="0" w:line="21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incurred and will continue to incur significantly increased costs because of operating as a public company.</w:t>
      </w:r>
    </w:p>
    <w:p>
      <w:pPr>
        <w:ind w:left="660" w:right="40" w:hanging="328"/>
        <w:spacing w:after="0" w:line="246" w:lineRule="auto"/>
        <w:tabs>
          <w:tab w:leader="none" w:pos="655" w:val="left"/>
        </w:tabs>
        <w:numPr>
          <w:ilvl w:val="0"/>
          <w:numId w:val="6"/>
        </w:numPr>
        <w:rPr>
          <w:rFonts w:ascii="Arial" w:cs="Arial" w:eastAsia="Arial" w:hAnsi="Arial"/>
          <w:sz w:val="16"/>
          <w:szCs w:val="16"/>
          <w:color w:val="auto"/>
        </w:rPr>
      </w:pPr>
      <w:r>
        <w:rPr>
          <w:rFonts w:ascii="Arial" w:cs="Arial" w:eastAsia="Arial" w:hAnsi="Arial"/>
          <w:sz w:val="16"/>
          <w:szCs w:val="16"/>
          <w:color w:val="auto"/>
        </w:rPr>
        <w:t>If we cannot implement appropriate systems, procedures and controls, we may not be able to successfully offer our products, grow our business, account for transactions in an appropriate and timely manner and accurately report our financial results in a timely manner or prevent fraud.</w:t>
      </w:r>
    </w:p>
    <w:p>
      <w:pPr>
        <w:ind w:left="660" w:hanging="328"/>
        <w:spacing w:after="0" w:line="21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recent restatement of certain of our financial statements subjected us to increased costs and additional risks.</w:t>
      </w:r>
    </w:p>
    <w:p>
      <w:pPr>
        <w:ind w:left="660" w:hanging="328"/>
        <w:spacing w:after="0" w:line="23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only significant asset is ownership of 100% of Atkins Intermediate Holdings, LLC which could limit our ability to pay any dividends on our common stock or satisfy our other financial obligations.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Common Stock</w:t>
      </w:r>
    </w:p>
    <w:p>
      <w:pPr>
        <w:spacing w:after="0" w:line="252"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do not expect to declare any dividends in the foreseeable future.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amended and restated certificate of incorporation contains anti-takeover provisions which could impair a takeover attempt.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common stock price may be affected by the value of our private placement warrants and future sales or other dilution.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Risks</w:t>
      </w:r>
    </w:p>
    <w:p>
      <w:pPr>
        <w:spacing w:after="0" w:line="237"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experience risks associated with our international operations and exposure to the worldwide economy.</w:t>
      </w: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amended and restated certificate of incorporation excludes certain of our Board members from the doctrine of “corporate opportunity.”</w:t>
      </w:r>
    </w:p>
    <w:p>
      <w:pPr>
        <w:spacing w:after="0" w:line="34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692" w:right="49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52" w:lineRule="exact"/>
        <w:rPr>
          <w:sz w:val="20"/>
          <w:szCs w:val="20"/>
          <w:color w:val="auto"/>
        </w:rPr>
      </w:pPr>
    </w:p>
    <w:p>
      <w:pPr>
        <w:jc w:val="both"/>
        <w:ind w:firstLine="189"/>
        <w:spacing w:after="0" w:line="257" w:lineRule="auto"/>
        <w:rPr>
          <w:sz w:val="20"/>
          <w:szCs w:val="20"/>
          <w:color w:val="auto"/>
        </w:rPr>
      </w:pPr>
      <w:r>
        <w:rPr>
          <w:rFonts w:ascii="Arial" w:cs="Arial" w:eastAsia="Arial" w:hAnsi="Arial"/>
          <w:sz w:val="18"/>
          <w:szCs w:val="18"/>
          <w:color w:val="auto"/>
        </w:rPr>
        <w:t>The Simply Good Foods Company is a consumer packaged food and beverage company that aims to lead the nutritious snacking movement with trusted brands that offer a variety of convenient, innovative, great-tasting, better-for-you snacks and meal replacements. The product portfolio we develop, market and sell consists primarily of protein bars, ready-to-drink (“RTD”) shakes, sweet and salty snacks and confectionery products marketed under the Atkins®, Atkins Endulge®, and Quest® brand names. Simply Good Foods is poised to expand its wellness platform through innovation and organic growth along with acquisition opportunities in the nutritional snacking space.</w:t>
      </w:r>
    </w:p>
    <w:p>
      <w:pPr>
        <w:spacing w:after="0" w:line="215" w:lineRule="exact"/>
        <w:rPr>
          <w:sz w:val="20"/>
          <w:szCs w:val="20"/>
          <w:color w:val="auto"/>
        </w:rPr>
      </w:pPr>
    </w:p>
    <w:p>
      <w:pPr>
        <w:jc w:val="both"/>
        <w:ind w:firstLine="285"/>
        <w:spacing w:after="0" w:line="296" w:lineRule="auto"/>
        <w:rPr>
          <w:sz w:val="20"/>
          <w:szCs w:val="20"/>
          <w:color w:val="auto"/>
        </w:rPr>
      </w:pPr>
      <w:r>
        <w:rPr>
          <w:rFonts w:ascii="Arial" w:cs="Arial" w:eastAsia="Arial" w:hAnsi="Arial"/>
          <w:sz w:val="16"/>
          <w:szCs w:val="16"/>
          <w:color w:val="auto"/>
        </w:rPr>
        <w:t>The Company’s nutritious snacking platform consists of brands that specialize in providing products for consumers that follow certain nutritional philosophies and health-and-wellness trends: Atkins® for those following a low-carb lifestyle and Quest® for consumers seeking a variety of protein-rich foods and beverages that also limit sugars and simple carbs. We distribute our products in major retail channels, primarily in North America, including grocery, club, and mass merchandise, as well as through e-commerce, convenience, specialty, and other channels. Our portfolio of nutritious snacking brands gives us a strong platform with which to introduce new products, expand distribution, and attract new consumers to our products.</w:t>
      </w:r>
    </w:p>
    <w:p>
      <w:pPr>
        <w:spacing w:after="0" w:line="188" w:lineRule="exact"/>
        <w:rPr>
          <w:sz w:val="20"/>
          <w:szCs w:val="20"/>
          <w:color w:val="auto"/>
        </w:rPr>
      </w:pPr>
    </w:p>
    <w:p>
      <w:pPr>
        <w:jc w:val="both"/>
        <w:ind w:firstLine="185"/>
        <w:spacing w:after="0" w:line="272" w:lineRule="auto"/>
        <w:rPr>
          <w:sz w:val="20"/>
          <w:szCs w:val="20"/>
          <w:color w:val="auto"/>
        </w:rPr>
      </w:pPr>
      <w:r>
        <w:rPr>
          <w:rFonts w:ascii="Arial" w:cs="Arial" w:eastAsia="Arial" w:hAnsi="Arial"/>
          <w:sz w:val="17"/>
          <w:szCs w:val="17"/>
          <w:color w:val="auto"/>
        </w:rPr>
        <w:t>We believe snacking occasions have been on the rise in recent years as consumers desire more convenient, healthy and delicious foods, snacks, and meal replacements. We believe our emphasis on product formats such as our protein bars, cookies, chips, and RTD shakes positions us to fill important needs for consumers. We believe a number of existing and emerging consumer trends within the U.S. food and beverage industry will continue to both drive the growth of the nutritional snacking category and increase the demand for our product offerings. Some of these trends include increased consumption of smaller, more frequent meals throughout the day, consumers’ strong preference for convenient, “better-for-you” snacks, consumers’ greater focus on health and wellness, and consumers’ movement toward limiting carbohydrate and sugar consumption, as well as the trend of consumers seeking to add convenient sources of protein and fiber to their diets.</w:t>
      </w:r>
    </w:p>
    <w:p>
      <w:pPr>
        <w:spacing w:after="0" w:line="204" w:lineRule="exact"/>
        <w:rPr>
          <w:sz w:val="20"/>
          <w:szCs w:val="20"/>
          <w:color w:val="auto"/>
        </w:rPr>
      </w:pPr>
    </w:p>
    <w:p>
      <w:pPr>
        <w:jc w:val="both"/>
        <w:ind w:firstLine="182"/>
        <w:spacing w:after="0" w:line="257" w:lineRule="auto"/>
        <w:rPr>
          <w:sz w:val="20"/>
          <w:szCs w:val="20"/>
          <w:color w:val="auto"/>
        </w:rPr>
      </w:pPr>
      <w:r>
        <w:rPr>
          <w:rFonts w:ascii="Arial" w:cs="Arial" w:eastAsia="Arial" w:hAnsi="Arial"/>
          <w:sz w:val="18"/>
          <w:szCs w:val="18"/>
          <w:color w:val="auto"/>
        </w:rPr>
        <w:t>With our Atkins brand, we strive to offer a compelling line of protein bars, RTD shakes, cookies, and confections, and with our Quest brand, we strive to offer an attractive line up of protein bars, cookies, pizza, protein chips, RTD shakes, and confections, which target these existing and emerging consumer trends. Our sales, marketing, and research and development capabilities enable us to distribute products to a national customer base across a spectrum of retail channels, including the mass merchandise, grocery, and drug channels, club stores, e-commerce, and small format retail such as convenience stores and gas stations.</w:t>
      </w:r>
    </w:p>
    <w:p>
      <w:pPr>
        <w:spacing w:after="0" w:line="215" w:lineRule="exact"/>
        <w:rPr>
          <w:sz w:val="20"/>
          <w:szCs w:val="20"/>
          <w:color w:val="auto"/>
        </w:rPr>
      </w:pPr>
    </w:p>
    <w:p>
      <w:pPr>
        <w:jc w:val="both"/>
        <w:ind w:firstLine="192"/>
        <w:spacing w:after="0" w:line="263" w:lineRule="auto"/>
        <w:rPr>
          <w:sz w:val="20"/>
          <w:szCs w:val="20"/>
          <w:color w:val="auto"/>
        </w:rPr>
      </w:pPr>
      <w:r>
        <w:rPr>
          <w:rFonts w:ascii="Arial" w:cs="Arial" w:eastAsia="Arial" w:hAnsi="Arial"/>
          <w:sz w:val="18"/>
          <w:szCs w:val="18"/>
          <w:color w:val="auto"/>
        </w:rPr>
        <w:t>Simply Good Foods was formed in Delaware on March 30, 2017, to consummate the Business Combination, which occurred on July 7, 2017. As part of our strategy to become an industry leading snacking platform, in November 2019, we acquired Quest Nutrition, LLC. We refer to this transaction as the “Quest Acquisition.”</w:t>
      </w:r>
    </w:p>
    <w:p>
      <w:pPr>
        <w:spacing w:after="0" w:line="211" w:lineRule="exact"/>
        <w:rPr>
          <w:sz w:val="20"/>
          <w:szCs w:val="20"/>
          <w:color w:val="auto"/>
        </w:rPr>
      </w:pPr>
    </w:p>
    <w:p>
      <w:pPr>
        <w:jc w:val="both"/>
        <w:ind w:firstLine="192"/>
        <w:spacing w:after="0" w:line="272" w:lineRule="auto"/>
        <w:rPr>
          <w:sz w:val="20"/>
          <w:szCs w:val="20"/>
          <w:color w:val="auto"/>
        </w:rPr>
      </w:pPr>
      <w:r>
        <w:rPr>
          <w:rFonts w:ascii="Arial" w:cs="Arial" w:eastAsia="Arial" w:hAnsi="Arial"/>
          <w:sz w:val="17"/>
          <w:szCs w:val="17"/>
          <w:color w:val="auto"/>
        </w:rPr>
        <w:t>In addition to pursuing attractive run-rate cost synergies over time by leveraging efficiencies of scale with our legacy Atkins business, we completed the Quest Acquisition to realize several other potential benefits. Quest’s products compete in many attractive, fast growing sub-segments within the nutritional snacking category and we expect Quest’s research and development insights and capabilities to benefit our broader business. Quest also has an extremely loyal following and strong appeal among consumers ages 18-35, which complements Atkins’ strength among consumers ages 35+. The Quest Acquisition allows us to benefit from Quest’s existing relationships and effectiveness within certain channels of trade, such as e-commerce and the small format channel, and leverage Quest’s social media-based marketing capabilities. We have benefited from utilizing certain of Quest’s systems, such as its enterprise resource planning platform, and associated reporting tools.</w:t>
      </w:r>
    </w:p>
    <w:p>
      <w:pPr>
        <w:spacing w:after="0" w:line="199" w:lineRule="exact"/>
        <w:rPr>
          <w:sz w:val="20"/>
          <w:szCs w:val="20"/>
          <w:color w:val="auto"/>
        </w:rPr>
      </w:pPr>
    </w:p>
    <w:p>
      <w:pPr>
        <w:jc w:val="both"/>
        <w:ind w:firstLine="256"/>
        <w:spacing w:after="0" w:line="229" w:lineRule="auto"/>
        <w:rPr>
          <w:sz w:val="20"/>
          <w:szCs w:val="20"/>
          <w:color w:val="auto"/>
        </w:rPr>
      </w:pPr>
      <w:r>
        <w:rPr>
          <w:rFonts w:ascii="Arial" w:cs="Arial" w:eastAsia="Arial" w:hAnsi="Arial"/>
          <w:sz w:val="18"/>
          <w:szCs w:val="18"/>
          <w:color w:val="auto"/>
        </w:rPr>
        <w:t>Our principal executive offices are located at 1225 17</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Street, Suite 1000, Denver, Colorado, 80202. Our telephone number is (303) 633-2840. We maintain a web site at </w:t>
      </w:r>
      <w:r>
        <w:rPr>
          <w:rFonts w:ascii="Arial" w:cs="Arial" w:eastAsia="Arial" w:hAnsi="Arial"/>
          <w:sz w:val="18"/>
          <w:szCs w:val="18"/>
          <w:i w:val="1"/>
          <w:iCs w:val="1"/>
          <w:u w:val="single" w:color="auto"/>
          <w:color w:val="auto"/>
        </w:rPr>
        <w:t>www.thesimplygoodfoodscompany.com</w:t>
      </w:r>
      <w:r>
        <w:rPr>
          <w:rFonts w:ascii="Arial" w:cs="Arial" w:eastAsia="Arial" w:hAnsi="Arial"/>
          <w:sz w:val="18"/>
          <w:szCs w:val="18"/>
          <w:color w:val="auto"/>
        </w:rPr>
        <w: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Effects of COVID-19</w:t>
      </w:r>
    </w:p>
    <w:p>
      <w:pPr>
        <w:spacing w:after="0" w:line="252" w:lineRule="exact"/>
        <w:rPr>
          <w:sz w:val="20"/>
          <w:szCs w:val="20"/>
          <w:color w:val="auto"/>
        </w:rPr>
      </w:pPr>
    </w:p>
    <w:p>
      <w:pPr>
        <w:jc w:val="both"/>
        <w:ind w:firstLine="282"/>
        <w:spacing w:after="0" w:line="254" w:lineRule="auto"/>
        <w:rPr>
          <w:sz w:val="20"/>
          <w:szCs w:val="20"/>
          <w:color w:val="auto"/>
        </w:rPr>
      </w:pPr>
      <w:r>
        <w:rPr>
          <w:rFonts w:ascii="Arial" w:cs="Arial" w:eastAsia="Arial" w:hAnsi="Arial"/>
          <w:sz w:val="18"/>
          <w:szCs w:val="18"/>
          <w:color w:val="auto"/>
        </w:rPr>
        <w:t>Our consolidated results of operations for the fiscal year ended August 28, 2021 continued to be affected by the significant changes in consumer shopping and consumption behavior patterns due to COVID-19 which had begun during our third quarter in fiscal 2020. Our business did improve during the course of fiscal year 2021, driven by increasing consumer mobility and improving shopper traffic in brick and mortar retailers versus the prior periods that were pressured by COVID-19 movement restrictions. We believe there is a high correlation of consumer mobility to the consumption of our products. As shopper traffic within brick and mortar retailers improves, particularly in the mass and convenience store channels, and as consumers spend more time away from home, our business, particularly bars, performs well. There is still uncertainty related to the sustainability of improving consumer mobility and shopping trips observed in</w:t>
      </w:r>
    </w:p>
    <w:p>
      <w:pPr>
        <w:sectPr>
          <w:pgSz w:w="11900" w:h="16838" w:orient="portrait"/>
          <w:cols w:equalWidth="0" w:num="1">
            <w:col w:w="11240"/>
          </w:cols>
          <w:pgMar w:left="320" w:top="688" w:right="339" w:bottom="1440" w:gutter="0" w:footer="0" w:header="0"/>
        </w:sect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7" w:name="page8"/>
    <w:bookmarkEnd w:id="7"/>
    <w:p>
      <w:pPr>
        <w:jc w:val="both"/>
        <w:spacing w:after="0" w:line="275" w:lineRule="auto"/>
        <w:rPr>
          <w:sz w:val="20"/>
          <w:szCs w:val="20"/>
          <w:color w:val="auto"/>
        </w:rPr>
      </w:pPr>
      <w:r>
        <w:rPr>
          <w:rFonts w:ascii="Arial" w:cs="Arial" w:eastAsia="Arial" w:hAnsi="Arial"/>
          <w:sz w:val="17"/>
          <w:szCs w:val="17"/>
          <w:color w:val="auto"/>
        </w:rPr>
        <w:t>the second half of fiscal year 2021. While our Quest brand has outperformed its portion of the nutritious snacking segment, the performance of our Atkins brand, which is part of the weight management portion of the market, has improved at a slower rate. However, the Atkins brand performance for the fifty-two weeks ended August 28, 2021 has improved during the course of fiscal year 2021, primarily due to increasing consumer mobility and improving shopper traffic in brick and mortar retailers. During fiscal year 2022, we expect our business performance will continue to be correlated primarily to the level of consumer mobility, which includes the rate at which consumers return to working outside the home.</w:t>
      </w:r>
    </w:p>
    <w:p>
      <w:pPr>
        <w:spacing w:after="0" w:line="203" w:lineRule="exact"/>
        <w:rPr>
          <w:sz w:val="20"/>
          <w:szCs w:val="20"/>
          <w:color w:val="auto"/>
        </w:rPr>
      </w:pPr>
    </w:p>
    <w:p>
      <w:pPr>
        <w:jc w:val="both"/>
        <w:ind w:firstLine="271"/>
        <w:spacing w:after="0" w:line="271" w:lineRule="auto"/>
        <w:rPr>
          <w:sz w:val="20"/>
          <w:szCs w:val="20"/>
          <w:color w:val="auto"/>
        </w:rPr>
      </w:pPr>
      <w:r>
        <w:rPr>
          <w:rFonts w:ascii="Arial" w:cs="Arial" w:eastAsia="Arial" w:hAnsi="Arial"/>
          <w:sz w:val="17"/>
          <w:szCs w:val="17"/>
          <w:color w:val="auto"/>
        </w:rPr>
        <w:t>Beginning in the third quarter of 2020, we actively engaged with the various elements of our value chain, including our retail customers, contract manufacturers, and logistics and transportation providers, to meet demand for our products and to remain informed of any challenges within our value chain. In the fourth quarter of 2020 and continuing into fiscal year 2021, consumer consumption habits became steadier, however inventory levels remain variable. Based on information available to us as of the date of this Report, we believe we will be able to deliver our products to meet customer orders on a timely basis, and therefore, we expect our products will continue to be available for purchase to meet consumer meal replacement and snacking needs for the foreseeable future. We continue to monitor customer and consumer demand along with our logistics capabilities to deliver products to our retail customers on a timely and consistent basis, and intend to adapt our plans as needed to continue to drive our business and meet our obligations during the continuing and evolving COVID-19 situation.</w:t>
      </w:r>
    </w:p>
    <w:p>
      <w:pPr>
        <w:spacing w:after="0" w:line="205" w:lineRule="exact"/>
        <w:rPr>
          <w:sz w:val="20"/>
          <w:szCs w:val="20"/>
          <w:color w:val="auto"/>
        </w:rPr>
      </w:pPr>
    </w:p>
    <w:p>
      <w:pPr>
        <w:jc w:val="both"/>
        <w:ind w:firstLine="190"/>
        <w:spacing w:after="0" w:line="273" w:lineRule="auto"/>
        <w:rPr>
          <w:sz w:val="20"/>
          <w:szCs w:val="20"/>
          <w:color w:val="auto"/>
        </w:rPr>
      </w:pPr>
      <w:r>
        <w:rPr>
          <w:rFonts w:ascii="Arial" w:cs="Arial" w:eastAsia="Arial" w:hAnsi="Arial"/>
          <w:sz w:val="17"/>
          <w:szCs w:val="17"/>
          <w:color w:val="auto"/>
        </w:rPr>
        <w:t>We remain uncertain of the ultimate effect COVID-19 could have on our business notwithstanding the distribution of several U.S. government approved vaccines and the easing of movement restrictions. This uncertainty stems from the potential for, among other things, (i) the presence of current mutations of COVID-19 which have resulted in increased rates of reported cases for which currently approved vaccines are not as effective along with the possibility of future mutations occurring for which current approved vaccines are less effective, (ii) unexpected supply chain disruptions, including disruptions resulting from labor shortages or other human capital challenges, (iii) changes to customer operations, (iv) a reversal in recently improving consumer purchasing and consumption behavior, and (v) the closure of customer establishments.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Strengths</w:t>
      </w:r>
    </w:p>
    <w:p>
      <w:pPr>
        <w:spacing w:after="0" w:line="252" w:lineRule="exact"/>
        <w:rPr>
          <w:sz w:val="20"/>
          <w:szCs w:val="20"/>
          <w:color w:val="auto"/>
        </w:rPr>
      </w:pPr>
    </w:p>
    <w:p>
      <w:pPr>
        <w:jc w:val="both"/>
        <w:ind w:firstLine="180"/>
        <w:spacing w:after="0" w:line="255" w:lineRule="auto"/>
        <w:rPr>
          <w:sz w:val="20"/>
          <w:szCs w:val="20"/>
          <w:color w:val="auto"/>
        </w:rPr>
      </w:pPr>
      <w:r>
        <w:rPr>
          <w:rFonts w:ascii="Arial" w:cs="Arial" w:eastAsia="Arial" w:hAnsi="Arial"/>
          <w:sz w:val="18"/>
          <w:szCs w:val="18"/>
          <w:i w:val="1"/>
          <w:iCs w:val="1"/>
          <w:color w:val="auto"/>
        </w:rPr>
        <w:t>Powerful brands with strong consumer awareness and loyalty</w:t>
      </w:r>
      <w:r>
        <w:rPr>
          <w:rFonts w:ascii="Arial" w:cs="Arial" w:eastAsia="Arial" w:hAnsi="Arial"/>
          <w:sz w:val="18"/>
          <w:szCs w:val="18"/>
          <w:color w:val="auto"/>
        </w:rPr>
        <w:t>. We are a leader in the fast growing nutritional snacking category, and both the Atkins and</w:t>
      </w:r>
      <w:r>
        <w:rPr>
          <w:rFonts w:ascii="Arial" w:cs="Arial" w:eastAsia="Arial" w:hAnsi="Arial"/>
          <w:sz w:val="18"/>
          <w:szCs w:val="18"/>
          <w:i w:val="1"/>
          <w:iCs w:val="1"/>
          <w:color w:val="auto"/>
        </w:rPr>
        <w:t xml:space="preserve"> </w:t>
      </w:r>
      <w:r>
        <w:rPr>
          <w:rFonts w:ascii="Arial" w:cs="Arial" w:eastAsia="Arial" w:hAnsi="Arial"/>
          <w:sz w:val="18"/>
          <w:szCs w:val="18"/>
          <w:color w:val="auto"/>
        </w:rPr>
        <w:t>Quest brands are leading brands with scale in protein bars, confections, and cookies for both brands, RTD shakes for the Atkins brand, and chips and pizza for the Quest brand. Our highly focused snacking portfolio provides us with a leading position within retailers’ nutrition and wellness aisles, resulting in meaningful shelf space. Our brands are able to appeal to both consumers interested in an active lifestyle who are seeking protein-rich, low-carb snacking options as well as weight management program consumers, which makes our brands highly attractive and strategic for a diverse set of retailers across various distribution channels.</w:t>
      </w:r>
    </w:p>
    <w:p>
      <w:pPr>
        <w:spacing w:after="0" w:line="219" w:lineRule="exact"/>
        <w:rPr>
          <w:sz w:val="20"/>
          <w:szCs w:val="20"/>
          <w:color w:val="auto"/>
        </w:rPr>
      </w:pPr>
    </w:p>
    <w:p>
      <w:pPr>
        <w:jc w:val="both"/>
        <w:ind w:firstLine="220"/>
        <w:spacing w:after="0" w:line="271" w:lineRule="auto"/>
        <w:rPr>
          <w:sz w:val="20"/>
          <w:szCs w:val="20"/>
          <w:color w:val="auto"/>
        </w:rPr>
      </w:pPr>
      <w:r>
        <w:rPr>
          <w:rFonts w:ascii="Arial" w:cs="Arial" w:eastAsia="Arial" w:hAnsi="Arial"/>
          <w:sz w:val="17"/>
          <w:szCs w:val="17"/>
          <w:i w:val="1"/>
          <w:iCs w:val="1"/>
          <w:color w:val="auto"/>
        </w:rPr>
        <w:t xml:space="preserve">Aligned with consumer mega trends. </w:t>
      </w:r>
      <w:r>
        <w:rPr>
          <w:rFonts w:ascii="Arial" w:cs="Arial" w:eastAsia="Arial" w:hAnsi="Arial"/>
          <w:sz w:val="17"/>
          <w:szCs w:val="17"/>
          <w:color w:val="auto"/>
        </w:rPr>
        <w:t>Increasing global concern about growing rates of obesity and weight-related diseases and other health issues has</w:t>
      </w:r>
      <w:r>
        <w:rPr>
          <w:rFonts w:ascii="Arial" w:cs="Arial" w:eastAsia="Arial" w:hAnsi="Arial"/>
          <w:sz w:val="17"/>
          <w:szCs w:val="17"/>
          <w:i w:val="1"/>
          <w:iCs w:val="1"/>
          <w:color w:val="auto"/>
        </w:rPr>
        <w:t xml:space="preserve"> </w:t>
      </w:r>
      <w:r>
        <w:rPr>
          <w:rFonts w:ascii="Arial" w:cs="Arial" w:eastAsia="Arial" w:hAnsi="Arial"/>
          <w:sz w:val="17"/>
          <w:szCs w:val="17"/>
          <w:color w:val="auto"/>
        </w:rPr>
        <w:t>resulted in increased scientific, media and consumer focus on nutrition. Over 100 independent, peer reviewed, clinical studies show the benefits of controlling carbohydrates. Management believes that this focus is prompting consumers to rebalance their nutritional breakdown away from carbohydrates. In fact, 73% of consumers are seeking to lower their carbohydrate intake according to Health Focus International. Our brand attributes, “low-carb,” “low-sugar” and “protein-rich” nutrition, are well aligned with consumer mega trends. In addition, we believe consumers’ eating habits are gradually shifting towards increased convenience, snacking and meal replacement. We also believe our portfolio of convenient and nutritious products and our ongoing effort to meet consumer demands for “cleaner labels,” which we define as products made with fewer, simpler and more recognizable ingredients, are strategically aligned with these trends.</w:t>
      </w:r>
    </w:p>
    <w:p>
      <w:pPr>
        <w:spacing w:after="0" w:line="205" w:lineRule="exact"/>
        <w:rPr>
          <w:sz w:val="20"/>
          <w:szCs w:val="20"/>
          <w:color w:val="auto"/>
        </w:rPr>
      </w:pPr>
    </w:p>
    <w:p>
      <w:pPr>
        <w:jc w:val="both"/>
        <w:ind w:firstLine="247"/>
        <w:spacing w:after="0" w:line="255" w:lineRule="auto"/>
        <w:rPr>
          <w:sz w:val="20"/>
          <w:szCs w:val="20"/>
          <w:color w:val="auto"/>
        </w:rPr>
      </w:pPr>
      <w:r>
        <w:rPr>
          <w:rFonts w:ascii="Arial" w:cs="Arial" w:eastAsia="Arial" w:hAnsi="Arial"/>
          <w:sz w:val="18"/>
          <w:szCs w:val="18"/>
          <w:i w:val="1"/>
          <w:iCs w:val="1"/>
          <w:color w:val="auto"/>
        </w:rPr>
        <w:t xml:space="preserve">Scalable snacking and food platform. </w:t>
      </w:r>
      <w:r>
        <w:rPr>
          <w:rFonts w:ascii="Arial" w:cs="Arial" w:eastAsia="Arial" w:hAnsi="Arial"/>
          <w:sz w:val="18"/>
          <w:szCs w:val="18"/>
          <w:color w:val="auto"/>
        </w:rPr>
        <w:t>We have been able to grow our product offerings for both of our nutritious snacking brands through our line</w:t>
      </w:r>
      <w:r>
        <w:rPr>
          <w:rFonts w:ascii="Arial" w:cs="Arial" w:eastAsia="Arial" w:hAnsi="Arial"/>
          <w:sz w:val="18"/>
          <w:szCs w:val="18"/>
          <w:i w:val="1"/>
          <w:iCs w:val="1"/>
          <w:color w:val="auto"/>
        </w:rPr>
        <w:t xml:space="preserve"> </w:t>
      </w:r>
      <w:r>
        <w:rPr>
          <w:rFonts w:ascii="Arial" w:cs="Arial" w:eastAsia="Arial" w:hAnsi="Arial"/>
          <w:sz w:val="18"/>
          <w:szCs w:val="18"/>
          <w:color w:val="auto"/>
        </w:rPr>
        <w:t>extensions and through acquisitions. Our in-house product development experience, combined with our outsourced manufacturing model, allow us to bring new products to market quickly. We pride ourselves on knowing our consumers and mining insights that lead to new products and ideas. We believe we can leverage our strong relationships with our retail customers and distributors, a strong brand building track record, and category management expertise to help new products, brands and brand extensions gain distribution and consumer recognition, allowing us to continue to successfully expand our snacking platform.</w:t>
      </w:r>
    </w:p>
    <w:p>
      <w:pPr>
        <w:spacing w:after="0" w:line="219" w:lineRule="exact"/>
        <w:rPr>
          <w:sz w:val="20"/>
          <w:szCs w:val="20"/>
          <w:color w:val="auto"/>
        </w:rPr>
      </w:pPr>
    </w:p>
    <w:p>
      <w:pPr>
        <w:jc w:val="both"/>
        <w:ind w:firstLine="328"/>
        <w:spacing w:after="0" w:line="275" w:lineRule="auto"/>
        <w:rPr>
          <w:sz w:val="20"/>
          <w:szCs w:val="20"/>
          <w:color w:val="auto"/>
        </w:rPr>
      </w:pPr>
      <w:r>
        <w:rPr>
          <w:rFonts w:ascii="Arial" w:cs="Arial" w:eastAsia="Arial" w:hAnsi="Arial"/>
          <w:sz w:val="17"/>
          <w:szCs w:val="17"/>
          <w:i w:val="1"/>
          <w:iCs w:val="1"/>
          <w:color w:val="auto"/>
        </w:rPr>
        <w:t>Asset-light business with strong cash generation</w:t>
      </w:r>
      <w:r>
        <w:rPr>
          <w:rFonts w:ascii="Arial" w:cs="Arial" w:eastAsia="Arial" w:hAnsi="Arial"/>
          <w:sz w:val="17"/>
          <w:szCs w:val="17"/>
          <w:color w:val="auto"/>
        </w:rPr>
        <w:t>. We retain core in-house capabilities including sales, marketing, brand management, customer</w:t>
      </w:r>
      <w:r>
        <w:rPr>
          <w:rFonts w:ascii="Arial" w:cs="Arial" w:eastAsia="Arial" w:hAnsi="Arial"/>
          <w:sz w:val="17"/>
          <w:szCs w:val="17"/>
          <w:i w:val="1"/>
          <w:iCs w:val="1"/>
          <w:color w:val="auto"/>
        </w:rPr>
        <w:t xml:space="preserve"> </w:t>
      </w:r>
      <w:r>
        <w:rPr>
          <w:rFonts w:ascii="Arial" w:cs="Arial" w:eastAsia="Arial" w:hAnsi="Arial"/>
          <w:sz w:val="17"/>
          <w:szCs w:val="17"/>
          <w:color w:val="auto"/>
        </w:rPr>
        <w:t>relationships, product development, and supply-chain expertise, while collaborating with a diversified pool of contract manufacturers and distributors to execute manufacturing and distribution. Outsourcing these competencies allows us to focus our efforts on innovation, marketing, and sales to meet consumer demands. Our lean infrastructure allows for significant flexibility, speed-to-market, and minimal capital investment, which translates into relatively consistent and robust free cash flow generation over time, driven by strong gross margins.</w:t>
      </w:r>
    </w:p>
    <w:p>
      <w:pPr>
        <w:spacing w:after="0" w:line="203" w:lineRule="exact"/>
        <w:rPr>
          <w:sz w:val="20"/>
          <w:szCs w:val="20"/>
          <w:color w:val="auto"/>
        </w:rPr>
      </w:pPr>
    </w:p>
    <w:p>
      <w:pPr>
        <w:jc w:val="both"/>
        <w:ind w:firstLine="261"/>
        <w:spacing w:after="0" w:line="277" w:lineRule="auto"/>
        <w:rPr>
          <w:sz w:val="20"/>
          <w:szCs w:val="20"/>
          <w:color w:val="auto"/>
        </w:rPr>
      </w:pPr>
      <w:r>
        <w:rPr>
          <w:rFonts w:ascii="Arial" w:cs="Arial" w:eastAsia="Arial" w:hAnsi="Arial"/>
          <w:sz w:val="18"/>
          <w:szCs w:val="18"/>
          <w:i w:val="1"/>
          <w:iCs w:val="1"/>
          <w:color w:val="auto"/>
        </w:rPr>
        <w:t>Experienced leadership team</w:t>
      </w:r>
      <w:r>
        <w:rPr>
          <w:rFonts w:ascii="Arial" w:cs="Arial" w:eastAsia="Arial" w:hAnsi="Arial"/>
          <w:sz w:val="18"/>
          <w:szCs w:val="18"/>
          <w:color w:val="auto"/>
        </w:rPr>
        <w:t>. Simply Good Foods has an experienced team of industry veterans with extensive experience across multiple branded</w:t>
      </w:r>
      <w:r>
        <w:rPr>
          <w:rFonts w:ascii="Arial" w:cs="Arial" w:eastAsia="Arial" w:hAnsi="Arial"/>
          <w:sz w:val="18"/>
          <w:szCs w:val="18"/>
          <w:i w:val="1"/>
          <w:iCs w:val="1"/>
          <w:color w:val="auto"/>
        </w:rPr>
        <w:t xml:space="preserve"> </w:t>
      </w:r>
      <w:r>
        <w:rPr>
          <w:rFonts w:ascii="Arial" w:cs="Arial" w:eastAsia="Arial" w:hAnsi="Arial"/>
          <w:sz w:val="18"/>
          <w:szCs w:val="18"/>
          <w:color w:val="auto"/>
        </w:rPr>
        <w:t>consumer products, food and nutrition categories. For example, our President and Chief Executive Officer, Joseph</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 w:name="page9"/>
    <w:bookmarkEnd w:id="8"/>
    <w:p>
      <w:pPr>
        <w:jc w:val="both"/>
        <w:spacing w:after="0" w:line="293" w:lineRule="auto"/>
        <w:rPr>
          <w:sz w:val="20"/>
          <w:szCs w:val="20"/>
          <w:color w:val="auto"/>
        </w:rPr>
      </w:pPr>
      <w:r>
        <w:rPr>
          <w:rFonts w:ascii="Arial" w:cs="Arial" w:eastAsia="Arial" w:hAnsi="Arial"/>
          <w:sz w:val="16"/>
          <w:szCs w:val="16"/>
          <w:color w:val="auto"/>
        </w:rPr>
        <w:t>Scalzo, has significant experience operating packaged goods businesses, having served in various leadership roles at Dean Foods, WhiteWave Foods, The Gillette Company, The Coca-Cola Company, and The Procter &amp; Gamble Company. Our management team’s extensive experience is complemented by the significant industry expertise of our directors James Kilts, the former Chief Executive Officer of The Gillette Company and Nabisco, and former President of Kraft USA and Oscar Mayer, and David West, the former Chief Executive Officer of Big Heart Pet Brands and The Hershey Company. Our management team’s deep expertise and proven record of accomplishment in managing brands and operating packaged food businesses is a key driver of our success and positions Simply Good Foods as an attractive vehicle for future long-term growth within the nutritional snacking space.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Strategies</w:t>
      </w:r>
    </w:p>
    <w:p>
      <w:pPr>
        <w:spacing w:after="0" w:line="252" w:lineRule="exact"/>
        <w:rPr>
          <w:sz w:val="20"/>
          <w:szCs w:val="20"/>
          <w:color w:val="auto"/>
        </w:rPr>
      </w:pPr>
    </w:p>
    <w:p>
      <w:pPr>
        <w:jc w:val="both"/>
        <w:ind w:firstLine="180"/>
        <w:spacing w:after="0" w:line="290" w:lineRule="auto"/>
        <w:rPr>
          <w:sz w:val="20"/>
          <w:szCs w:val="20"/>
          <w:color w:val="auto"/>
        </w:rPr>
      </w:pPr>
      <w:r>
        <w:rPr>
          <w:rFonts w:ascii="Arial" w:cs="Arial" w:eastAsia="Arial" w:hAnsi="Arial"/>
          <w:sz w:val="16"/>
          <w:szCs w:val="16"/>
          <w:i w:val="1"/>
          <w:iCs w:val="1"/>
          <w:color w:val="auto"/>
        </w:rPr>
        <w:t>Leverage platform to expand in attractive food and snacking categories</w:t>
      </w:r>
      <w:r>
        <w:rPr>
          <w:rFonts w:ascii="Arial" w:cs="Arial" w:eastAsia="Arial" w:hAnsi="Arial"/>
          <w:sz w:val="16"/>
          <w:szCs w:val="16"/>
          <w:color w:val="auto"/>
        </w:rPr>
        <w:t>. Management believes the fragmented snacking category presents an opportunity</w:t>
      </w:r>
      <w:r>
        <w:rPr>
          <w:rFonts w:ascii="Arial" w:cs="Arial" w:eastAsia="Arial" w:hAnsi="Arial"/>
          <w:sz w:val="16"/>
          <w:szCs w:val="16"/>
          <w:i w:val="1"/>
          <w:iCs w:val="1"/>
          <w:color w:val="auto"/>
        </w:rPr>
        <w:t xml:space="preserve"> </w:t>
      </w:r>
      <w:r>
        <w:rPr>
          <w:rFonts w:ascii="Arial" w:cs="Arial" w:eastAsia="Arial" w:hAnsi="Arial"/>
          <w:sz w:val="16"/>
          <w:szCs w:val="16"/>
          <w:color w:val="auto"/>
        </w:rPr>
        <w:t>for consolidation and the opportunity to build, through disciplined acquisitions, a leading platform in the nutritional snacking space. As a leader in nutritious snacking, we believe we have the unique capability to leverage our operating platform, product innovation expertise and customer relationships to expand beyond the Atkins and Quest brands. In addition, we believe the nutritious snacking category will continue to grow given its relatively low household penetration and favorable consumer trends of snacking, health and wellness, convenience, and on-the-go consumption. Our experienced management team has deep expertise in brand building that we believe will help us to expand the business into additional brands and products in the snacking segment. Over time, we expect to continue seeking to identify and evaluate acquisition opportunities to complement our platform, and we see significant opportunity for growth and synergies in complementary adjacent snacking categories such as the “better-for-you” eating space.</w:t>
      </w:r>
    </w:p>
    <w:p>
      <w:pPr>
        <w:spacing w:after="0" w:line="192" w:lineRule="exact"/>
        <w:rPr>
          <w:sz w:val="20"/>
          <w:szCs w:val="20"/>
          <w:color w:val="auto"/>
        </w:rPr>
      </w:pPr>
    </w:p>
    <w:p>
      <w:pPr>
        <w:jc w:val="both"/>
        <w:ind w:firstLine="247"/>
        <w:spacing w:after="0" w:line="255" w:lineRule="auto"/>
        <w:rPr>
          <w:sz w:val="20"/>
          <w:szCs w:val="20"/>
          <w:color w:val="auto"/>
        </w:rPr>
      </w:pPr>
      <w:r>
        <w:rPr>
          <w:rFonts w:ascii="Arial" w:cs="Arial" w:eastAsia="Arial" w:hAnsi="Arial"/>
          <w:sz w:val="18"/>
          <w:szCs w:val="18"/>
          <w:i w:val="1"/>
          <w:iCs w:val="1"/>
          <w:color w:val="auto"/>
        </w:rPr>
        <w:t xml:space="preserve">Innovate and expand the portfolio of product offerings to meet consumer demand for higher protein products and new product forms. </w:t>
      </w:r>
      <w:r>
        <w:rPr>
          <w:rFonts w:ascii="Arial" w:cs="Arial" w:eastAsia="Arial" w:hAnsi="Arial"/>
          <w:sz w:val="18"/>
          <w:szCs w:val="18"/>
          <w:color w:val="auto"/>
        </w:rPr>
        <w:t>We intend to</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 to enhance, strengthen and expand our product offerings with new and innovative flavors and forms and packaging alternatives, all while maintaining a commitment to delivering products that meet our nutritional profile and provide the convenience that consumers crave. Our in-house research and development laboratories allow us to develop new products internally and bring them to market quickly through our contract manufacturing network without diverging from high standards of taste, nutritional content, quality, and safety. Additionally, we intend to satisfy developing and changing consumer preferences through the pursuit of merger and acquisition transactions.</w:t>
      </w:r>
    </w:p>
    <w:p>
      <w:pPr>
        <w:spacing w:after="0" w:line="219" w:lineRule="exact"/>
        <w:rPr>
          <w:sz w:val="20"/>
          <w:szCs w:val="20"/>
          <w:color w:val="auto"/>
        </w:rPr>
      </w:pPr>
    </w:p>
    <w:p>
      <w:pPr>
        <w:jc w:val="both"/>
        <w:ind w:firstLine="207"/>
        <w:spacing w:after="0" w:line="254" w:lineRule="auto"/>
        <w:rPr>
          <w:sz w:val="20"/>
          <w:szCs w:val="20"/>
          <w:color w:val="auto"/>
        </w:rPr>
      </w:pPr>
      <w:r>
        <w:rPr>
          <w:rFonts w:ascii="Arial" w:cs="Arial" w:eastAsia="Arial" w:hAnsi="Arial"/>
          <w:sz w:val="18"/>
          <w:szCs w:val="18"/>
          <w:i w:val="1"/>
          <w:iCs w:val="1"/>
          <w:color w:val="auto"/>
        </w:rPr>
        <w:t xml:space="preserve">Expand distribution in white space opportunities. </w:t>
      </w:r>
      <w:r>
        <w:rPr>
          <w:rFonts w:ascii="Arial" w:cs="Arial" w:eastAsia="Arial" w:hAnsi="Arial"/>
          <w:sz w:val="18"/>
          <w:szCs w:val="18"/>
          <w:color w:val="auto"/>
        </w:rPr>
        <w:t>In the fifty-two weeks ended August 28, 2021, approximately 76% of Atkins’ gross sales in the U.S.</w:t>
      </w:r>
      <w:r>
        <w:rPr>
          <w:rFonts w:ascii="Arial" w:cs="Arial" w:eastAsia="Arial" w:hAnsi="Arial"/>
          <w:sz w:val="18"/>
          <w:szCs w:val="18"/>
          <w:i w:val="1"/>
          <w:iCs w:val="1"/>
          <w:color w:val="auto"/>
        </w:rPr>
        <w:t xml:space="preserve"> </w:t>
      </w:r>
      <w:r>
        <w:rPr>
          <w:rFonts w:ascii="Arial" w:cs="Arial" w:eastAsia="Arial" w:hAnsi="Arial"/>
          <w:sz w:val="18"/>
          <w:szCs w:val="18"/>
          <w:color w:val="auto"/>
        </w:rPr>
        <w:t>and approximately 53% of Quest’s gross sales in the U.S. were through the mass retailer and grocery distribution channels. Our management believes there is opportunity for the brands to further penetrate those channels as well as other distribution channels such as convenience and club stores. In addition, while shoppers have increased e-commerce purchases generally, approximately 9% of Atkins’ gross sales for the fifty-two weeks ended August 28, 2021 were through its e-commerce channel as compared to approximately 24% of Quest’s gross sales for the same period were through its e-commerce channel. We intend to leverage our brand recognition to develop further the distribution channels through which we reach consumers, including through the continued expansion of the e-commerce channel.</w:t>
      </w:r>
    </w:p>
    <w:p>
      <w:pPr>
        <w:spacing w:after="0" w:line="222" w:lineRule="exact"/>
        <w:rPr>
          <w:sz w:val="20"/>
          <w:szCs w:val="20"/>
          <w:color w:val="auto"/>
        </w:rPr>
      </w:pPr>
    </w:p>
    <w:p>
      <w:pPr>
        <w:jc w:val="both"/>
        <w:ind w:firstLine="207"/>
        <w:spacing w:after="0" w:line="259" w:lineRule="auto"/>
        <w:rPr>
          <w:sz w:val="20"/>
          <w:szCs w:val="20"/>
          <w:color w:val="auto"/>
        </w:rPr>
      </w:pPr>
      <w:r>
        <w:rPr>
          <w:rFonts w:ascii="Arial" w:cs="Arial" w:eastAsia="Arial" w:hAnsi="Arial"/>
          <w:sz w:val="18"/>
          <w:szCs w:val="18"/>
          <w:i w:val="1"/>
          <w:iCs w:val="1"/>
          <w:color w:val="auto"/>
        </w:rPr>
        <w:t xml:space="preserve">Continue our marketing efforts to increase household penetration. </w:t>
      </w:r>
      <w:r>
        <w:rPr>
          <w:rFonts w:ascii="Arial" w:cs="Arial" w:eastAsia="Arial" w:hAnsi="Arial"/>
          <w:sz w:val="18"/>
          <w:szCs w:val="18"/>
          <w:color w:val="auto"/>
        </w:rPr>
        <w:t>We intend to expand our marketing efforts to bring first-time buyers into the Atkins</w:t>
      </w:r>
      <w:r>
        <w:rPr>
          <w:rFonts w:ascii="Arial" w:cs="Arial" w:eastAsia="Arial" w:hAnsi="Arial"/>
          <w:sz w:val="18"/>
          <w:szCs w:val="18"/>
          <w:i w:val="1"/>
          <w:iCs w:val="1"/>
          <w:color w:val="auto"/>
        </w:rPr>
        <w:t xml:space="preserve"> </w:t>
      </w:r>
      <w:r>
        <w:rPr>
          <w:rFonts w:ascii="Arial" w:cs="Arial" w:eastAsia="Arial" w:hAnsi="Arial"/>
          <w:sz w:val="18"/>
          <w:szCs w:val="18"/>
          <w:color w:val="auto"/>
        </w:rPr>
        <w:t>and Quest brand franchises. Consumers who have tried our Atkins and Quest products have a relatively high repeat buying rate and long-term buying behavior, as evidenced by servings per buyer, per year. For our Atkins brand, our historic consumer base has been people interested in weight loss, and for the Quest brand it has been individuals pursuing a performance-based active and athletic lifestyle.</w:t>
      </w:r>
    </w:p>
    <w:p>
      <w:pPr>
        <w:spacing w:after="0" w:line="214" w:lineRule="exact"/>
        <w:rPr>
          <w:sz w:val="20"/>
          <w:szCs w:val="20"/>
          <w:color w:val="auto"/>
        </w:rPr>
      </w:pPr>
    </w:p>
    <w:p>
      <w:pPr>
        <w:jc w:val="both"/>
        <w:ind w:firstLine="188"/>
        <w:spacing w:after="0" w:line="289" w:lineRule="auto"/>
        <w:rPr>
          <w:sz w:val="20"/>
          <w:szCs w:val="20"/>
          <w:color w:val="auto"/>
        </w:rPr>
      </w:pPr>
      <w:r>
        <w:rPr>
          <w:rFonts w:ascii="Arial" w:cs="Arial" w:eastAsia="Arial" w:hAnsi="Arial"/>
          <w:sz w:val="16"/>
          <w:szCs w:val="16"/>
          <w:color w:val="auto"/>
        </w:rPr>
        <w:t>For both the Atkins and the Quest brands, we have an active and growing digital and social presence, using a comprehensive approach of search, banner, and search engine optimization efforts. We are a leader in social media, with a top-tier presence on Facebook, Instagram, Pinterest, Twitter and YouTube. We also have a growing network of social influencers, who promote our products in their targeted social media posts. We believe that social media is a cost-effective way of continuing to attract and retain our consumers. We believe that our ongoing efforts to educate consumers about the benefits of a lower carbohydrate lifestyle will further reinforce our brands. For our Atkins brand, we use targeted broadcast and streaming television and print ads with a celebrity-based campaign that attempts to motivate potential programmatic weight loss consumers to try the Atkins approach to healthier eating and weight loss as these Atkins consumers are our most loyal, profitable and frequent purchasers. For our Quest brand, we have recently launched a national, targeted broadcast ad campaign, and continue to leverage targeted streaming television ads and an extensive network of social media influencers who prompt our Quest brand products through their online posts to motivate new buyers and new product introductions.</w:t>
      </w:r>
    </w:p>
    <w:p>
      <w:pPr>
        <w:spacing w:after="0" w:line="193" w:lineRule="exact"/>
        <w:rPr>
          <w:sz w:val="20"/>
          <w:szCs w:val="20"/>
          <w:color w:val="auto"/>
        </w:rPr>
      </w:pPr>
    </w:p>
    <w:p>
      <w:pPr>
        <w:jc w:val="both"/>
        <w:ind w:firstLine="193"/>
        <w:spacing w:after="0" w:line="257" w:lineRule="auto"/>
        <w:rPr>
          <w:sz w:val="20"/>
          <w:szCs w:val="20"/>
          <w:color w:val="auto"/>
        </w:rPr>
      </w:pPr>
      <w:r>
        <w:rPr>
          <w:rFonts w:ascii="Arial" w:cs="Arial" w:eastAsia="Arial" w:hAnsi="Arial"/>
          <w:sz w:val="18"/>
          <w:szCs w:val="18"/>
          <w:i w:val="1"/>
          <w:iCs w:val="1"/>
          <w:color w:val="auto"/>
        </w:rPr>
        <w:t xml:space="preserve">Further develop our brand marketing strategies to reach consumers beyond our core historic buyers. </w:t>
      </w:r>
      <w:r>
        <w:rPr>
          <w:rFonts w:ascii="Arial" w:cs="Arial" w:eastAsia="Arial" w:hAnsi="Arial"/>
          <w:sz w:val="18"/>
          <w:szCs w:val="18"/>
          <w:color w:val="auto"/>
        </w:rPr>
        <w:t>We intend to continue to make focused changes to</w:t>
      </w:r>
      <w:r>
        <w:rPr>
          <w:rFonts w:ascii="Arial" w:cs="Arial" w:eastAsia="Arial" w:hAnsi="Arial"/>
          <w:sz w:val="18"/>
          <w:szCs w:val="18"/>
          <w:i w:val="1"/>
          <w:iCs w:val="1"/>
          <w:color w:val="auto"/>
        </w:rPr>
        <w:t xml:space="preserve"> </w:t>
      </w:r>
      <w:r>
        <w:rPr>
          <w:rFonts w:ascii="Arial" w:cs="Arial" w:eastAsia="Arial" w:hAnsi="Arial"/>
          <w:sz w:val="18"/>
          <w:szCs w:val="18"/>
          <w:color w:val="auto"/>
        </w:rPr>
        <w:t>our approach to consumer outreach to attract consumers beyond our historic core buyers. For the Atkins brand, we intend to continue our marketing efforts to attract self-directed low-carbohydrate eaters (those individuals not on a program diet) who buy and consume our Atkins products. For our Quest brand, we intend to continue our marketing efforts to reach consumers who are seeking products that are aligned with their choice to pursue a healthy and active lifestyle. We also note the Atkins brand has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t>approximately 93% aided brand awareness with U.S. consumers and the Quest brand has approximately 77% aided brand awareness with U.S. consumers.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Vision and Mission</w:t>
      </w:r>
    </w:p>
    <w:p>
      <w:pPr>
        <w:spacing w:after="0" w:line="252" w:lineRule="exact"/>
        <w:rPr>
          <w:sz w:val="20"/>
          <w:szCs w:val="20"/>
          <w:color w:val="auto"/>
        </w:rPr>
      </w:pPr>
    </w:p>
    <w:p>
      <w:pPr>
        <w:jc w:val="both"/>
        <w:ind w:firstLine="227"/>
        <w:spacing w:after="0" w:line="277" w:lineRule="auto"/>
        <w:rPr>
          <w:sz w:val="20"/>
          <w:szCs w:val="20"/>
          <w:color w:val="auto"/>
        </w:rPr>
      </w:pPr>
      <w:r>
        <w:rPr>
          <w:rFonts w:ascii="Arial" w:cs="Arial" w:eastAsia="Arial" w:hAnsi="Arial"/>
          <w:sz w:val="18"/>
          <w:szCs w:val="18"/>
          <w:color w:val="auto"/>
        </w:rPr>
        <w:t>Our vision is to lead the nutritional snacking movement with trusted brands that offer a variety of convenient, innovative, great-tasting, better-for-you snacks and meal replacements. Our mission is to empower healthy lives through smart and satisfying nutrition.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Core Atkins Products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Our core Atkins brand products consist of protein bars, RTD shakes, cookies and confections.</w:t>
      </w:r>
    </w:p>
    <w:p>
      <w:pPr>
        <w:spacing w:after="0" w:line="252" w:lineRule="exact"/>
        <w:rPr>
          <w:sz w:val="20"/>
          <w:szCs w:val="20"/>
          <w:color w:val="auto"/>
        </w:rPr>
      </w:pPr>
    </w:p>
    <w:p>
      <w:pPr>
        <w:jc w:val="both"/>
        <w:ind w:firstLine="220"/>
        <w:spacing w:after="0" w:line="259" w:lineRule="auto"/>
        <w:rPr>
          <w:sz w:val="20"/>
          <w:szCs w:val="20"/>
          <w:color w:val="auto"/>
        </w:rPr>
      </w:pPr>
      <w:r>
        <w:rPr>
          <w:rFonts w:ascii="Arial" w:cs="Arial" w:eastAsia="Arial" w:hAnsi="Arial"/>
          <w:sz w:val="18"/>
          <w:szCs w:val="18"/>
          <w:i w:val="1"/>
          <w:iCs w:val="1"/>
          <w:color w:val="auto"/>
        </w:rPr>
        <w:t xml:space="preserve">Protein Bars. </w:t>
      </w:r>
      <w:r>
        <w:rPr>
          <w:rFonts w:ascii="Arial" w:cs="Arial" w:eastAsia="Arial" w:hAnsi="Arial"/>
          <w:sz w:val="18"/>
          <w:szCs w:val="18"/>
          <w:color w:val="auto"/>
        </w:rPr>
        <w:t>To keep on-the-go consumers energized and fueled, our Atkins bars offer a convenient and effective solution, providing consumers with</w:t>
      </w:r>
      <w:r>
        <w:rPr>
          <w:rFonts w:ascii="Arial" w:cs="Arial" w:eastAsia="Arial" w:hAnsi="Arial"/>
          <w:sz w:val="18"/>
          <w:szCs w:val="18"/>
          <w:i w:val="1"/>
          <w:iCs w:val="1"/>
          <w:color w:val="auto"/>
        </w:rPr>
        <w:t xml:space="preserve"> </w:t>
      </w:r>
      <w:r>
        <w:rPr>
          <w:rFonts w:ascii="Arial" w:cs="Arial" w:eastAsia="Arial" w:hAnsi="Arial"/>
          <w:sz w:val="18"/>
          <w:szCs w:val="18"/>
          <w:color w:val="auto"/>
        </w:rPr>
        <w:t>protein, fiber and a delicious taste. Atkins offers two main types of bars: Atkins Meal Bars and Atkins Snack Bars. Atkins Meal Bars contain 13 to 17 grams of protein and are available in more than 10 different flavors. Atkins Snack Bars contain 7 to 13 grams of protein, with 2 to 4 grams of net carbs, and are available in 15 different varieties.</w:t>
      </w:r>
    </w:p>
    <w:p>
      <w:pPr>
        <w:spacing w:after="0" w:line="214" w:lineRule="exact"/>
        <w:rPr>
          <w:sz w:val="20"/>
          <w:szCs w:val="20"/>
          <w:color w:val="auto"/>
        </w:rPr>
      </w:pPr>
    </w:p>
    <w:p>
      <w:pPr>
        <w:jc w:val="both"/>
        <w:ind w:firstLine="180"/>
        <w:spacing w:after="0" w:line="259" w:lineRule="auto"/>
        <w:rPr>
          <w:sz w:val="20"/>
          <w:szCs w:val="20"/>
          <w:color w:val="auto"/>
        </w:rPr>
      </w:pPr>
      <w:r>
        <w:rPr>
          <w:rFonts w:ascii="Arial" w:cs="Arial" w:eastAsia="Arial" w:hAnsi="Arial"/>
          <w:sz w:val="18"/>
          <w:szCs w:val="18"/>
          <w:i w:val="1"/>
          <w:iCs w:val="1"/>
          <w:color w:val="auto"/>
        </w:rPr>
        <w:t xml:space="preserve">RTD Shakes. </w:t>
      </w:r>
      <w:r>
        <w:rPr>
          <w:rFonts w:ascii="Arial" w:cs="Arial" w:eastAsia="Arial" w:hAnsi="Arial"/>
          <w:sz w:val="18"/>
          <w:szCs w:val="18"/>
          <w:color w:val="auto"/>
        </w:rPr>
        <w:t>Our rich and creamy Atkins RTD shakes contain 10 to 15 grams of protein, as well as other important vitamins and minerals. Available in a</w:t>
      </w:r>
      <w:r>
        <w:rPr>
          <w:rFonts w:ascii="Arial" w:cs="Arial" w:eastAsia="Arial" w:hAnsi="Arial"/>
          <w:sz w:val="18"/>
          <w:szCs w:val="18"/>
          <w:i w:val="1"/>
          <w:iCs w:val="1"/>
          <w:color w:val="auto"/>
        </w:rPr>
        <w:t xml:space="preserve"> </w:t>
      </w:r>
      <w:r>
        <w:rPr>
          <w:rFonts w:ascii="Arial" w:cs="Arial" w:eastAsia="Arial" w:hAnsi="Arial"/>
          <w:sz w:val="18"/>
          <w:szCs w:val="18"/>
          <w:color w:val="auto"/>
        </w:rPr>
        <w:t>variety of flavors, including cookies and crème, café caramel and creamy chocolate, Atkins’ RTD shakes are made with high quality ingredients and are designed to provide energy balance through the day. Our Atkins’ Plus RTD shakes contain 30 grams of protein, for our consumers seeking higher protein content.</w:t>
      </w:r>
    </w:p>
    <w:p>
      <w:pPr>
        <w:spacing w:after="0" w:line="208" w:lineRule="exact"/>
        <w:rPr>
          <w:sz w:val="20"/>
          <w:szCs w:val="20"/>
          <w:color w:val="auto"/>
        </w:rPr>
      </w:pPr>
    </w:p>
    <w:p>
      <w:pPr>
        <w:jc w:val="both"/>
        <w:ind w:firstLine="193"/>
        <w:spacing w:after="0" w:line="236" w:lineRule="auto"/>
        <w:rPr>
          <w:sz w:val="20"/>
          <w:szCs w:val="20"/>
          <w:color w:val="auto"/>
        </w:rPr>
      </w:pPr>
      <w:r>
        <w:rPr>
          <w:rFonts w:ascii="Arial" w:cs="Arial" w:eastAsia="Arial" w:hAnsi="Arial"/>
          <w:sz w:val="18"/>
          <w:szCs w:val="18"/>
          <w:i w:val="1"/>
          <w:iCs w:val="1"/>
          <w:color w:val="auto"/>
        </w:rPr>
        <w:t xml:space="preserve">Confections. </w:t>
      </w:r>
      <w:r>
        <w:rPr>
          <w:rFonts w:ascii="Arial" w:cs="Arial" w:eastAsia="Arial" w:hAnsi="Arial"/>
          <w:sz w:val="18"/>
          <w:szCs w:val="18"/>
          <w:color w:val="auto"/>
        </w:rPr>
        <w:t>Our Atkins Endulge</w:t>
      </w:r>
      <w:r>
        <w:rPr>
          <w:rFonts w:ascii="Arial" w:cs="Arial" w:eastAsia="Arial" w:hAnsi="Arial"/>
          <w:sz w:val="23"/>
          <w:szCs w:val="23"/>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line, which is designed to satisfy consumers’ sweet cravings, and which we call Treats, consists of delicious desserts</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all of the added sugar. Atkins offers a variety of different Treats, such as peanut butter cups and pecan caramel clusters, each with only 1 gram of sugar or less and low net carbs, providing consumers with the option to indulge.</w:t>
      </w:r>
    </w:p>
    <w:p>
      <w:pPr>
        <w:spacing w:after="0" w:line="229" w:lineRule="exact"/>
        <w:rPr>
          <w:sz w:val="20"/>
          <w:szCs w:val="20"/>
          <w:color w:val="auto"/>
        </w:rPr>
      </w:pPr>
    </w:p>
    <w:p>
      <w:pPr>
        <w:jc w:val="both"/>
        <w:ind w:firstLine="180"/>
        <w:spacing w:after="0" w:line="263" w:lineRule="auto"/>
        <w:rPr>
          <w:sz w:val="20"/>
          <w:szCs w:val="20"/>
          <w:color w:val="auto"/>
        </w:rPr>
      </w:pPr>
      <w:r>
        <w:rPr>
          <w:rFonts w:ascii="Arial" w:cs="Arial" w:eastAsia="Arial" w:hAnsi="Arial"/>
          <w:sz w:val="18"/>
          <w:szCs w:val="18"/>
          <w:i w:val="1"/>
          <w:iCs w:val="1"/>
          <w:color w:val="auto"/>
        </w:rPr>
        <w:t xml:space="preserve">Cookies. </w:t>
      </w:r>
      <w:r>
        <w:rPr>
          <w:rFonts w:ascii="Arial" w:cs="Arial" w:eastAsia="Arial" w:hAnsi="Arial"/>
          <w:sz w:val="18"/>
          <w:szCs w:val="18"/>
          <w:color w:val="auto"/>
        </w:rPr>
        <w:t>First launched in fiscal year 2021, Atkins’ soft and chewy cookie products are a convenient source of high-protein combined with low net carbs</w:t>
      </w:r>
      <w:r>
        <w:rPr>
          <w:rFonts w:ascii="Arial" w:cs="Arial" w:eastAsia="Arial" w:hAnsi="Arial"/>
          <w:sz w:val="18"/>
          <w:szCs w:val="18"/>
          <w:i w:val="1"/>
          <w:iCs w:val="1"/>
          <w:color w:val="auto"/>
        </w:rPr>
        <w:t xml:space="preserve"> </w:t>
      </w:r>
      <w:r>
        <w:rPr>
          <w:rFonts w:ascii="Arial" w:cs="Arial" w:eastAsia="Arial" w:hAnsi="Arial"/>
          <w:sz w:val="18"/>
          <w:szCs w:val="18"/>
          <w:color w:val="auto"/>
        </w:rPr>
        <w:t>and low-sugar. These sweet tasting cookies are available in double chocolate chip, peanut butter and chocolate chip. Atkins’ cookies contain approximately 10 grams of protein, 3 grams of net carbs and approximately 1 gram of sugar or less depending on the flavor.</w:t>
      </w:r>
    </w:p>
    <w:p>
      <w:pPr>
        <w:spacing w:after="0" w:line="211" w:lineRule="exact"/>
        <w:rPr>
          <w:sz w:val="20"/>
          <w:szCs w:val="20"/>
          <w:color w:val="auto"/>
        </w:rPr>
      </w:pPr>
    </w:p>
    <w:p>
      <w:pPr>
        <w:jc w:val="both"/>
        <w:ind w:firstLine="301"/>
        <w:spacing w:after="0" w:line="275" w:lineRule="auto"/>
        <w:rPr>
          <w:sz w:val="20"/>
          <w:szCs w:val="20"/>
          <w:color w:val="auto"/>
        </w:rPr>
      </w:pPr>
      <w:r>
        <w:rPr>
          <w:rFonts w:ascii="Arial" w:cs="Arial" w:eastAsia="Arial" w:hAnsi="Arial"/>
          <w:sz w:val="17"/>
          <w:szCs w:val="17"/>
          <w:i w:val="1"/>
          <w:iCs w:val="1"/>
          <w:color w:val="auto"/>
        </w:rPr>
        <w:t xml:space="preserve">Licensed Frozen Meals. </w:t>
      </w:r>
      <w:r>
        <w:rPr>
          <w:rFonts w:ascii="Arial" w:cs="Arial" w:eastAsia="Arial" w:hAnsi="Arial"/>
          <w:sz w:val="17"/>
          <w:szCs w:val="17"/>
          <w:color w:val="auto"/>
        </w:rPr>
        <w:t>Atkins signed a license agreement with Bellisio Foods, Inc., or “Bellisio,” to license its frozen meals business. Bellisio</w:t>
      </w:r>
      <w:r>
        <w:rPr>
          <w:rFonts w:ascii="Arial" w:cs="Arial" w:eastAsia="Arial" w:hAnsi="Arial"/>
          <w:sz w:val="17"/>
          <w:szCs w:val="17"/>
          <w:i w:val="1"/>
          <w:iCs w:val="1"/>
          <w:color w:val="auto"/>
        </w:rPr>
        <w:t xml:space="preserve"> </w:t>
      </w:r>
      <w:r>
        <w:rPr>
          <w:rFonts w:ascii="Arial" w:cs="Arial" w:eastAsia="Arial" w:hAnsi="Arial"/>
          <w:sz w:val="17"/>
          <w:szCs w:val="17"/>
          <w:color w:val="auto"/>
        </w:rPr>
        <w:t>manufactures, distributes, markets, promotes and sells Atkins frozen food products under the Atkins licensed marks. These products include Atkins branded frozen breakfasts, lunches and dinners. With a large selection of meal types, including pizzas, breakfast bowls and more, we believe our frozen meals offer a great way to learn the basics of protein-rich, low-carbohydrate and low-sugar eating in a simple, convenient and delicious way. The scope of the license includes all frozen meals across all retail channels (excluding online), in the U.S., Canada and Mexico.</w:t>
      </w:r>
    </w:p>
    <w:p>
      <w:pPr>
        <w:spacing w:after="0" w:line="203" w:lineRule="exact"/>
        <w:rPr>
          <w:sz w:val="20"/>
          <w:szCs w:val="20"/>
          <w:color w:val="auto"/>
        </w:rPr>
      </w:pPr>
    </w:p>
    <w:p>
      <w:pPr>
        <w:jc w:val="both"/>
        <w:ind w:firstLine="261"/>
        <w:spacing w:after="0" w:line="277" w:lineRule="auto"/>
        <w:rPr>
          <w:sz w:val="20"/>
          <w:szCs w:val="20"/>
          <w:color w:val="auto"/>
        </w:rPr>
      </w:pPr>
      <w:r>
        <w:rPr>
          <w:rFonts w:ascii="Arial" w:cs="Arial" w:eastAsia="Arial" w:hAnsi="Arial"/>
          <w:sz w:val="18"/>
          <w:szCs w:val="18"/>
          <w:i w:val="1"/>
          <w:iCs w:val="1"/>
          <w:color w:val="auto"/>
        </w:rPr>
        <w:t xml:space="preserve">Recipes. </w:t>
      </w:r>
      <w:r>
        <w:rPr>
          <w:rFonts w:ascii="Arial" w:cs="Arial" w:eastAsia="Arial" w:hAnsi="Arial"/>
          <w:sz w:val="18"/>
          <w:szCs w:val="18"/>
          <w:color w:val="auto"/>
        </w:rPr>
        <w:t>While provided free of charge, we also offer over 1,600 protein-rich, low-carbohydrate and low-sugar recipes designed to help consumers</w:t>
      </w:r>
      <w:r>
        <w:rPr>
          <w:rFonts w:ascii="Arial" w:cs="Arial" w:eastAsia="Arial" w:hAnsi="Arial"/>
          <w:sz w:val="18"/>
          <w:szCs w:val="18"/>
          <w:i w:val="1"/>
          <w:iCs w:val="1"/>
          <w:color w:val="auto"/>
        </w:rPr>
        <w:t xml:space="preserve"> </w:t>
      </w:r>
      <w:r>
        <w:rPr>
          <w:rFonts w:ascii="Arial" w:cs="Arial" w:eastAsia="Arial" w:hAnsi="Arial"/>
          <w:sz w:val="18"/>
          <w:szCs w:val="18"/>
          <w:color w:val="auto"/>
        </w:rPr>
        <w:t>achieve and maintain a healthy lifestyle, while still enjoying delicious food.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Core Quest Products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Our core Quest brand products consist of protein bars, cookies, chips, confections and thin crust pizza.</w:t>
      </w:r>
    </w:p>
    <w:p>
      <w:pPr>
        <w:spacing w:after="0" w:line="252" w:lineRule="exact"/>
        <w:rPr>
          <w:sz w:val="20"/>
          <w:szCs w:val="20"/>
          <w:color w:val="auto"/>
        </w:rPr>
      </w:pPr>
    </w:p>
    <w:p>
      <w:pPr>
        <w:jc w:val="both"/>
        <w:ind w:firstLine="220"/>
        <w:spacing w:after="0" w:line="263" w:lineRule="auto"/>
        <w:rPr>
          <w:sz w:val="20"/>
          <w:szCs w:val="20"/>
          <w:color w:val="auto"/>
        </w:rPr>
      </w:pPr>
      <w:r>
        <w:rPr>
          <w:rFonts w:ascii="Arial" w:cs="Arial" w:eastAsia="Arial" w:hAnsi="Arial"/>
          <w:sz w:val="18"/>
          <w:szCs w:val="18"/>
          <w:i w:val="1"/>
          <w:iCs w:val="1"/>
          <w:color w:val="auto"/>
        </w:rPr>
        <w:t xml:space="preserve">Protein Bars. </w:t>
      </w:r>
      <w:r>
        <w:rPr>
          <w:rFonts w:ascii="Arial" w:cs="Arial" w:eastAsia="Arial" w:hAnsi="Arial"/>
          <w:sz w:val="18"/>
          <w:szCs w:val="18"/>
          <w:color w:val="auto"/>
        </w:rPr>
        <w:t>To keep on-the-go consumers energized and fueled, our Quest bars offer a convenient and effective solution, providing consumers with</w:t>
      </w:r>
      <w:r>
        <w:rPr>
          <w:rFonts w:ascii="Arial" w:cs="Arial" w:eastAsia="Arial" w:hAnsi="Arial"/>
          <w:sz w:val="18"/>
          <w:szCs w:val="18"/>
          <w:i w:val="1"/>
          <w:iCs w:val="1"/>
          <w:color w:val="auto"/>
        </w:rPr>
        <w:t xml:space="preserve"> </w:t>
      </w:r>
      <w:r>
        <w:rPr>
          <w:rFonts w:ascii="Arial" w:cs="Arial" w:eastAsia="Arial" w:hAnsi="Arial"/>
          <w:sz w:val="18"/>
          <w:szCs w:val="18"/>
          <w:color w:val="auto"/>
        </w:rPr>
        <w:t>protein, fiber and a delicious taste. The typical Quest bar profile contains about 20 grams of protein, 5 grams or less of net carbs and about 1 gram of sugar. Quest offers more than 25 different flavors of protein bars.</w:t>
      </w:r>
    </w:p>
    <w:p>
      <w:pPr>
        <w:spacing w:after="0" w:line="211" w:lineRule="exact"/>
        <w:rPr>
          <w:sz w:val="20"/>
          <w:szCs w:val="20"/>
          <w:color w:val="auto"/>
        </w:rPr>
      </w:pPr>
    </w:p>
    <w:p>
      <w:pPr>
        <w:jc w:val="both"/>
        <w:ind w:firstLine="193"/>
        <w:spacing w:after="0" w:line="263" w:lineRule="auto"/>
        <w:rPr>
          <w:sz w:val="20"/>
          <w:szCs w:val="20"/>
          <w:color w:val="auto"/>
        </w:rPr>
      </w:pPr>
      <w:r>
        <w:rPr>
          <w:rFonts w:ascii="Arial" w:cs="Arial" w:eastAsia="Arial" w:hAnsi="Arial"/>
          <w:sz w:val="18"/>
          <w:szCs w:val="18"/>
          <w:i w:val="1"/>
          <w:iCs w:val="1"/>
          <w:color w:val="auto"/>
        </w:rPr>
        <w:t>Cookies</w:t>
      </w:r>
      <w:r>
        <w:rPr>
          <w:rFonts w:ascii="Arial" w:cs="Arial" w:eastAsia="Arial" w:hAnsi="Arial"/>
          <w:sz w:val="18"/>
          <w:szCs w:val="18"/>
          <w:color w:val="auto"/>
        </w:rPr>
        <w:t>. First launched in 2018, Quest’s cookie products are a convenient source of high-protein combined with low net carbs and low-sugar. Available</w:t>
      </w:r>
      <w:r>
        <w:rPr>
          <w:rFonts w:ascii="Arial" w:cs="Arial" w:eastAsia="Arial" w:hAnsi="Arial"/>
          <w:sz w:val="18"/>
          <w:szCs w:val="18"/>
          <w:i w:val="1"/>
          <w:iCs w:val="1"/>
          <w:color w:val="auto"/>
        </w:rPr>
        <w:t xml:space="preserve"> </w:t>
      </w:r>
      <w:r>
        <w:rPr>
          <w:rFonts w:ascii="Arial" w:cs="Arial" w:eastAsia="Arial" w:hAnsi="Arial"/>
          <w:sz w:val="18"/>
          <w:szCs w:val="18"/>
          <w:color w:val="auto"/>
        </w:rPr>
        <w:t>in a variety of flavors including Chocolate Chip, Peanut Butter, Oatmeal Raisin and Snickerdoodle, Quest’s cookies typically contain about 15 grams of protein, 4 grams or less of net carbs and less than 1 gram of sugar.</w:t>
      </w:r>
    </w:p>
    <w:p>
      <w:pPr>
        <w:spacing w:after="0" w:line="211" w:lineRule="exact"/>
        <w:rPr>
          <w:sz w:val="20"/>
          <w:szCs w:val="20"/>
          <w:color w:val="auto"/>
        </w:rPr>
      </w:pPr>
    </w:p>
    <w:p>
      <w:pPr>
        <w:jc w:val="both"/>
        <w:ind w:firstLine="247"/>
        <w:spacing w:after="0" w:line="259" w:lineRule="auto"/>
        <w:rPr>
          <w:sz w:val="20"/>
          <w:szCs w:val="20"/>
          <w:color w:val="auto"/>
        </w:rPr>
      </w:pPr>
      <w:r>
        <w:rPr>
          <w:rFonts w:ascii="Arial" w:cs="Arial" w:eastAsia="Arial" w:hAnsi="Arial"/>
          <w:sz w:val="18"/>
          <w:szCs w:val="18"/>
          <w:i w:val="1"/>
          <w:iCs w:val="1"/>
          <w:color w:val="auto"/>
        </w:rPr>
        <w:t>Chips</w:t>
      </w:r>
      <w:r>
        <w:rPr>
          <w:rFonts w:ascii="Arial" w:cs="Arial" w:eastAsia="Arial" w:hAnsi="Arial"/>
          <w:sz w:val="18"/>
          <w:szCs w:val="18"/>
          <w:color w:val="auto"/>
        </w:rPr>
        <w:t>. Quest’s protein chips, including the tortilla-style chips launched in spring 2018, quickly became a high-selling product offering an attractive</w:t>
      </w:r>
      <w:r>
        <w:rPr>
          <w:rFonts w:ascii="Arial" w:cs="Arial" w:eastAsia="Arial" w:hAnsi="Arial"/>
          <w:sz w:val="18"/>
          <w:szCs w:val="18"/>
          <w:i w:val="1"/>
          <w:iCs w:val="1"/>
          <w:color w:val="auto"/>
        </w:rPr>
        <w:t xml:space="preserve"> </w:t>
      </w:r>
      <w:r>
        <w:rPr>
          <w:rFonts w:ascii="Arial" w:cs="Arial" w:eastAsia="Arial" w:hAnsi="Arial"/>
          <w:sz w:val="18"/>
          <w:szCs w:val="18"/>
          <w:color w:val="auto"/>
        </w:rPr>
        <w:t>nutrition profile when compared to conventional chip products. Offered in flavors including nacho cheese, ranch, chili lime, BBQ, sour cream &amp; onion, and cheddar &amp; sour cream, Quest’s chips typically contain about 18 grams of protein, about 4 grams of net carbs, and around 6 grams of fat compared to 2 grams of protein, 15 grams of net carbs and 8 grams of fat for a well-known leading conventional brand.</w:t>
      </w:r>
    </w:p>
    <w:p>
      <w:pPr>
        <w:sectPr>
          <w:pgSz w:w="11900" w:h="16838" w:orient="portrait"/>
          <w:cols w:equalWidth="0" w:num="1">
            <w:col w:w="11240"/>
          </w:cols>
          <w:pgMar w:left="320" w:top="692" w:right="3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10" w:name="page11"/>
    <w:bookmarkEnd w:id="10"/>
    <w:p>
      <w:pPr>
        <w:jc w:val="both"/>
        <w:ind w:firstLine="247"/>
        <w:spacing w:after="0" w:line="259" w:lineRule="auto"/>
        <w:rPr>
          <w:sz w:val="20"/>
          <w:szCs w:val="20"/>
          <w:color w:val="auto"/>
        </w:rPr>
      </w:pPr>
      <w:r>
        <w:rPr>
          <w:rFonts w:ascii="Arial" w:cs="Arial" w:eastAsia="Arial" w:hAnsi="Arial"/>
          <w:sz w:val="18"/>
          <w:szCs w:val="18"/>
          <w:i w:val="1"/>
          <w:iCs w:val="1"/>
          <w:color w:val="auto"/>
        </w:rPr>
        <w:t xml:space="preserve">Confections. </w:t>
      </w:r>
      <w:r>
        <w:rPr>
          <w:rFonts w:ascii="Arial" w:cs="Arial" w:eastAsia="Arial" w:hAnsi="Arial"/>
          <w:sz w:val="18"/>
          <w:szCs w:val="18"/>
          <w:color w:val="auto"/>
        </w:rPr>
        <w:t>Launched in fiscal year 2021, confections include peanut butter cups and “fudgey” brownie and “gooey” caramel candy bites sold in a</w:t>
      </w:r>
      <w:r>
        <w:rPr>
          <w:rFonts w:ascii="Arial" w:cs="Arial" w:eastAsia="Arial" w:hAnsi="Arial"/>
          <w:sz w:val="18"/>
          <w:szCs w:val="18"/>
          <w:i w:val="1"/>
          <w:iCs w:val="1"/>
          <w:color w:val="auto"/>
        </w:rPr>
        <w:t xml:space="preserve"> </w:t>
      </w:r>
      <w:r>
        <w:rPr>
          <w:rFonts w:ascii="Arial" w:cs="Arial" w:eastAsia="Arial" w:hAnsi="Arial"/>
          <w:sz w:val="18"/>
          <w:szCs w:val="18"/>
          <w:color w:val="auto"/>
        </w:rPr>
        <w:t>variety of packaging. The peanut butter cups feature a nutrition profile for two cups of 11 grams of protein, 1 gram of net carbs, less than 1 gram of sugar and 4 grams of fiber. The candy bites feature a nutrition profile of 5 grams of protein, 1 gram of net carbs, less than 1 gram of sugar, and candy bars feature 4 grams of fiber to 12 grams of protein, 3 grams of net carbs, 1 gram of sugar and 9 grams of fiber.</w:t>
      </w:r>
    </w:p>
    <w:p>
      <w:pPr>
        <w:spacing w:after="0" w:line="214" w:lineRule="exact"/>
        <w:rPr>
          <w:sz w:val="20"/>
          <w:szCs w:val="20"/>
          <w:color w:val="auto"/>
        </w:rPr>
      </w:pPr>
    </w:p>
    <w:p>
      <w:pPr>
        <w:jc w:val="both"/>
        <w:ind w:firstLine="193"/>
        <w:spacing w:after="0" w:line="301" w:lineRule="auto"/>
        <w:rPr>
          <w:sz w:val="20"/>
          <w:szCs w:val="20"/>
          <w:color w:val="auto"/>
        </w:rPr>
      </w:pPr>
      <w:r>
        <w:rPr>
          <w:rFonts w:ascii="Arial" w:cs="Arial" w:eastAsia="Arial" w:hAnsi="Arial"/>
          <w:sz w:val="16"/>
          <w:szCs w:val="16"/>
          <w:i w:val="1"/>
          <w:iCs w:val="1"/>
          <w:color w:val="auto"/>
        </w:rPr>
        <w:t>Pizza</w:t>
      </w:r>
      <w:r>
        <w:rPr>
          <w:rFonts w:ascii="Arial" w:cs="Arial" w:eastAsia="Arial" w:hAnsi="Arial"/>
          <w:sz w:val="16"/>
          <w:szCs w:val="16"/>
          <w:color w:val="auto"/>
        </w:rPr>
        <w:t>. Launched in summer 2018, Quest’s thin crust frozen pizza offers consumers a pizza experience with an improved nutritional profile versus other</w:t>
      </w:r>
      <w:r>
        <w:rPr>
          <w:rFonts w:ascii="Arial" w:cs="Arial" w:eastAsia="Arial" w:hAnsi="Arial"/>
          <w:sz w:val="16"/>
          <w:szCs w:val="16"/>
          <w:i w:val="1"/>
          <w:iCs w:val="1"/>
          <w:color w:val="auto"/>
        </w:rPr>
        <w:t xml:space="preserve"> </w:t>
      </w:r>
      <w:r>
        <w:rPr>
          <w:rFonts w:ascii="Arial" w:cs="Arial" w:eastAsia="Arial" w:hAnsi="Arial"/>
          <w:sz w:val="16"/>
          <w:szCs w:val="16"/>
          <w:color w:val="auto"/>
        </w:rPr>
        <w:t>leading frozen pizza brands. Sold in a variety of topping combinations including 4-cheese, uncured pepperoni, and supreme, Quest’s pizzas feature a nutrition profile that generally supplies about 29 grams of protein, 6 grams of net carbs or less, around 3 grams of sugar and about 18 grams of fiber compared to 12 grams of protein, 32 grams of net carbs, 2 grams of sugar and 1 gram of fiber for a well-known leading frozen pizza brand.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Advertising and Consumer Outreach</w:t>
      </w:r>
    </w:p>
    <w:p>
      <w:pPr>
        <w:spacing w:after="0" w:line="252" w:lineRule="exact"/>
        <w:rPr>
          <w:sz w:val="20"/>
          <w:szCs w:val="20"/>
          <w:color w:val="auto"/>
        </w:rPr>
      </w:pPr>
    </w:p>
    <w:p>
      <w:pPr>
        <w:jc w:val="both"/>
        <w:ind w:firstLine="228"/>
        <w:spacing w:after="0" w:line="272" w:lineRule="auto"/>
        <w:rPr>
          <w:sz w:val="20"/>
          <w:szCs w:val="20"/>
          <w:color w:val="auto"/>
        </w:rPr>
      </w:pPr>
      <w:r>
        <w:rPr>
          <w:rFonts w:ascii="Arial" w:cs="Arial" w:eastAsia="Arial" w:hAnsi="Arial"/>
          <w:sz w:val="17"/>
          <w:szCs w:val="17"/>
          <w:color w:val="auto"/>
        </w:rPr>
        <w:t>Our marketing efforts are designed to increase consumer awareness of and demand for our products. We employ a broad mix of marketing, including coupons, in-store product sampling, consumer and trade events, advertising (television, online and print) and recipe and food plans, to target our consumers. We also use online resources, including social media sites, to communicate with consumers and build interest in our brands. Our advertising and use of online resources are aimed at increasing consumer preference and usage of our brands. Our trade promotions focus on obtaining retail feature and display support, achieving optimum retail product prices and securing retail shelf space. We use coupons (freestanding insert newspaper, store register, on-pack and online mail coupons) to help stimulate product trial and repeat purchases by providing consumers with economic incentives. The mix of these marketing activities varies between the Atkins and Quest brands.</w:t>
      </w:r>
    </w:p>
    <w:p>
      <w:pPr>
        <w:spacing w:after="0" w:line="204" w:lineRule="exact"/>
        <w:rPr>
          <w:sz w:val="20"/>
          <w:szCs w:val="20"/>
          <w:color w:val="auto"/>
        </w:rPr>
      </w:pPr>
    </w:p>
    <w:p>
      <w:pPr>
        <w:jc w:val="both"/>
        <w:ind w:firstLine="249"/>
        <w:spacing w:after="0" w:line="255" w:lineRule="auto"/>
        <w:rPr>
          <w:sz w:val="20"/>
          <w:szCs w:val="20"/>
          <w:color w:val="auto"/>
        </w:rPr>
      </w:pPr>
      <w:r>
        <w:rPr>
          <w:rFonts w:ascii="Arial" w:cs="Arial" w:eastAsia="Arial" w:hAnsi="Arial"/>
          <w:sz w:val="18"/>
          <w:szCs w:val="18"/>
          <w:color w:val="auto"/>
        </w:rPr>
        <w:t>We have devoted portions of our respective brand websites to interactive communities designed to promote consumer dialogue about the nutritional values and benefits of our products and suggestions for their use. Our sales and marketing team gathers information and feedback from consumers and retailers to enable us to better meet changing consumer needs. We also believe that an effective marketing tool is to share educational information through our brand websites to explain each brand’s approach to nutrition, teaching consumers how to make smarter food choices and the nutritional qualities of our products. We also provide access to consumer service representatives to answer questions and educate consumers on nutrition, new products and developments.</w:t>
      </w:r>
    </w:p>
    <w:p>
      <w:pPr>
        <w:spacing w:after="0" w:line="219" w:lineRule="exact"/>
        <w:rPr>
          <w:sz w:val="20"/>
          <w:szCs w:val="20"/>
          <w:color w:val="auto"/>
        </w:rPr>
      </w:pPr>
    </w:p>
    <w:p>
      <w:pPr>
        <w:jc w:val="both"/>
        <w:ind w:firstLine="186"/>
        <w:spacing w:after="0" w:line="286" w:lineRule="auto"/>
        <w:rPr>
          <w:sz w:val="20"/>
          <w:szCs w:val="20"/>
          <w:color w:val="auto"/>
        </w:rPr>
      </w:pPr>
      <w:r>
        <w:rPr>
          <w:rFonts w:ascii="Arial" w:cs="Arial" w:eastAsia="Arial" w:hAnsi="Arial"/>
          <w:sz w:val="17"/>
          <w:szCs w:val="17"/>
          <w:color w:val="auto"/>
        </w:rPr>
        <w:t>For both brands, in order to facilitate awareness and knowledge of the health benefits of a low-carbohydrate, low-sugar and protein-rich eating approach, we have established a variety of marketing and advertising strategies to connect with consumers, including digital marketing and social media platforms, television broadcast and streaming advertising as well as celebrity and social media influencer endorsements.</w:t>
      </w:r>
    </w:p>
    <w:p>
      <w:pPr>
        <w:spacing w:after="0" w:line="192" w:lineRule="exact"/>
        <w:rPr>
          <w:sz w:val="20"/>
          <w:szCs w:val="20"/>
          <w:color w:val="auto"/>
        </w:rPr>
      </w:pPr>
    </w:p>
    <w:p>
      <w:pPr>
        <w:jc w:val="both"/>
        <w:ind w:firstLine="232"/>
        <w:spacing w:after="0" w:line="263" w:lineRule="auto"/>
        <w:rPr>
          <w:sz w:val="20"/>
          <w:szCs w:val="20"/>
          <w:color w:val="auto"/>
        </w:rPr>
      </w:pPr>
      <w:r>
        <w:rPr>
          <w:rFonts w:ascii="Arial" w:cs="Arial" w:eastAsia="Arial" w:hAnsi="Arial"/>
          <w:sz w:val="18"/>
          <w:szCs w:val="18"/>
          <w:color w:val="auto"/>
        </w:rPr>
        <w:t>For both brands, we have built large consumer followings. Beyond the core historic consumers for each of our brands, we believe there is significant opportunity to increase household penetration for our products by expanding our marketing, product offerings and educational efforts to consumers who are focused more generally on long-term healthy living.</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In the fifty-two weeks ended August 28, 2021, approximately 66% of </w:t>
      </w:r>
      <w:r>
        <w:rPr>
          <w:rFonts w:ascii="Arial" w:cs="Arial" w:eastAsia="Arial" w:hAnsi="Arial"/>
          <w:sz w:val="18"/>
          <w:szCs w:val="18"/>
          <w:i w:val="1"/>
          <w:iCs w:val="1"/>
          <w:color w:val="auto"/>
        </w:rPr>
        <w:t>Selling and marketing</w:t>
      </w:r>
      <w:r>
        <w:rPr>
          <w:rFonts w:ascii="Arial" w:cs="Arial" w:eastAsia="Arial" w:hAnsi="Arial"/>
          <w:sz w:val="18"/>
          <w:szCs w:val="18"/>
          <w:color w:val="auto"/>
        </w:rPr>
        <w:t xml:space="preserve"> expenses were spent on advertising costs.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Innovation</w:t>
      </w:r>
    </w:p>
    <w:p>
      <w:pPr>
        <w:spacing w:after="0" w:line="252" w:lineRule="exact"/>
        <w:rPr>
          <w:sz w:val="20"/>
          <w:szCs w:val="20"/>
          <w:color w:val="auto"/>
        </w:rPr>
      </w:pPr>
    </w:p>
    <w:p>
      <w:pPr>
        <w:jc w:val="both"/>
        <w:ind w:firstLine="241"/>
        <w:spacing w:after="0" w:line="301" w:lineRule="auto"/>
        <w:rPr>
          <w:sz w:val="20"/>
          <w:szCs w:val="20"/>
          <w:color w:val="auto"/>
        </w:rPr>
      </w:pPr>
      <w:r>
        <w:rPr>
          <w:rFonts w:ascii="Arial" w:cs="Arial" w:eastAsia="Arial" w:hAnsi="Arial"/>
          <w:sz w:val="16"/>
          <w:szCs w:val="16"/>
          <w:color w:val="auto"/>
        </w:rPr>
        <w:t>A portion of our sales is driven by new products, and as a result, we believe innovation is, and will continue to be, an important component of our business. We take a deliberate approach to new product development, focusing on enhancing existing products, innovating flavor and form varieties, and expanding into adjacent snacking products. Our innovation model is designed to respond to competitive demands, with a primary focus on enhancing the quality and flavor of our products while simplifying composition and reducing the number of ingredients to meet consumer demands for cleaner labels.</w:t>
      </w:r>
    </w:p>
    <w:p>
      <w:pPr>
        <w:spacing w:after="0" w:line="184" w:lineRule="exact"/>
        <w:rPr>
          <w:sz w:val="20"/>
          <w:szCs w:val="20"/>
          <w:color w:val="auto"/>
        </w:rPr>
      </w:pPr>
    </w:p>
    <w:p>
      <w:pPr>
        <w:jc w:val="both"/>
        <w:ind w:firstLine="281"/>
        <w:spacing w:after="0" w:line="263" w:lineRule="auto"/>
        <w:rPr>
          <w:sz w:val="20"/>
          <w:szCs w:val="20"/>
          <w:color w:val="auto"/>
        </w:rPr>
      </w:pPr>
      <w:r>
        <w:rPr>
          <w:rFonts w:ascii="Arial" w:cs="Arial" w:eastAsia="Arial" w:hAnsi="Arial"/>
          <w:sz w:val="18"/>
          <w:szCs w:val="18"/>
          <w:color w:val="auto"/>
        </w:rPr>
        <w:t>Our innovation strategy is based on ongoing research into consumers’ healthy lifestyle and nutritional needs. We pride ourselves on knowing our consumers and developing products that meet their needs. Providing variety in snacking options to our consumers is an important strategy in our product innovation. New flavors, textures and snacking formats are important to meeting consumer needs.</w:t>
      </w:r>
    </w:p>
    <w:p>
      <w:pPr>
        <w:spacing w:after="0" w:line="211" w:lineRule="exact"/>
        <w:rPr>
          <w:sz w:val="20"/>
          <w:szCs w:val="20"/>
          <w:color w:val="auto"/>
        </w:rPr>
      </w:pPr>
    </w:p>
    <w:p>
      <w:pPr>
        <w:jc w:val="both"/>
        <w:ind w:firstLine="229"/>
        <w:spacing w:after="0" w:line="311" w:lineRule="auto"/>
        <w:rPr>
          <w:sz w:val="20"/>
          <w:szCs w:val="20"/>
          <w:color w:val="auto"/>
        </w:rPr>
      </w:pPr>
      <w:r>
        <w:rPr>
          <w:rFonts w:ascii="Arial" w:cs="Arial" w:eastAsia="Arial" w:hAnsi="Arial"/>
          <w:sz w:val="16"/>
          <w:szCs w:val="16"/>
          <w:color w:val="auto"/>
        </w:rPr>
        <w:t>Management believes that an important component of meeting consumers’ nutritional needs is a focus on evolving current products and creating new products with cleaner and fewer ingredients. Accordingly, we are committed to continually finding new and innovative formulations to reduce the number of ingredients in our products, as well as using “better-for-you” ingredients like nuts, fiber and whey protein, while continually improving taste and quality.</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1" w:name="page12"/>
    <w:bookmarkEnd w:id="11"/>
    <w:p>
      <w:pPr>
        <w:jc w:val="both"/>
        <w:ind w:firstLine="280"/>
        <w:spacing w:after="0" w:line="311" w:lineRule="auto"/>
        <w:rPr>
          <w:sz w:val="20"/>
          <w:szCs w:val="20"/>
          <w:color w:val="auto"/>
        </w:rPr>
      </w:pPr>
      <w:r>
        <w:rPr>
          <w:rFonts w:ascii="Arial" w:cs="Arial" w:eastAsia="Arial" w:hAnsi="Arial"/>
          <w:sz w:val="16"/>
          <w:szCs w:val="16"/>
          <w:color w:val="auto"/>
        </w:rPr>
        <w:t>We maintain an in-house research and development team as well as market research and consumer insight capabilities. Through our research and development labs in El Segundo, California and Louisville, Colorado, we control our brands’ innovations and product formulations from the ground up. By developing new products, prototypes and adjacencies in-house, we facilitate our core competencies in product innovation, and enhance our speed to market.</w:t>
      </w:r>
    </w:p>
    <w:p>
      <w:pPr>
        <w:spacing w:after="0" w:line="176" w:lineRule="exact"/>
        <w:rPr>
          <w:sz w:val="20"/>
          <w:szCs w:val="20"/>
          <w:color w:val="auto"/>
        </w:rPr>
      </w:pPr>
    </w:p>
    <w:p>
      <w:pPr>
        <w:jc w:val="both"/>
        <w:ind w:firstLine="205"/>
        <w:spacing w:after="0" w:line="259" w:lineRule="auto"/>
        <w:rPr>
          <w:sz w:val="20"/>
          <w:szCs w:val="20"/>
          <w:color w:val="auto"/>
        </w:rPr>
      </w:pPr>
      <w:r>
        <w:rPr>
          <w:rFonts w:ascii="Arial" w:cs="Arial" w:eastAsia="Arial" w:hAnsi="Arial"/>
          <w:sz w:val="18"/>
          <w:szCs w:val="18"/>
          <w:color w:val="auto"/>
        </w:rPr>
        <w:t>In addition, as part of our innovation process, we collaborate with nationally recognized third-party flavor providers and product development firms for new product development and then conduct our own proprietary consumer research to identify and improve upon new product concepts. We plan to continue conducting extensive consumer research to develop successful new products including product flavor and concept testing, marketing and trend analysis, and consumer prototype testing.</w:t>
      </w:r>
    </w:p>
    <w:p>
      <w:pPr>
        <w:spacing w:after="0" w:line="214" w:lineRule="exact"/>
        <w:rPr>
          <w:sz w:val="20"/>
          <w:szCs w:val="20"/>
          <w:color w:val="auto"/>
        </w:rPr>
      </w:pPr>
    </w:p>
    <w:p>
      <w:pPr>
        <w:jc w:val="both"/>
        <w:ind w:firstLine="202"/>
        <w:spacing w:after="0" w:line="254" w:lineRule="auto"/>
        <w:rPr>
          <w:sz w:val="20"/>
          <w:szCs w:val="20"/>
          <w:color w:val="auto"/>
        </w:rPr>
      </w:pPr>
      <w:r>
        <w:rPr>
          <w:rFonts w:ascii="Arial" w:cs="Arial" w:eastAsia="Arial" w:hAnsi="Arial"/>
          <w:sz w:val="18"/>
          <w:szCs w:val="18"/>
          <w:color w:val="auto"/>
        </w:rPr>
        <w:t>Management also believes the fragmented snacking category presents an opportunity for consolidation and the opportunity to build, through disciplined acquisitions, a leading platform in the nutritional snacking space. As a leader in nutritious snacking, management believes we have the unique capability to leverage our operating platform and customer relationships to expand beyond our current brands. Our experienced management team has deep expertise in brand building to expand the business into additional brands and products in the nutritional snacking segment. Simply Good Foods is actively seeking to identify and evaluate new acquisition opportunities to complement our existing portfolio, and sees significant opportunity for growth and synergies in complementary adjacent snacking categories such as sports/active and adult nutritional snacks, salty snacks and protein snacks, as well as in the “better-for-you” eating space.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252" w:lineRule="exact"/>
        <w:rPr>
          <w:sz w:val="20"/>
          <w:szCs w:val="20"/>
          <w:color w:val="auto"/>
        </w:rPr>
      </w:pPr>
    </w:p>
    <w:p>
      <w:pPr>
        <w:jc w:val="both"/>
        <w:ind w:firstLine="332"/>
        <w:spacing w:after="0" w:line="275" w:lineRule="auto"/>
        <w:rPr>
          <w:sz w:val="20"/>
          <w:szCs w:val="20"/>
          <w:color w:val="auto"/>
        </w:rPr>
      </w:pPr>
      <w:r>
        <w:rPr>
          <w:rFonts w:ascii="Arial" w:cs="Arial" w:eastAsia="Arial" w:hAnsi="Arial"/>
          <w:sz w:val="17"/>
          <w:szCs w:val="17"/>
          <w:color w:val="auto"/>
        </w:rPr>
        <w:t>We own numerous domestic and international trademarks and other proprietary rights that are important to our business. Depending upon the jurisdiction, trademarks are valid if they are used in the regular course of trade and/or their registrations are properly maintained. We believe the protection of our trademarks, copyrights, patents, domain names, trade dress and trade secrets are important to our success. We aggressively protect our intellectual property rights by relying on a combination of watch services and trademark, copyright, patent, trade dress and trade secret laws, and through the domain name dispute resolution system. We also own virtually all of the recipes and specifications to our products.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52" w:lineRule="exact"/>
        <w:rPr>
          <w:sz w:val="20"/>
          <w:szCs w:val="20"/>
          <w:color w:val="auto"/>
        </w:rPr>
      </w:pPr>
    </w:p>
    <w:p>
      <w:pPr>
        <w:jc w:val="both"/>
        <w:ind w:firstLine="177"/>
        <w:spacing w:after="0" w:line="259" w:lineRule="auto"/>
        <w:rPr>
          <w:sz w:val="20"/>
          <w:szCs w:val="20"/>
          <w:color w:val="auto"/>
        </w:rPr>
      </w:pPr>
      <w:r>
        <w:rPr>
          <w:rFonts w:ascii="Arial" w:cs="Arial" w:eastAsia="Arial" w:hAnsi="Arial"/>
          <w:sz w:val="18"/>
          <w:szCs w:val="18"/>
          <w:color w:val="auto"/>
        </w:rPr>
        <w:t>We compete primarily with nutritional snacking brands in large retail and e-commerce environments. The nutritional snacking industry is fragmented and highly competitive and includes a number of diverse competitors. Our identified branded competitors include, but are not limited to, CLIF Bar, KIND bars, Special K, Boost, Slimfast, Muscle Milk, ONE bar, Pure Protein, Premier Nutrition and think!. We believe that the principal competitive factors in the nutritional snacking and weight management industries are:</w:t>
      </w:r>
    </w:p>
    <w:p>
      <w:pPr>
        <w:spacing w:after="0" w:line="214"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brand awareness and loyalty among consumers;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ingredients;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taste;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low-carbohydrate, low-sugar, protein-rich versus other nutritional approaches;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convenience;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media spending;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product variety and packaging;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access to retailer shelf space.</w:t>
      </w:r>
    </w:p>
    <w:p>
      <w:pPr>
        <w:spacing w:after="0" w:line="238" w:lineRule="exact"/>
        <w:rPr>
          <w:sz w:val="20"/>
          <w:szCs w:val="20"/>
          <w:color w:val="auto"/>
        </w:rPr>
      </w:pPr>
    </w:p>
    <w:p>
      <w:pPr>
        <w:jc w:val="both"/>
        <w:ind w:firstLine="199"/>
        <w:spacing w:after="0" w:line="259" w:lineRule="auto"/>
        <w:rPr>
          <w:sz w:val="20"/>
          <w:szCs w:val="20"/>
          <w:color w:val="auto"/>
        </w:rPr>
      </w:pPr>
      <w:r>
        <w:rPr>
          <w:rFonts w:ascii="Arial" w:cs="Arial" w:eastAsia="Arial" w:hAnsi="Arial"/>
          <w:sz w:val="18"/>
          <w:szCs w:val="18"/>
          <w:color w:val="auto"/>
        </w:rPr>
        <w:t>We believe that we currently compete effectively with respect to each of these factors. However, a number of companies in the nutritional snacking and weight management industry have greater financial resources, more comprehensive product lines, broader market presence, longer standing relationships with distributors and suppliers, longer operating histories, greater distribution capabilities, stronger brand recognition, and greater marketing resources than we have.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Chain</w:t>
      </w:r>
    </w:p>
    <w:p>
      <w:pPr>
        <w:spacing w:after="0" w:line="252" w:lineRule="exact"/>
        <w:rPr>
          <w:sz w:val="20"/>
          <w:szCs w:val="20"/>
          <w:color w:val="auto"/>
        </w:rPr>
      </w:pPr>
    </w:p>
    <w:p>
      <w:pPr>
        <w:jc w:val="both"/>
        <w:ind w:firstLine="291"/>
        <w:spacing w:after="0" w:line="263" w:lineRule="auto"/>
        <w:rPr>
          <w:sz w:val="20"/>
          <w:szCs w:val="20"/>
          <w:color w:val="auto"/>
        </w:rPr>
      </w:pPr>
      <w:r>
        <w:rPr>
          <w:rFonts w:ascii="Arial" w:cs="Arial" w:eastAsia="Arial" w:hAnsi="Arial"/>
          <w:sz w:val="18"/>
          <w:szCs w:val="18"/>
          <w:color w:val="auto"/>
        </w:rPr>
        <w:t>We operate an asset-light business model. For the manufacture of our products, we subcontract with contract manufacturers, and as a result, our operations are highly flexible and require minimal capital expenditure. The supply chain for our international business also uses exclusively contract manufacturers.</w:t>
      </w:r>
    </w:p>
    <w:p>
      <w:pPr>
        <w:spacing w:after="0" w:line="211" w:lineRule="exact"/>
        <w:rPr>
          <w:sz w:val="20"/>
          <w:szCs w:val="20"/>
          <w:color w:val="auto"/>
        </w:rPr>
      </w:pPr>
    </w:p>
    <w:p>
      <w:pPr>
        <w:jc w:val="both"/>
        <w:ind w:firstLine="180"/>
        <w:spacing w:after="0" w:line="255" w:lineRule="auto"/>
        <w:rPr>
          <w:sz w:val="20"/>
          <w:szCs w:val="20"/>
          <w:color w:val="auto"/>
        </w:rPr>
      </w:pPr>
      <w:r>
        <w:rPr>
          <w:rFonts w:ascii="Arial" w:cs="Arial" w:eastAsia="Arial" w:hAnsi="Arial"/>
          <w:sz w:val="18"/>
          <w:szCs w:val="18"/>
          <w:i w:val="1"/>
          <w:iCs w:val="1"/>
          <w:color w:val="auto"/>
        </w:rPr>
        <w:t>U.S. Supply Chain</w:t>
      </w:r>
      <w:r>
        <w:rPr>
          <w:rFonts w:ascii="Arial" w:cs="Arial" w:eastAsia="Arial" w:hAnsi="Arial"/>
          <w:sz w:val="18"/>
          <w:szCs w:val="18"/>
          <w:color w:val="auto"/>
        </w:rPr>
        <w:t>. The majority of our products are shipped directly to one central warehouse for the Atkins brand and one for the Quest brand, each of</w:t>
      </w:r>
      <w:r>
        <w:rPr>
          <w:rFonts w:ascii="Arial" w:cs="Arial" w:eastAsia="Arial" w:hAnsi="Arial"/>
          <w:sz w:val="18"/>
          <w:szCs w:val="18"/>
          <w:i w:val="1"/>
          <w:iCs w:val="1"/>
          <w:color w:val="auto"/>
        </w:rPr>
        <w:t xml:space="preserve"> </w:t>
      </w:r>
      <w:r>
        <w:rPr>
          <w:rFonts w:ascii="Arial" w:cs="Arial" w:eastAsia="Arial" w:hAnsi="Arial"/>
          <w:sz w:val="18"/>
          <w:szCs w:val="18"/>
          <w:color w:val="auto"/>
        </w:rPr>
        <w:t>which is a leased warehouse managed by the same third-party logistics provider. We are in the process of combining most of our warehouse operations into a newly constructed larger warehouse facility. We intend to keep one of our original warehouses for a portion of our distribution needs. A substantial portion of our inventory is shipped directly to our retailers from these centers by the same third-party logistics provider. Most of our remaining customers pick-up their orders at our distribution centers and make their own arrangements for delivery to their fulfillment network. For certain customers, RTD shakes are shipped directly from the</w:t>
      </w:r>
    </w:p>
    <w:p>
      <w:pPr>
        <w:sectPr>
          <w:pgSz w:w="11900" w:h="16838" w:orient="portrait"/>
          <w:cols w:equalWidth="0" w:num="1">
            <w:col w:w="11240"/>
          </w:cols>
          <w:pgMar w:left="320" w:top="692" w:right="339" w:bottom="1440" w:gutter="0" w:footer="0" w:header="0"/>
        </w:sect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12" w:name="page13"/>
    <w:bookmarkEnd w:id="12"/>
    <w:p>
      <w:pPr>
        <w:jc w:val="both"/>
        <w:ind w:right="20"/>
        <w:spacing w:after="0" w:line="277" w:lineRule="auto"/>
        <w:rPr>
          <w:sz w:val="20"/>
          <w:szCs w:val="20"/>
          <w:color w:val="auto"/>
        </w:rPr>
      </w:pPr>
      <w:r>
        <w:rPr>
          <w:rFonts w:ascii="Arial" w:cs="Arial" w:eastAsia="Arial" w:hAnsi="Arial"/>
          <w:sz w:val="18"/>
          <w:szCs w:val="18"/>
          <w:color w:val="auto"/>
        </w:rPr>
        <w:t>contract manufacturer to the customers’ locations. We believe our use of demand forecasting and vendor-managed inventory systems enables us to meet shipping demands, ensure timely delivery of orders and offer service levels to our customers.</w:t>
      </w:r>
    </w:p>
    <w:p>
      <w:pPr>
        <w:spacing w:after="0" w:line="197" w:lineRule="exact"/>
        <w:rPr>
          <w:sz w:val="20"/>
          <w:szCs w:val="20"/>
          <w:color w:val="auto"/>
        </w:rPr>
      </w:pPr>
    </w:p>
    <w:p>
      <w:pPr>
        <w:jc w:val="both"/>
        <w:ind w:firstLine="247"/>
        <w:spacing w:after="0" w:line="254" w:lineRule="auto"/>
        <w:rPr>
          <w:sz w:val="20"/>
          <w:szCs w:val="20"/>
          <w:color w:val="auto"/>
        </w:rPr>
      </w:pPr>
      <w:r>
        <w:rPr>
          <w:rFonts w:ascii="Arial" w:cs="Arial" w:eastAsia="Arial" w:hAnsi="Arial"/>
          <w:sz w:val="18"/>
          <w:szCs w:val="18"/>
          <w:i w:val="1"/>
          <w:iCs w:val="1"/>
          <w:color w:val="auto"/>
        </w:rPr>
        <w:t xml:space="preserve">Sourcing. </w:t>
      </w:r>
      <w:r>
        <w:rPr>
          <w:rFonts w:ascii="Arial" w:cs="Arial" w:eastAsia="Arial" w:hAnsi="Arial"/>
          <w:sz w:val="18"/>
          <w:szCs w:val="18"/>
          <w:color w:val="auto"/>
        </w:rPr>
        <w:t>The principal ingredients to manufacture our products include chocolate and other coatings, dairy, proteins, soy, and nuts. Our packaging</w:t>
      </w:r>
      <w:r>
        <w:rPr>
          <w:rFonts w:ascii="Arial" w:cs="Arial" w:eastAsia="Arial" w:hAnsi="Arial"/>
          <w:sz w:val="18"/>
          <w:szCs w:val="18"/>
          <w:i w:val="1"/>
          <w:iCs w:val="1"/>
          <w:color w:val="auto"/>
        </w:rPr>
        <w:t xml:space="preserve"> </w:t>
      </w:r>
      <w:r>
        <w:rPr>
          <w:rFonts w:ascii="Arial" w:cs="Arial" w:eastAsia="Arial" w:hAnsi="Arial"/>
          <w:sz w:val="18"/>
          <w:szCs w:val="18"/>
          <w:color w:val="auto"/>
        </w:rPr>
        <w:t>supplies consist of flexible film, cartons, tetra paper, and corrugate. All of our core ingredients are purchased according to rigorous standards to assure food quality and safety. These core ingredients are generally available in adequate quantities from several suppliers, and to date, core ingredient supplies have largely not been affected by the supply chain challenges related to the COVID-19 pandemic. We competitively bid with major suppliers to source competitively priced, quality ingredients and packaging that meet our standards. For certain ingredients such as milk protein concentrate, whey proteins, chocolate coatings, some nuts, soy crisps, and liquid soy, we establish direct purchasing agreements with suppliers, under which our contract manufacturers source ingredients to produce finished products. We also actively manage the cost of our packaging needs, such as corrugated, film, printed boxes, and tetra cartons.</w:t>
      </w:r>
    </w:p>
    <w:p>
      <w:pPr>
        <w:spacing w:after="0" w:line="219" w:lineRule="exact"/>
        <w:rPr>
          <w:sz w:val="20"/>
          <w:szCs w:val="20"/>
          <w:color w:val="auto"/>
        </w:rPr>
      </w:pPr>
    </w:p>
    <w:p>
      <w:pPr>
        <w:jc w:val="both"/>
        <w:ind w:firstLine="288"/>
        <w:spacing w:after="0" w:line="270" w:lineRule="auto"/>
        <w:rPr>
          <w:sz w:val="20"/>
          <w:szCs w:val="20"/>
          <w:color w:val="auto"/>
        </w:rPr>
      </w:pPr>
      <w:r>
        <w:rPr>
          <w:rFonts w:ascii="Arial" w:cs="Arial" w:eastAsia="Arial" w:hAnsi="Arial"/>
          <w:sz w:val="17"/>
          <w:szCs w:val="17"/>
          <w:i w:val="1"/>
          <w:iCs w:val="1"/>
          <w:color w:val="auto"/>
        </w:rPr>
        <w:t xml:space="preserve">Manufacturing. </w:t>
      </w:r>
      <w:r>
        <w:rPr>
          <w:rFonts w:ascii="Arial" w:cs="Arial" w:eastAsia="Arial" w:hAnsi="Arial"/>
          <w:sz w:val="17"/>
          <w:szCs w:val="17"/>
          <w:color w:val="auto"/>
        </w:rPr>
        <w:t>We rely on contract manufacturers to manufacture our products. The contract manufacturers schedule and receive ingredient and</w:t>
      </w:r>
      <w:r>
        <w:rPr>
          <w:rFonts w:ascii="Arial" w:cs="Arial" w:eastAsia="Arial" w:hAnsi="Arial"/>
          <w:sz w:val="17"/>
          <w:szCs w:val="17"/>
          <w:i w:val="1"/>
          <w:iCs w:val="1"/>
          <w:color w:val="auto"/>
        </w:rPr>
        <w:t xml:space="preserve"> </w:t>
      </w:r>
      <w:r>
        <w:rPr>
          <w:rFonts w:ascii="Arial" w:cs="Arial" w:eastAsia="Arial" w:hAnsi="Arial"/>
          <w:sz w:val="17"/>
          <w:szCs w:val="17"/>
          <w:color w:val="auto"/>
        </w:rPr>
        <w:t>packaging inventory according to parameters set in their contracts and forecasts we provide. As noted above, some ingredients and packaging are purchased by our contract manufacturers pursuant to framework contracts we have with the applicable suppliers. Our contract manufacturers are regularly audited by third parties and are required to follow rigorous food safety guidelines. We believe our contract manufacturers have capacity to meet our anticipated supply needs, although short-term high demand can cause disruptions. We monitor both near-term and long-term capacity as well as fulfillment rates and overall performance of our manufacturing partners and qualify alternate suppliers as needed. In general, we purchase finished products from our contract manufacturers, which includes all packaging and ingredients used, as well as an agreed-upon tolling charge for each item produced. These finished products are then shipped directly to our distribution centers, or shipped directly from the contract manufacturer to the customer, in the case of RTDs to select customers.</w:t>
      </w:r>
    </w:p>
    <w:p>
      <w:pPr>
        <w:spacing w:after="0" w:line="208" w:lineRule="exact"/>
        <w:rPr>
          <w:sz w:val="20"/>
          <w:szCs w:val="20"/>
          <w:color w:val="auto"/>
        </w:rPr>
      </w:pPr>
    </w:p>
    <w:p>
      <w:pPr>
        <w:jc w:val="both"/>
        <w:ind w:firstLine="207"/>
        <w:spacing w:after="0" w:line="263" w:lineRule="auto"/>
        <w:rPr>
          <w:sz w:val="20"/>
          <w:szCs w:val="20"/>
          <w:color w:val="auto"/>
        </w:rPr>
      </w:pPr>
      <w:r>
        <w:rPr>
          <w:rFonts w:ascii="Arial" w:cs="Arial" w:eastAsia="Arial" w:hAnsi="Arial"/>
          <w:sz w:val="18"/>
          <w:szCs w:val="18"/>
          <w:i w:val="1"/>
          <w:iCs w:val="1"/>
          <w:color w:val="auto"/>
        </w:rPr>
        <w:t xml:space="preserve">U.S. Storage. </w:t>
      </w:r>
      <w:r>
        <w:rPr>
          <w:rFonts w:ascii="Arial" w:cs="Arial" w:eastAsia="Arial" w:hAnsi="Arial"/>
          <w:sz w:val="18"/>
          <w:szCs w:val="18"/>
          <w:color w:val="auto"/>
        </w:rPr>
        <w:t>We lease three distribution centers, all in Greenfield, Indiana, referred to collectively as the Distribution Centers, where we store finished</w:t>
      </w:r>
      <w:r>
        <w:rPr>
          <w:rFonts w:ascii="Arial" w:cs="Arial" w:eastAsia="Arial" w:hAnsi="Arial"/>
          <w:sz w:val="18"/>
          <w:szCs w:val="18"/>
          <w:i w:val="1"/>
          <w:iCs w:val="1"/>
          <w:color w:val="auto"/>
        </w:rPr>
        <w:t xml:space="preserve"> </w:t>
      </w:r>
      <w:r>
        <w:rPr>
          <w:rFonts w:ascii="Arial" w:cs="Arial" w:eastAsia="Arial" w:hAnsi="Arial"/>
          <w:sz w:val="18"/>
          <w:szCs w:val="18"/>
          <w:color w:val="auto"/>
        </w:rPr>
        <w:t>goods. We utilize over 1.35 million square feet of floor space among our Distribution Centers. Over time, we expect to exit one of the currently operating Distribution Centers once the new facility is fully operational.</w:t>
      </w:r>
    </w:p>
    <w:p>
      <w:pPr>
        <w:spacing w:after="0" w:line="211" w:lineRule="exact"/>
        <w:rPr>
          <w:sz w:val="20"/>
          <w:szCs w:val="20"/>
          <w:color w:val="auto"/>
        </w:rPr>
      </w:pPr>
    </w:p>
    <w:p>
      <w:pPr>
        <w:jc w:val="both"/>
        <w:ind w:firstLine="193"/>
        <w:spacing w:after="0" w:line="257" w:lineRule="auto"/>
        <w:rPr>
          <w:sz w:val="20"/>
          <w:szCs w:val="20"/>
          <w:color w:val="auto"/>
        </w:rPr>
      </w:pPr>
      <w:r>
        <w:rPr>
          <w:rFonts w:ascii="Arial" w:cs="Arial" w:eastAsia="Arial" w:hAnsi="Arial"/>
          <w:sz w:val="18"/>
          <w:szCs w:val="18"/>
          <w:i w:val="1"/>
          <w:iCs w:val="1"/>
          <w:color w:val="auto"/>
        </w:rPr>
        <w:t xml:space="preserve">Distribution. </w:t>
      </w:r>
      <w:r>
        <w:rPr>
          <w:rFonts w:ascii="Arial" w:cs="Arial" w:eastAsia="Arial" w:hAnsi="Arial"/>
          <w:sz w:val="18"/>
          <w:szCs w:val="18"/>
          <w:color w:val="auto"/>
        </w:rPr>
        <w:t>For the majority of our customers, our logistics provider distributes the finished goods via truckloads from our Distribution Centers, which</w:t>
      </w:r>
      <w:r>
        <w:rPr>
          <w:rFonts w:ascii="Arial" w:cs="Arial" w:eastAsia="Arial" w:hAnsi="Arial"/>
          <w:sz w:val="18"/>
          <w:szCs w:val="18"/>
          <w:i w:val="1"/>
          <w:iCs w:val="1"/>
          <w:color w:val="auto"/>
        </w:rPr>
        <w:t xml:space="preserve"> </w:t>
      </w:r>
      <w:r>
        <w:rPr>
          <w:rFonts w:ascii="Arial" w:cs="Arial" w:eastAsia="Arial" w:hAnsi="Arial"/>
          <w:sz w:val="18"/>
          <w:szCs w:val="18"/>
          <w:color w:val="auto"/>
        </w:rPr>
        <w:t>first flow through regional terminals. At the terminals, our orders are consolidated with other companies’ products being shipped to the customer. The finished goods are then distributed to retailer distribution centers. The regular weekly shipments and consolidation have reduced our costs. For some products, we ship directly to customers from our contract manufacturer through a third-party logistics provider. In some instances, the customer will arrange to pick-up directly finished products from our Distribution Centers.</w:t>
      </w:r>
    </w:p>
    <w:p>
      <w:pPr>
        <w:spacing w:after="0" w:line="215" w:lineRule="exact"/>
        <w:rPr>
          <w:sz w:val="20"/>
          <w:szCs w:val="20"/>
          <w:color w:val="auto"/>
        </w:rPr>
      </w:pPr>
    </w:p>
    <w:p>
      <w:pPr>
        <w:jc w:val="both"/>
        <w:ind w:firstLine="247"/>
        <w:spacing w:after="0" w:line="272" w:lineRule="auto"/>
        <w:rPr>
          <w:sz w:val="20"/>
          <w:szCs w:val="20"/>
          <w:color w:val="auto"/>
        </w:rPr>
      </w:pPr>
      <w:r>
        <w:rPr>
          <w:rFonts w:ascii="Arial" w:cs="Arial" w:eastAsia="Arial" w:hAnsi="Arial"/>
          <w:sz w:val="17"/>
          <w:szCs w:val="17"/>
          <w:i w:val="1"/>
          <w:iCs w:val="1"/>
          <w:color w:val="auto"/>
        </w:rPr>
        <w:t xml:space="preserve">Retailers. </w:t>
      </w:r>
      <w:r>
        <w:rPr>
          <w:rFonts w:ascii="Arial" w:cs="Arial" w:eastAsia="Arial" w:hAnsi="Arial"/>
          <w:sz w:val="17"/>
          <w:szCs w:val="17"/>
          <w:color w:val="auto"/>
        </w:rPr>
        <w:t>We have a wide variety of customers across the mass, food, club, drug, and e-commerce channels. A substantial majority of our sales are</w:t>
      </w:r>
      <w:r>
        <w:rPr>
          <w:rFonts w:ascii="Arial" w:cs="Arial" w:eastAsia="Arial" w:hAnsi="Arial"/>
          <w:sz w:val="17"/>
          <w:szCs w:val="17"/>
          <w:i w:val="1"/>
          <w:iCs w:val="1"/>
          <w:color w:val="auto"/>
        </w:rPr>
        <w:t xml:space="preserve"> </w:t>
      </w:r>
      <w:r>
        <w:rPr>
          <w:rFonts w:ascii="Arial" w:cs="Arial" w:eastAsia="Arial" w:hAnsi="Arial"/>
          <w:sz w:val="17"/>
          <w:szCs w:val="17"/>
          <w:color w:val="auto"/>
        </w:rPr>
        <w:t>generated from a limited number of retailers. Sales to our largest retailer, Walmart, represented approximately 31% of consolidated sales in fiscal year 2021, of which approximately 23% is through their mass retail channel and approximately 8% is through their Sam’s club and e-commerce channels. Sales to our next largest retailer, Amazon, represented approximately 12% of consolidated sales in fiscal year 2021. No other customer represents more than 10% of sales. For additional information, please see the risk factor “</w:t>
      </w:r>
      <w:r>
        <w:rPr>
          <w:rFonts w:ascii="Arial" w:cs="Arial" w:eastAsia="Arial" w:hAnsi="Arial"/>
          <w:sz w:val="17"/>
          <w:szCs w:val="17"/>
          <w:i w:val="1"/>
          <w:iCs w:val="1"/>
          <w:color w:val="auto"/>
        </w:rPr>
        <w:t>We rely on sales to a limited number of retailers for a substantial majority of our net sales,</w:t>
      </w:r>
      <w:r>
        <w:rPr>
          <w:rFonts w:ascii="Arial" w:cs="Arial" w:eastAsia="Arial" w:hAnsi="Arial"/>
          <w:sz w:val="17"/>
          <w:szCs w:val="17"/>
          <w:color w:val="auto"/>
        </w:rPr>
        <w:t xml:space="preserve"> </w:t>
      </w:r>
      <w:r>
        <w:rPr>
          <w:rFonts w:ascii="Arial" w:cs="Arial" w:eastAsia="Arial" w:hAnsi="Arial"/>
          <w:sz w:val="17"/>
          <w:szCs w:val="17"/>
          <w:i w:val="1"/>
          <w:iCs w:val="1"/>
          <w:color w:val="auto"/>
        </w:rPr>
        <w:t>and losing one or more such retailers may materially harm our business. In addition, we maintain “at will” contracts with these retailers, which do not require recurring or minimum purchase amounts of our products.”</w:t>
      </w:r>
    </w:p>
    <w:p>
      <w:pPr>
        <w:spacing w:after="0" w:line="204" w:lineRule="exact"/>
        <w:rPr>
          <w:sz w:val="20"/>
          <w:szCs w:val="20"/>
          <w:color w:val="auto"/>
        </w:rPr>
      </w:pPr>
    </w:p>
    <w:p>
      <w:pPr>
        <w:jc w:val="both"/>
        <w:ind w:firstLine="234"/>
        <w:spacing w:after="0" w:line="263" w:lineRule="auto"/>
        <w:rPr>
          <w:sz w:val="20"/>
          <w:szCs w:val="20"/>
          <w:color w:val="auto"/>
        </w:rPr>
      </w:pPr>
      <w:r>
        <w:rPr>
          <w:rFonts w:ascii="Arial" w:cs="Arial" w:eastAsia="Arial" w:hAnsi="Arial"/>
          <w:sz w:val="18"/>
          <w:szCs w:val="18"/>
          <w:i w:val="1"/>
          <w:iCs w:val="1"/>
          <w:color w:val="auto"/>
        </w:rPr>
        <w:t>E-Commerce</w:t>
      </w:r>
      <w:r>
        <w:rPr>
          <w:rFonts w:ascii="Arial" w:cs="Arial" w:eastAsia="Arial" w:hAnsi="Arial"/>
          <w:sz w:val="18"/>
          <w:szCs w:val="18"/>
          <w:color w:val="auto"/>
        </w:rPr>
        <w:t>. We aim to ensure that our consumers may access our brand in the way that best suits their lifestyles by offering online ordering of our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products. We sell our products on </w:t>
      </w:r>
      <w:r>
        <w:rPr>
          <w:rFonts w:ascii="Arial" w:cs="Arial" w:eastAsia="Arial" w:hAnsi="Arial"/>
          <w:sz w:val="18"/>
          <w:szCs w:val="18"/>
          <w:i w:val="1"/>
          <w:iCs w:val="1"/>
          <w:color w:val="auto"/>
        </w:rPr>
        <w:t>Atkins.com</w:t>
      </w:r>
      <w:r>
        <w:rPr>
          <w:rFonts w:ascii="Arial" w:cs="Arial" w:eastAsia="Arial" w:hAnsi="Arial"/>
          <w:sz w:val="18"/>
          <w:szCs w:val="18"/>
          <w:color w:val="auto"/>
        </w:rPr>
        <w:t xml:space="preserve">, </w:t>
      </w:r>
      <w:r>
        <w:rPr>
          <w:rFonts w:ascii="Arial" w:cs="Arial" w:eastAsia="Arial" w:hAnsi="Arial"/>
          <w:sz w:val="18"/>
          <w:szCs w:val="18"/>
          <w:i w:val="1"/>
          <w:iCs w:val="1"/>
          <w:color w:val="auto"/>
        </w:rPr>
        <w:t>questnutrition.com</w:t>
      </w:r>
      <w:r>
        <w:rPr>
          <w:rFonts w:ascii="Arial" w:cs="Arial" w:eastAsia="Arial" w:hAnsi="Arial"/>
          <w:sz w:val="18"/>
          <w:szCs w:val="18"/>
          <w:color w:val="auto"/>
        </w:rPr>
        <w:t xml:space="preserve"> as well as </w:t>
      </w:r>
      <w:r>
        <w:rPr>
          <w:rFonts w:ascii="Arial" w:cs="Arial" w:eastAsia="Arial" w:hAnsi="Arial"/>
          <w:sz w:val="18"/>
          <w:szCs w:val="18"/>
          <w:i w:val="1"/>
          <w:iCs w:val="1"/>
          <w:color w:val="auto"/>
        </w:rPr>
        <w:t>Amazon.com</w:t>
      </w:r>
      <w:r>
        <w:rPr>
          <w:rFonts w:ascii="Arial" w:cs="Arial" w:eastAsia="Arial" w:hAnsi="Arial"/>
          <w:sz w:val="18"/>
          <w:szCs w:val="18"/>
          <w:color w:val="auto"/>
        </w:rPr>
        <w:t>, which all deliver our products directly to the location designated by the consumer.</w:t>
      </w:r>
    </w:p>
    <w:p>
      <w:pPr>
        <w:spacing w:after="0" w:line="211" w:lineRule="exact"/>
        <w:rPr>
          <w:sz w:val="20"/>
          <w:szCs w:val="20"/>
          <w:color w:val="auto"/>
        </w:rPr>
      </w:pPr>
    </w:p>
    <w:p>
      <w:pPr>
        <w:jc w:val="both"/>
        <w:ind w:firstLine="234"/>
        <w:spacing w:after="0" w:line="273" w:lineRule="auto"/>
        <w:rPr>
          <w:sz w:val="20"/>
          <w:szCs w:val="20"/>
          <w:color w:val="auto"/>
        </w:rPr>
      </w:pPr>
      <w:r>
        <w:rPr>
          <w:rFonts w:ascii="Arial" w:cs="Arial" w:eastAsia="Arial" w:hAnsi="Arial"/>
          <w:sz w:val="17"/>
          <w:szCs w:val="17"/>
          <w:i w:val="1"/>
          <w:iCs w:val="1"/>
          <w:color w:val="auto"/>
        </w:rPr>
        <w:t xml:space="preserve">Food Safety and Quality. </w:t>
      </w:r>
      <w:r>
        <w:rPr>
          <w:rFonts w:ascii="Arial" w:cs="Arial" w:eastAsia="Arial" w:hAnsi="Arial"/>
          <w:sz w:val="17"/>
          <w:szCs w:val="17"/>
          <w:color w:val="auto"/>
        </w:rPr>
        <w:t>Food safety and quality is a top priority, and we dedicate substantial resources to ensure that consumers receive safe, high</w:t>
      </w:r>
      <w:r>
        <w:rPr>
          <w:rFonts w:ascii="Arial" w:cs="Arial" w:eastAsia="Arial" w:hAnsi="Arial"/>
          <w:sz w:val="17"/>
          <w:szCs w:val="17"/>
          <w:i w:val="1"/>
          <w:iCs w:val="1"/>
          <w:color w:val="auto"/>
        </w:rPr>
        <w:t xml:space="preserve"> </w:t>
      </w:r>
      <w:r>
        <w:rPr>
          <w:rFonts w:ascii="Arial" w:cs="Arial" w:eastAsia="Arial" w:hAnsi="Arial"/>
          <w:sz w:val="17"/>
          <w:szCs w:val="17"/>
          <w:color w:val="auto"/>
        </w:rPr>
        <w:t>quality food products. Our products are manufactured in facilities that have programs and controls in place regarding consistent quality and food safety. Product attributes such as taste, aroma, texture, and appearance are regularly monitored. Good Manufacturing Practices and comprehensive food safety programs are designed to produce a safe, wholesome product. Our suppliers are required to have equally robust processes in place and confirm their compliance with product specifications with Letters of Guaranty and Certificates of Analysis for shipments of core ingredients to be used in our products. Finally, random samples of finished goods are regularly sent to a third-party laboratory for testing.</w:t>
      </w:r>
    </w:p>
    <w:p>
      <w:pPr>
        <w:spacing w:after="0" w:line="205" w:lineRule="exact"/>
        <w:rPr>
          <w:sz w:val="20"/>
          <w:szCs w:val="20"/>
          <w:color w:val="auto"/>
        </w:rPr>
      </w:pPr>
    </w:p>
    <w:p>
      <w:pPr>
        <w:jc w:val="both"/>
        <w:ind w:firstLine="207"/>
        <w:spacing w:after="0" w:line="259" w:lineRule="auto"/>
        <w:rPr>
          <w:sz w:val="20"/>
          <w:szCs w:val="20"/>
          <w:color w:val="auto"/>
        </w:rPr>
      </w:pPr>
      <w:r>
        <w:rPr>
          <w:rFonts w:ascii="Arial" w:cs="Arial" w:eastAsia="Arial" w:hAnsi="Arial"/>
          <w:sz w:val="18"/>
          <w:szCs w:val="18"/>
          <w:i w:val="1"/>
          <w:iCs w:val="1"/>
          <w:color w:val="auto"/>
        </w:rPr>
        <w:t>International</w:t>
      </w:r>
      <w:r>
        <w:rPr>
          <w:rFonts w:ascii="Arial" w:cs="Arial" w:eastAsia="Arial" w:hAnsi="Arial"/>
          <w:sz w:val="18"/>
          <w:szCs w:val="18"/>
          <w:color w:val="auto"/>
        </w:rPr>
        <w:t>. Our products are also sold outside North America. Our top international sales are in Australia and New Zealand. For the fifty-two weeks</w:t>
      </w:r>
      <w:r>
        <w:rPr>
          <w:rFonts w:ascii="Arial" w:cs="Arial" w:eastAsia="Arial" w:hAnsi="Arial"/>
          <w:sz w:val="18"/>
          <w:szCs w:val="18"/>
          <w:i w:val="1"/>
          <w:iCs w:val="1"/>
          <w:color w:val="auto"/>
        </w:rPr>
        <w:t xml:space="preserve"> </w:t>
      </w:r>
      <w:r>
        <w:rPr>
          <w:rFonts w:ascii="Arial" w:cs="Arial" w:eastAsia="Arial" w:hAnsi="Arial"/>
          <w:sz w:val="18"/>
          <w:szCs w:val="18"/>
          <w:color w:val="auto"/>
        </w:rPr>
        <w:t>ended August 28, 2021, international net sales represented approximately 4.5% of total net sales. Our international supply chain is run by a lean team solely focused on international operations. Similar to U.S. operations, international operations utilize contract manufacturers for products, and distributors for distribution and sales.</w:t>
      </w:r>
    </w:p>
    <w:p>
      <w:pPr>
        <w:sectPr>
          <w:pgSz w:w="11900" w:h="16838" w:orient="portrait"/>
          <w:cols w:equalWidth="0" w:num="1">
            <w:col w:w="11240"/>
          </w:cols>
          <w:pgMar w:left="320" w:top="692"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Information Technology</w:t>
      </w:r>
    </w:p>
    <w:p>
      <w:pPr>
        <w:spacing w:after="0" w:line="252" w:lineRule="exact"/>
        <w:rPr>
          <w:sz w:val="20"/>
          <w:szCs w:val="20"/>
          <w:color w:val="auto"/>
        </w:rPr>
      </w:pPr>
    </w:p>
    <w:p>
      <w:pPr>
        <w:jc w:val="both"/>
        <w:ind w:firstLine="267"/>
        <w:spacing w:after="0" w:line="255" w:lineRule="auto"/>
        <w:rPr>
          <w:sz w:val="20"/>
          <w:szCs w:val="20"/>
          <w:color w:val="auto"/>
        </w:rPr>
      </w:pPr>
      <w:r>
        <w:rPr>
          <w:rFonts w:ascii="Arial" w:cs="Arial" w:eastAsia="Arial" w:hAnsi="Arial"/>
          <w:sz w:val="18"/>
          <w:szCs w:val="18"/>
          <w:color w:val="auto"/>
        </w:rPr>
        <w:t>We rely heavily on information systems for management of our supply chain, inventory, payment of obligations, collection of cash, human capital management, financial tools and other business processes and procedures. Our ability to manage our business functions efficiently and effectively depends significantly on the reliability and capacity of these systems. We have instituted controls, including information technology governance controls that are intended to protect our computer systems and our information technology systems and networks. We also have business continuity plans that attempt to anticipate and mitigate failures. However, we cannot control or prevent every potential technology failure, adverse environmental event, third-party service interruption or cybersecurity risk.</w:t>
      </w:r>
    </w:p>
    <w:p>
      <w:pPr>
        <w:spacing w:after="0" w:line="219" w:lineRule="exact"/>
        <w:rPr>
          <w:sz w:val="20"/>
          <w:szCs w:val="20"/>
          <w:color w:val="auto"/>
        </w:rPr>
      </w:pPr>
    </w:p>
    <w:p>
      <w:pPr>
        <w:jc w:val="both"/>
        <w:ind w:firstLine="280"/>
        <w:spacing w:after="0" w:line="277" w:lineRule="auto"/>
        <w:rPr>
          <w:sz w:val="20"/>
          <w:szCs w:val="20"/>
          <w:color w:val="auto"/>
        </w:rPr>
      </w:pPr>
      <w:r>
        <w:rPr>
          <w:rFonts w:ascii="Arial" w:cs="Arial" w:eastAsia="Arial" w:hAnsi="Arial"/>
          <w:sz w:val="18"/>
          <w:szCs w:val="18"/>
          <w:color w:val="auto"/>
        </w:rPr>
        <w:t>We increasingly rely on cloud computing and other technologies that result in third parties holding significant amounts of customer, consumer or employee information on our behalf.</w:t>
      </w:r>
    </w:p>
    <w:p>
      <w:pPr>
        <w:spacing w:after="0" w:line="197" w:lineRule="exact"/>
        <w:rPr>
          <w:sz w:val="20"/>
          <w:szCs w:val="20"/>
          <w:color w:val="auto"/>
        </w:rPr>
      </w:pPr>
    </w:p>
    <w:p>
      <w:pPr>
        <w:jc w:val="both"/>
        <w:ind w:firstLine="190"/>
        <w:spacing w:after="0" w:line="257" w:lineRule="auto"/>
        <w:rPr>
          <w:sz w:val="20"/>
          <w:szCs w:val="20"/>
          <w:color w:val="auto"/>
        </w:rPr>
      </w:pPr>
      <w:r>
        <w:rPr>
          <w:rFonts w:ascii="Arial" w:cs="Arial" w:eastAsia="Arial" w:hAnsi="Arial"/>
          <w:sz w:val="18"/>
          <w:szCs w:val="18"/>
          <w:color w:val="auto"/>
        </w:rPr>
        <w:t>Except for limited information voluntarily submitted by users of our website, we typically do not collect or store consumer data or personal information. However, third-party providers, including our licensees, contract manufacturers, e-commerce contractors and third-party sellers may do so. The website operations of such third parties may be affected by reliance on other third-party hardware and software providers, technology changes, risks related to the failure of computer systems through which these website operations are conducted, telecommunications failures, data security breaches and similar disruptions.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252" w:lineRule="exact"/>
        <w:rPr>
          <w:sz w:val="20"/>
          <w:szCs w:val="20"/>
          <w:color w:val="auto"/>
        </w:rPr>
      </w:pPr>
    </w:p>
    <w:p>
      <w:pPr>
        <w:jc w:val="both"/>
        <w:ind w:firstLine="208"/>
        <w:spacing w:after="0" w:line="259" w:lineRule="auto"/>
        <w:rPr>
          <w:sz w:val="20"/>
          <w:szCs w:val="20"/>
          <w:color w:val="auto"/>
        </w:rPr>
      </w:pPr>
      <w:r>
        <w:rPr>
          <w:rFonts w:ascii="Arial" w:cs="Arial" w:eastAsia="Arial" w:hAnsi="Arial"/>
          <w:sz w:val="18"/>
          <w:szCs w:val="18"/>
          <w:color w:val="auto"/>
        </w:rPr>
        <w:t>Our operations are organized into two operating segments, Atkins and Quest, which are aggregated into one reporting segment due to similar financial, economic and operating characteristics. The operating segments are also similar in the following areas: (a) the nature of the products; (b) the nature of the production processes; (c) the methods used to distribute products to customers, (d) the type of customer for the products, and (e) the nature of the regulatory environment.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and Compliance</w:t>
      </w:r>
    </w:p>
    <w:p>
      <w:pPr>
        <w:spacing w:after="0" w:line="252" w:lineRule="exact"/>
        <w:rPr>
          <w:sz w:val="20"/>
          <w:szCs w:val="20"/>
          <w:color w:val="auto"/>
        </w:rPr>
      </w:pPr>
    </w:p>
    <w:p>
      <w:pPr>
        <w:jc w:val="both"/>
        <w:ind w:firstLine="258"/>
        <w:spacing w:after="0" w:line="291" w:lineRule="auto"/>
        <w:rPr>
          <w:sz w:val="20"/>
          <w:szCs w:val="20"/>
          <w:color w:val="auto"/>
        </w:rPr>
      </w:pPr>
      <w:r>
        <w:rPr>
          <w:rFonts w:ascii="Arial" w:cs="Arial" w:eastAsia="Arial" w:hAnsi="Arial"/>
          <w:sz w:val="16"/>
          <w:szCs w:val="16"/>
          <w:color w:val="auto"/>
        </w:rPr>
        <w:t>Along with contract manufacturers, brokers, distributors, ingredients and packaging suppliers, Simply Good Foods is primarily subject to laws and regulations in the United States promulgated by federal, state and local government authorities. In the United States, the federal agencies governing the manufacture, distribution and advertising of products include, among others, the U.S. Federal Trade Commission (“FTC”), the U.S. Food and Drug Administration (“FDA”), the United States Department of Agriculture (“USDA”), the U.S. Environmental Protection Agency, and the Occupational Safety and Health Administration, in addition to similar state and local agencies. Under various statutes, these agencies prescribe the requirements and establish the standards for quality and safety and regulate marketing and advertising to consumers. In certain circumstances, these agencies must not only approve products, but also review the manufacturing processes and facilities used to produce these products before they can be marketed in the United States.</w:t>
      </w:r>
    </w:p>
    <w:p>
      <w:pPr>
        <w:spacing w:after="0" w:line="19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Simply Good Foods is subject to labor and employment laws, laws governing advertising, privacy laws, safety regulations and other laws, including consumer protection regulations that regulate retailers or govern the promotion and sale of merchandise. Our operations, and those of our contract manufacturers, distributors, and suppliers, also are subject to various laws and regulations relating to environmental protection and worker health and safety matters. We continue to monitor their development and our compliance.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Food-Related Regulations</w:t>
      </w:r>
    </w:p>
    <w:p>
      <w:pPr>
        <w:spacing w:after="0" w:line="252" w:lineRule="exact"/>
        <w:rPr>
          <w:sz w:val="20"/>
          <w:szCs w:val="20"/>
          <w:color w:val="auto"/>
        </w:rPr>
      </w:pPr>
    </w:p>
    <w:p>
      <w:pPr>
        <w:jc w:val="both"/>
        <w:ind w:firstLine="209"/>
        <w:spacing w:after="0" w:line="263" w:lineRule="auto"/>
        <w:rPr>
          <w:sz w:val="20"/>
          <w:szCs w:val="20"/>
          <w:color w:val="auto"/>
        </w:rPr>
      </w:pPr>
      <w:r>
        <w:rPr>
          <w:rFonts w:ascii="Arial" w:cs="Arial" w:eastAsia="Arial" w:hAnsi="Arial"/>
          <w:sz w:val="18"/>
          <w:szCs w:val="18"/>
          <w:color w:val="auto"/>
        </w:rPr>
        <w:t>As a manufacturer and distributor of food products, we are subject to several food-related regulations, including the Federal Food, Drug and Cosmetic Act and regulations promulgated thereunder by the FDA. This comprehensive regulatory framework governs the manufacture (including composition and ingredients), labeling, packaging and safety of food in the United States. The FDA:</w:t>
      </w:r>
    </w:p>
    <w:p>
      <w:pPr>
        <w:spacing w:after="0" w:line="21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regulates manufacturing practices for foods through its current good manufacturing practices regulations;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specifies the standards of identity for certain foods, including many of the products we sell;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prescribes the format and content of certain information required to appear on food product labels.</w:t>
      </w:r>
    </w:p>
    <w:p>
      <w:pPr>
        <w:spacing w:after="0" w:line="238" w:lineRule="exact"/>
        <w:rPr>
          <w:sz w:val="20"/>
          <w:szCs w:val="20"/>
          <w:color w:val="auto"/>
        </w:rPr>
      </w:pPr>
    </w:p>
    <w:p>
      <w:pPr>
        <w:jc w:val="both"/>
        <w:ind w:firstLine="245"/>
        <w:spacing w:after="0" w:line="279" w:lineRule="auto"/>
        <w:rPr>
          <w:sz w:val="20"/>
          <w:szCs w:val="20"/>
          <w:color w:val="auto"/>
        </w:rPr>
      </w:pPr>
      <w:r>
        <w:rPr>
          <w:rFonts w:ascii="Arial" w:cs="Arial" w:eastAsia="Arial" w:hAnsi="Arial"/>
          <w:sz w:val="17"/>
          <w:szCs w:val="17"/>
          <w:color w:val="auto"/>
        </w:rPr>
        <w:t>We are subject to the Food Safety Modernization Act of 2011, which, among other things, mandates that the FDA adopt preventative controls to be implemented by food facilities in order to minimize or prevent hazards to food safety. We are subject to numerous other federal, state and local regulations involving such matters as the licensing and registration of manufacturing facilities, enforcement by government health agencies of standards for our products, inspection of our facilities and regulation of our trade practices in connection with the sale of food products.</w:t>
      </w:r>
    </w:p>
    <w:p>
      <w:pPr>
        <w:spacing w:after="0" w:line="198" w:lineRule="exact"/>
        <w:rPr>
          <w:sz w:val="20"/>
          <w:szCs w:val="20"/>
          <w:color w:val="auto"/>
        </w:rPr>
      </w:pPr>
    </w:p>
    <w:p>
      <w:pPr>
        <w:jc w:val="both"/>
        <w:ind w:firstLine="184"/>
        <w:spacing w:after="0" w:line="342" w:lineRule="auto"/>
        <w:rPr>
          <w:sz w:val="20"/>
          <w:szCs w:val="20"/>
          <w:color w:val="auto"/>
        </w:rPr>
      </w:pPr>
      <w:r>
        <w:rPr>
          <w:rFonts w:ascii="Arial" w:cs="Arial" w:eastAsia="Arial" w:hAnsi="Arial"/>
          <w:sz w:val="16"/>
          <w:szCs w:val="16"/>
          <w:color w:val="auto"/>
        </w:rPr>
        <w:t>Additionally, because of the ingredients in our Quest pizza products we are subject to the rules and regulations promulgated by the USDA, including the Federal Meat Inspection Act. The USDA regulates certain aspects of food safety, quality, and nutritional labeling of most meat, poultry, and egg products.</w:t>
      </w:r>
    </w:p>
    <w:p>
      <w:pPr>
        <w:sectPr>
          <w:pgSz w:w="11900" w:h="16838" w:orient="portrait"/>
          <w:cols w:equalWidth="0" w:num="1">
            <w:col w:w="11240"/>
          </w:cols>
          <w:pgMar w:left="320" w:top="692" w:right="339" w:bottom="1440" w:gutter="0" w:footer="0" w:header="0"/>
        </w:sect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Environmental Regulations</w:t>
      </w:r>
    </w:p>
    <w:p>
      <w:pPr>
        <w:spacing w:after="0" w:line="252" w:lineRule="exact"/>
        <w:rPr>
          <w:sz w:val="20"/>
          <w:szCs w:val="20"/>
          <w:color w:val="auto"/>
        </w:rPr>
      </w:pPr>
    </w:p>
    <w:p>
      <w:pPr>
        <w:jc w:val="both"/>
        <w:ind w:firstLine="195"/>
        <w:spacing w:after="0" w:line="257" w:lineRule="auto"/>
        <w:rPr>
          <w:sz w:val="20"/>
          <w:szCs w:val="20"/>
          <w:color w:val="auto"/>
        </w:rPr>
      </w:pPr>
      <w:r>
        <w:rPr>
          <w:rFonts w:ascii="Arial" w:cs="Arial" w:eastAsia="Arial" w:hAnsi="Arial"/>
          <w:sz w:val="18"/>
          <w:szCs w:val="18"/>
          <w:color w:val="auto"/>
        </w:rPr>
        <w:t>We are subject to various state and federal environmental laws, regulations and directives, including the Food Quality Protection Act of 1996, the Clean Air Act, the Clean Water Act, the Resource Conservation and Recovery Act, the Federal Insecticide, Fungicide and Rodenticide Act and the Comprehensive Environmental Response Compensation and Liability Act of 1980, as amended. Governments may in the future implement new laws, regulations and directives aimed to meet certain climate change goals and objectives which could affect our business operations as they relate to ingredient and packaging procurement.</w:t>
      </w:r>
    </w:p>
    <w:p>
      <w:pPr>
        <w:spacing w:after="0" w:line="215" w:lineRule="exact"/>
        <w:rPr>
          <w:sz w:val="20"/>
          <w:szCs w:val="20"/>
          <w:color w:val="auto"/>
        </w:rPr>
      </w:pPr>
    </w:p>
    <w:p>
      <w:pPr>
        <w:jc w:val="both"/>
        <w:ind w:firstLine="249"/>
        <w:spacing w:after="0" w:line="263" w:lineRule="auto"/>
        <w:rPr>
          <w:sz w:val="20"/>
          <w:szCs w:val="20"/>
          <w:color w:val="auto"/>
        </w:rPr>
      </w:pPr>
      <w:r>
        <w:rPr>
          <w:rFonts w:ascii="Arial" w:cs="Arial" w:eastAsia="Arial" w:hAnsi="Arial"/>
          <w:sz w:val="18"/>
          <w:szCs w:val="18"/>
          <w:color w:val="auto"/>
        </w:rPr>
        <w:t>We believe that we are in material compliance with existing environmental regulations applicable to our business. We do not expect the cost of our continued compliance with existing environmental regulations to have a material effect on our capital expenditures, earnings, cash flows or competitive position in the foreseeable future. In addition, any asset retirement obligations are not material.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Labeling Regulations</w:t>
      </w:r>
    </w:p>
    <w:p>
      <w:pPr>
        <w:spacing w:after="0" w:line="252" w:lineRule="exact"/>
        <w:rPr>
          <w:sz w:val="20"/>
          <w:szCs w:val="20"/>
          <w:color w:val="auto"/>
        </w:rPr>
      </w:pPr>
    </w:p>
    <w:p>
      <w:pPr>
        <w:jc w:val="both"/>
        <w:ind w:firstLine="247"/>
        <w:spacing w:after="0" w:line="259" w:lineRule="auto"/>
        <w:rPr>
          <w:sz w:val="20"/>
          <w:szCs w:val="20"/>
          <w:color w:val="auto"/>
        </w:rPr>
      </w:pPr>
      <w:r>
        <w:rPr>
          <w:rFonts w:ascii="Arial" w:cs="Arial" w:eastAsia="Arial" w:hAnsi="Arial"/>
          <w:sz w:val="18"/>
          <w:szCs w:val="18"/>
          <w:color w:val="auto"/>
        </w:rPr>
        <w:t>We are subject to various labeling requirements with respect to our products at the federal, state and local levels. At the federal level, the FDA and USDA have authority to review product labeling, and the FTC may review labeling and advertising materials, including online and television advertisements, to determine if advertising materials are misleading. We are also subject to various state and local consumer protection laws. We believe we are in material compliance with all labeling laws and regulations applicable to our business.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Human Capital Resources</w:t>
      </w:r>
    </w:p>
    <w:p>
      <w:pPr>
        <w:spacing w:after="0" w:line="25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As of August 28, 2021, our workforce consisted of 263 employees who are largely based in an office or in research and development (“R&amp;D”) lab locations. Of that total, approximately 91% of our employees were located in the United States, and the rest were located in Canada, Europe, Australia and New Zealand. Of our total employees, 118 employees were engaged in marketing and sales, 76 were engaged in R&amp;D, operations and quality, and 69 were engaged in administration. Of our total employees, 18 employees were hourly and 245 were salaried. No employees were covered by a collective bargaining agreement.</w:t>
      </w:r>
    </w:p>
    <w:p>
      <w:pPr>
        <w:spacing w:after="0" w:line="215" w:lineRule="exact"/>
        <w:rPr>
          <w:sz w:val="20"/>
          <w:szCs w:val="20"/>
          <w:color w:val="auto"/>
        </w:rPr>
      </w:pPr>
    </w:p>
    <w:p>
      <w:pPr>
        <w:jc w:val="both"/>
        <w:ind w:firstLine="234"/>
        <w:spacing w:after="0" w:line="259" w:lineRule="auto"/>
        <w:rPr>
          <w:sz w:val="20"/>
          <w:szCs w:val="20"/>
          <w:color w:val="auto"/>
        </w:rPr>
      </w:pPr>
      <w:r>
        <w:rPr>
          <w:rFonts w:ascii="Arial" w:cs="Arial" w:eastAsia="Arial" w:hAnsi="Arial"/>
          <w:sz w:val="18"/>
          <w:szCs w:val="18"/>
          <w:i w:val="1"/>
          <w:iCs w:val="1"/>
          <w:color w:val="auto"/>
        </w:rPr>
        <w:t xml:space="preserve">Mission, Vision and Values. </w:t>
      </w:r>
      <w:r>
        <w:rPr>
          <w:rFonts w:ascii="Arial" w:cs="Arial" w:eastAsia="Arial" w:hAnsi="Arial"/>
          <w:sz w:val="18"/>
          <w:szCs w:val="18"/>
          <w:color w:val="auto"/>
        </w:rPr>
        <w:t>Our vision is to lead the nutritious snacking movement with trusted brands that offer a variety of convenient, innovative,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great-tasting, better-for-you snacks and meal replacements. Our mission is to empower healthy lives through smart and satisfying nutrition. Our values, </w:t>
      </w:r>
      <w:r>
        <w:rPr>
          <w:rFonts w:ascii="Arial" w:cs="Arial" w:eastAsia="Arial" w:hAnsi="Arial"/>
          <w:sz w:val="18"/>
          <w:szCs w:val="18"/>
          <w:i w:val="1"/>
          <w:iCs w:val="1"/>
          <w:color w:val="auto"/>
        </w:rPr>
        <w:t>Act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with Integrity, Lead with Innovation, Succeed through Interdependence, Be Empowered, </w:t>
      </w:r>
      <w:r>
        <w:rPr>
          <w:rFonts w:ascii="Arial" w:cs="Arial" w:eastAsia="Arial" w:hAnsi="Arial"/>
          <w:sz w:val="18"/>
          <w:szCs w:val="18"/>
          <w:color w:val="auto"/>
        </w:rPr>
        <w:t>and</w:t>
      </w:r>
      <w:r>
        <w:rPr>
          <w:rFonts w:ascii="Arial" w:cs="Arial" w:eastAsia="Arial" w:hAnsi="Arial"/>
          <w:sz w:val="18"/>
          <w:szCs w:val="18"/>
          <w:i w:val="1"/>
          <w:iCs w:val="1"/>
          <w:color w:val="auto"/>
        </w:rPr>
        <w:t xml:space="preserve"> Bring Passion Every Day, </w:t>
      </w:r>
      <w:r>
        <w:rPr>
          <w:rFonts w:ascii="Arial" w:cs="Arial" w:eastAsia="Arial" w:hAnsi="Arial"/>
          <w:sz w:val="18"/>
          <w:szCs w:val="18"/>
          <w:color w:val="auto"/>
        </w:rPr>
        <w:t>are critical to our success in</w:t>
      </w:r>
      <w:r>
        <w:rPr>
          <w:rFonts w:ascii="Arial" w:cs="Arial" w:eastAsia="Arial" w:hAnsi="Arial"/>
          <w:sz w:val="18"/>
          <w:szCs w:val="18"/>
          <w:i w:val="1"/>
          <w:iCs w:val="1"/>
          <w:color w:val="auto"/>
        </w:rPr>
        <w:t xml:space="preserve"> </w:t>
      </w:r>
      <w:r>
        <w:rPr>
          <w:rFonts w:ascii="Arial" w:cs="Arial" w:eastAsia="Arial" w:hAnsi="Arial"/>
          <w:sz w:val="18"/>
          <w:szCs w:val="18"/>
          <w:color w:val="auto"/>
        </w:rPr>
        <w:t>fulfilling our mission and vision.</w:t>
      </w:r>
    </w:p>
    <w:p>
      <w:pPr>
        <w:spacing w:after="0" w:line="214" w:lineRule="exact"/>
        <w:rPr>
          <w:sz w:val="20"/>
          <w:szCs w:val="20"/>
          <w:color w:val="auto"/>
        </w:rPr>
      </w:pPr>
    </w:p>
    <w:p>
      <w:pPr>
        <w:jc w:val="both"/>
        <w:ind w:firstLine="261"/>
        <w:spacing w:after="0" w:line="259" w:lineRule="auto"/>
        <w:rPr>
          <w:sz w:val="20"/>
          <w:szCs w:val="20"/>
          <w:color w:val="auto"/>
        </w:rPr>
      </w:pPr>
      <w:r>
        <w:rPr>
          <w:rFonts w:ascii="Arial" w:cs="Arial" w:eastAsia="Arial" w:hAnsi="Arial"/>
          <w:sz w:val="18"/>
          <w:szCs w:val="18"/>
          <w:i w:val="1"/>
          <w:iCs w:val="1"/>
          <w:color w:val="auto"/>
        </w:rPr>
        <w:t>Training &amp; Development</w:t>
      </w:r>
      <w:r>
        <w:rPr>
          <w:rFonts w:ascii="Arial" w:cs="Arial" w:eastAsia="Arial" w:hAnsi="Arial"/>
          <w:sz w:val="18"/>
          <w:szCs w:val="18"/>
          <w:color w:val="auto"/>
        </w:rPr>
        <w:t>. Training and development is critical to our mission’s success, helps our employees grow their career, and is one way we</w:t>
      </w:r>
      <w:r>
        <w:rPr>
          <w:rFonts w:ascii="Arial" w:cs="Arial" w:eastAsia="Arial" w:hAnsi="Arial"/>
          <w:sz w:val="18"/>
          <w:szCs w:val="18"/>
          <w:i w:val="1"/>
          <w:iCs w:val="1"/>
          <w:color w:val="auto"/>
        </w:rPr>
        <w:t xml:space="preserve"> </w:t>
      </w:r>
      <w:r>
        <w:rPr>
          <w:rFonts w:ascii="Arial" w:cs="Arial" w:eastAsia="Arial" w:hAnsi="Arial"/>
          <w:sz w:val="18"/>
          <w:szCs w:val="18"/>
          <w:color w:val="auto"/>
        </w:rPr>
        <w:t>attract, motivate and retain our employees. We regularly host “Be Empowered” sessions for employees, which are educational classes and networking opportunities that teach our nutrition philosophy and our different business functions. To develop effective and empowered leaders, we host a series of trainings and informational sessions through our program called the Leadership Playbook.</w:t>
      </w:r>
    </w:p>
    <w:p>
      <w:pPr>
        <w:spacing w:after="0" w:line="214" w:lineRule="exact"/>
        <w:rPr>
          <w:sz w:val="20"/>
          <w:szCs w:val="20"/>
          <w:color w:val="auto"/>
        </w:rPr>
      </w:pPr>
    </w:p>
    <w:p>
      <w:pPr>
        <w:jc w:val="both"/>
        <w:ind w:firstLine="301"/>
        <w:spacing w:after="0" w:line="259" w:lineRule="auto"/>
        <w:rPr>
          <w:sz w:val="20"/>
          <w:szCs w:val="20"/>
          <w:color w:val="auto"/>
        </w:rPr>
      </w:pPr>
      <w:r>
        <w:rPr>
          <w:rFonts w:ascii="Arial" w:cs="Arial" w:eastAsia="Arial" w:hAnsi="Arial"/>
          <w:sz w:val="18"/>
          <w:szCs w:val="18"/>
          <w:i w:val="1"/>
          <w:iCs w:val="1"/>
          <w:color w:val="auto"/>
        </w:rPr>
        <w:t xml:space="preserve">Our Commitment to Diversity, Equity &amp; Inclusion </w:t>
      </w:r>
      <w:r>
        <w:rPr>
          <w:rFonts w:ascii="Arial" w:cs="Arial" w:eastAsia="Arial" w:hAnsi="Arial"/>
          <w:sz w:val="18"/>
          <w:szCs w:val="18"/>
          <w:color w:val="auto"/>
        </w:rPr>
        <w:t>(“DE&amp;I”). We recognize the importance of a diverse, equitable and inclusive culture for our</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and its effect on our ability to achieve our mission, so we have made commitments to track and improve our performance in each of these areas. In July 2021, our Board of Directors formed a Corporate Responsibility &amp; Sustainability committee that has been tasked, among other things, with overseeing human capital resources and DE&amp;I initiatives.</w:t>
      </w:r>
    </w:p>
    <w:p>
      <w:pPr>
        <w:spacing w:after="0" w:line="214" w:lineRule="exact"/>
        <w:rPr>
          <w:sz w:val="20"/>
          <w:szCs w:val="20"/>
          <w:color w:val="auto"/>
        </w:rPr>
      </w:pPr>
    </w:p>
    <w:p>
      <w:pPr>
        <w:ind w:left="280"/>
        <w:spacing w:after="0"/>
        <w:rPr>
          <w:sz w:val="20"/>
          <w:szCs w:val="20"/>
          <w:color w:val="auto"/>
        </w:rPr>
      </w:pPr>
      <w:r>
        <w:rPr>
          <w:rFonts w:ascii="Arial" w:cs="Arial" w:eastAsia="Arial" w:hAnsi="Arial"/>
          <w:sz w:val="17"/>
          <w:szCs w:val="17"/>
          <w:color w:val="auto"/>
        </w:rPr>
        <w:t>As of August 28, 2021, approximately 53% of our employees globally were women and approximately 35% of U.S. employees were minorities.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Approximately 17% of our Board of Directors were female, and approximately 8% were minorities.</w:t>
      </w:r>
    </w:p>
    <w:p>
      <w:pPr>
        <w:spacing w:after="0" w:line="238" w:lineRule="exact"/>
        <w:rPr>
          <w:sz w:val="20"/>
          <w:szCs w:val="20"/>
          <w:color w:val="auto"/>
        </w:rPr>
      </w:pPr>
    </w:p>
    <w:p>
      <w:pPr>
        <w:jc w:val="both"/>
        <w:ind w:firstLine="217"/>
        <w:spacing w:after="0" w:line="277" w:lineRule="auto"/>
        <w:rPr>
          <w:sz w:val="20"/>
          <w:szCs w:val="20"/>
          <w:color w:val="auto"/>
        </w:rPr>
      </w:pPr>
      <w:r>
        <w:rPr>
          <w:rFonts w:ascii="Arial" w:cs="Arial" w:eastAsia="Arial" w:hAnsi="Arial"/>
          <w:sz w:val="18"/>
          <w:szCs w:val="18"/>
          <w:color w:val="auto"/>
        </w:rPr>
        <w:t>To improve diversity, equity and inclusion, we committed to interviewing diverse candidates for open corporate leadership positions and require every employee to attend preventing discrimination and harassment training.</w:t>
      </w:r>
    </w:p>
    <w:p>
      <w:pPr>
        <w:spacing w:after="0" w:line="197" w:lineRule="exact"/>
        <w:rPr>
          <w:sz w:val="20"/>
          <w:szCs w:val="20"/>
          <w:color w:val="auto"/>
        </w:rPr>
      </w:pPr>
    </w:p>
    <w:p>
      <w:pPr>
        <w:jc w:val="both"/>
        <w:ind w:firstLine="183"/>
        <w:spacing w:after="0" w:line="259" w:lineRule="auto"/>
        <w:rPr>
          <w:sz w:val="20"/>
          <w:szCs w:val="20"/>
          <w:color w:val="auto"/>
        </w:rPr>
      </w:pPr>
      <w:r>
        <w:rPr>
          <w:rFonts w:ascii="Arial" w:cs="Arial" w:eastAsia="Arial" w:hAnsi="Arial"/>
          <w:sz w:val="18"/>
          <w:szCs w:val="18"/>
          <w:color w:val="auto"/>
        </w:rPr>
        <w:t>In January 2021 we completed a pay equity audit to confirm equity in our pay practices. We have committed to complete a pay equity audit every year to ensure no inequities arise. Further, we post every open position or promotional opportunity in the United States that is not confidential and include the job’s pay range to provide pay transparency. This practice provides every qualified candidate an opportunity to apply while also knowing the range of pay for the role.</w:t>
      </w:r>
    </w:p>
    <w:p>
      <w:pPr>
        <w:spacing w:after="0" w:line="214" w:lineRule="exact"/>
        <w:rPr>
          <w:sz w:val="20"/>
          <w:szCs w:val="20"/>
          <w:color w:val="auto"/>
        </w:rPr>
      </w:pPr>
    </w:p>
    <w:p>
      <w:pPr>
        <w:jc w:val="both"/>
        <w:ind w:firstLine="200"/>
        <w:spacing w:after="0" w:line="311" w:lineRule="auto"/>
        <w:rPr>
          <w:sz w:val="20"/>
          <w:szCs w:val="20"/>
          <w:color w:val="auto"/>
        </w:rPr>
      </w:pPr>
      <w:r>
        <w:rPr>
          <w:rFonts w:ascii="Arial" w:cs="Arial" w:eastAsia="Arial" w:hAnsi="Arial"/>
          <w:sz w:val="16"/>
          <w:szCs w:val="16"/>
          <w:color w:val="auto"/>
        </w:rPr>
        <w:t>We regularly ask our employees to respond to pulse surveys to gather feedback on topics ranging from organization changes to overall engagement and inclusion. This allows us to keep track of employee engagement and sentiment over time and use this information to inform our strategy and actions to continue to grow and improve. We have also committed to summarizing results for each survey and providing responses quickly after surveys close.</w:t>
      </w:r>
    </w:p>
    <w:p>
      <w:pPr>
        <w:sectPr>
          <w:pgSz w:w="11900" w:h="16838" w:orient="portrait"/>
          <w:cols w:equalWidth="0" w:num="1">
            <w:col w:w="11240"/>
          </w:cols>
          <w:pgMar w:left="320" w:top="935" w:right="33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15" w:name="page16"/>
    <w:bookmarkEnd w:id="15"/>
    <w:p>
      <w:pPr>
        <w:jc w:val="both"/>
        <w:ind w:firstLine="230"/>
        <w:spacing w:after="0" w:line="277" w:lineRule="auto"/>
        <w:rPr>
          <w:sz w:val="20"/>
          <w:szCs w:val="20"/>
          <w:color w:val="auto"/>
        </w:rPr>
      </w:pPr>
      <w:r>
        <w:rPr>
          <w:rFonts w:ascii="Arial" w:cs="Arial" w:eastAsia="Arial" w:hAnsi="Arial"/>
          <w:sz w:val="18"/>
          <w:szCs w:val="18"/>
          <w:color w:val="auto"/>
        </w:rPr>
        <w:t>In August 2021, management hired a third-party DE&amp;I consultant to provide guidance and best practice inputs to our management and the Corporate Responsibility &amp; Sustainability Committee of the Board of Directors, as we continue to make progress on our DE&amp;I efforts.</w:t>
      </w:r>
    </w:p>
    <w:p>
      <w:pPr>
        <w:spacing w:after="0" w:line="197" w:lineRule="exact"/>
        <w:rPr>
          <w:sz w:val="20"/>
          <w:szCs w:val="20"/>
          <w:color w:val="auto"/>
        </w:rPr>
      </w:pPr>
    </w:p>
    <w:p>
      <w:pPr>
        <w:jc w:val="both"/>
        <w:ind w:firstLine="261"/>
        <w:spacing w:after="0" w:line="259" w:lineRule="auto"/>
        <w:rPr>
          <w:sz w:val="20"/>
          <w:szCs w:val="20"/>
          <w:color w:val="auto"/>
        </w:rPr>
      </w:pPr>
      <w:r>
        <w:rPr>
          <w:rFonts w:ascii="Arial" w:cs="Arial" w:eastAsia="Arial" w:hAnsi="Arial"/>
          <w:sz w:val="18"/>
          <w:szCs w:val="18"/>
          <w:i w:val="1"/>
          <w:iCs w:val="1"/>
          <w:color w:val="auto"/>
        </w:rPr>
        <w:t xml:space="preserve">Total Rewards. </w:t>
      </w:r>
      <w:r>
        <w:rPr>
          <w:rFonts w:ascii="Arial" w:cs="Arial" w:eastAsia="Arial" w:hAnsi="Arial"/>
          <w:sz w:val="18"/>
          <w:szCs w:val="18"/>
          <w:color w:val="auto"/>
        </w:rPr>
        <w:t>The health, satisfaction and security of our employees and their families are important to us and an important part of reaching our</w:t>
      </w:r>
      <w:r>
        <w:rPr>
          <w:rFonts w:ascii="Arial" w:cs="Arial" w:eastAsia="Arial" w:hAnsi="Arial"/>
          <w:sz w:val="18"/>
          <w:szCs w:val="18"/>
          <w:i w:val="1"/>
          <w:iCs w:val="1"/>
          <w:color w:val="auto"/>
        </w:rPr>
        <w:t xml:space="preserve"> </w:t>
      </w:r>
      <w:r>
        <w:rPr>
          <w:rFonts w:ascii="Arial" w:cs="Arial" w:eastAsia="Arial" w:hAnsi="Arial"/>
          <w:sz w:val="18"/>
          <w:szCs w:val="18"/>
          <w:color w:val="auto"/>
        </w:rPr>
        <w:t>organization's goals. We offer total rewards packages that include valuable and competitive compensation and benefit plans. These programs reflect our commitment to attracting and retaining top talent and keeping our staff healthy and secure. Our compensation philosophy is to pay for performance, and we do so through a mix of base salary, annual short-term incentive and long-term incentive.</w:t>
      </w:r>
    </w:p>
    <w:p>
      <w:pPr>
        <w:spacing w:after="0" w:line="200" w:lineRule="exact"/>
        <w:rPr>
          <w:sz w:val="20"/>
          <w:szCs w:val="20"/>
          <w:color w:val="auto"/>
        </w:rPr>
      </w:pPr>
    </w:p>
    <w:p>
      <w:pPr>
        <w:jc w:val="both"/>
        <w:ind w:firstLine="188"/>
        <w:spacing w:after="0" w:line="231" w:lineRule="auto"/>
        <w:rPr>
          <w:sz w:val="20"/>
          <w:szCs w:val="20"/>
          <w:color w:val="auto"/>
        </w:rPr>
      </w:pPr>
      <w:r>
        <w:rPr>
          <w:rFonts w:ascii="Arial" w:cs="Arial" w:eastAsia="Arial" w:hAnsi="Arial"/>
          <w:sz w:val="18"/>
          <w:szCs w:val="18"/>
          <w:color w:val="auto"/>
        </w:rPr>
        <w:t>We understand that each employee's situation is unique, so we offer benefits that can be shaped and molded by each employee to fit their family's needs. Our current benefits vary by region, but generally include medical, dental and vision insurance, 401(k) retirement plan, savings accounts, life and disability coverage, and other voluntary benefits. We also offer time-off benefits including vacation time, flexible vacation for exempt positions, sick leave, and parental leave.</w:t>
      </w:r>
    </w:p>
    <w:p>
      <w:pPr>
        <w:spacing w:after="0" w:line="202" w:lineRule="exact"/>
        <w:rPr>
          <w:sz w:val="20"/>
          <w:szCs w:val="20"/>
          <w:color w:val="auto"/>
        </w:rPr>
      </w:pPr>
    </w:p>
    <w:p>
      <w:pPr>
        <w:jc w:val="both"/>
        <w:ind w:right="20" w:firstLine="207"/>
        <w:spacing w:after="0" w:line="231" w:lineRule="auto"/>
        <w:rPr>
          <w:sz w:val="20"/>
          <w:szCs w:val="20"/>
          <w:color w:val="auto"/>
        </w:rPr>
      </w:pPr>
      <w:r>
        <w:rPr>
          <w:rFonts w:ascii="Arial" w:cs="Arial" w:eastAsia="Arial" w:hAnsi="Arial"/>
          <w:sz w:val="18"/>
          <w:szCs w:val="18"/>
          <w:i w:val="1"/>
          <w:iCs w:val="1"/>
          <w:color w:val="auto"/>
        </w:rPr>
        <w:t xml:space="preserve">Volunteering and Philanthropy. </w:t>
      </w:r>
      <w:r>
        <w:rPr>
          <w:rFonts w:ascii="Arial" w:cs="Arial" w:eastAsia="Arial" w:hAnsi="Arial"/>
          <w:sz w:val="18"/>
          <w:szCs w:val="18"/>
          <w:color w:val="auto"/>
        </w:rPr>
        <w:t>For decades, we have had a compelling social purpose – to help ensure all Americans have access to sound nutritional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guidance to positively affect overall health outcomes. This began with the book </w:t>
      </w:r>
      <w:r>
        <w:rPr>
          <w:rFonts w:ascii="Arial" w:cs="Arial" w:eastAsia="Arial" w:hAnsi="Arial"/>
          <w:sz w:val="18"/>
          <w:szCs w:val="18"/>
          <w:i w:val="1"/>
          <w:iCs w:val="1"/>
          <w:color w:val="auto"/>
        </w:rPr>
        <w:t>Dr. Atkins’ Diet Revolution</w:t>
      </w:r>
      <w:r>
        <w:rPr>
          <w:rFonts w:ascii="Arial" w:cs="Arial" w:eastAsia="Arial" w:hAnsi="Arial"/>
          <w:sz w:val="18"/>
          <w:szCs w:val="18"/>
          <w:color w:val="auto"/>
        </w:rPr>
        <w:t xml:space="preserve"> published in 1972 and continues today with our advocacy for improved dietary guidelines and initiatives to educate consumers and empower them to make the right nutritional choices for themselves and their families.</w:t>
      </w:r>
    </w:p>
    <w:p>
      <w:pPr>
        <w:spacing w:after="0" w:line="202" w:lineRule="exact"/>
        <w:rPr>
          <w:sz w:val="20"/>
          <w:szCs w:val="20"/>
          <w:color w:val="auto"/>
        </w:rPr>
      </w:pPr>
    </w:p>
    <w:p>
      <w:pPr>
        <w:jc w:val="both"/>
        <w:ind w:firstLine="191"/>
        <w:spacing w:after="0" w:line="276" w:lineRule="auto"/>
        <w:rPr>
          <w:sz w:val="20"/>
          <w:szCs w:val="20"/>
          <w:color w:val="auto"/>
        </w:rPr>
      </w:pPr>
      <w:r>
        <w:rPr>
          <w:rFonts w:ascii="Arial" w:cs="Arial" w:eastAsia="Arial" w:hAnsi="Arial"/>
          <w:sz w:val="16"/>
          <w:szCs w:val="16"/>
          <w:color w:val="auto"/>
        </w:rPr>
        <w:t>Further, we do our part to stem food insecurity through volunteering opportunities and company philanthropy, including cash and product donations. We encourage our employees to volunteer, and as such have organized days of volunteering in the cities where our largest workforces reside. In Denver, Colorado our team volunteered for the Food Bank of the Rockies, and in El Segundo, California our team volunteered for the Los Angeles Mission.</w:t>
      </w:r>
    </w:p>
    <w:p>
      <w:pPr>
        <w:spacing w:after="0" w:line="189" w:lineRule="exact"/>
        <w:rPr>
          <w:sz w:val="20"/>
          <w:szCs w:val="20"/>
          <w:color w:val="auto"/>
        </w:rPr>
      </w:pPr>
    </w:p>
    <w:p>
      <w:pPr>
        <w:jc w:val="both"/>
        <w:ind w:firstLine="240"/>
        <w:spacing w:after="0" w:line="263" w:lineRule="auto"/>
        <w:rPr>
          <w:sz w:val="20"/>
          <w:szCs w:val="20"/>
          <w:color w:val="auto"/>
        </w:rPr>
      </w:pPr>
      <w:r>
        <w:rPr>
          <w:rFonts w:ascii="Arial" w:cs="Arial" w:eastAsia="Arial" w:hAnsi="Arial"/>
          <w:sz w:val="18"/>
          <w:szCs w:val="18"/>
          <w:color w:val="auto"/>
        </w:rPr>
        <w:t>Also this year, we announced participation in Walmart’s “Fight Hunger. Spark Change.” campaign. For each purchase of participating Simply Good Foods products at Walmart from April 5 – May 3, 2021, we donated the monetary equivalent of at least one meal to Feeding America. Through this program, Simply Good Foods secured at least 500,000 meals for Feeding America.</w:t>
      </w:r>
    </w:p>
    <w:p>
      <w:pPr>
        <w:spacing w:after="0" w:line="211" w:lineRule="exact"/>
        <w:rPr>
          <w:sz w:val="20"/>
          <w:szCs w:val="20"/>
          <w:color w:val="auto"/>
        </w:rPr>
      </w:pPr>
    </w:p>
    <w:p>
      <w:pPr>
        <w:jc w:val="both"/>
        <w:ind w:firstLine="193"/>
        <w:spacing w:after="0" w:line="277" w:lineRule="auto"/>
        <w:rPr>
          <w:sz w:val="20"/>
          <w:szCs w:val="20"/>
          <w:color w:val="auto"/>
        </w:rPr>
      </w:pPr>
      <w:r>
        <w:rPr>
          <w:rFonts w:ascii="Arial" w:cs="Arial" w:eastAsia="Arial" w:hAnsi="Arial"/>
          <w:sz w:val="18"/>
          <w:szCs w:val="18"/>
          <w:i w:val="1"/>
          <w:iCs w:val="1"/>
          <w:color w:val="auto"/>
        </w:rPr>
        <w:t xml:space="preserve">Employee Safety and Wellbeing Measures. </w:t>
      </w:r>
      <w:r>
        <w:rPr>
          <w:rFonts w:ascii="Arial" w:cs="Arial" w:eastAsia="Arial" w:hAnsi="Arial"/>
          <w:sz w:val="18"/>
          <w:szCs w:val="18"/>
          <w:color w:val="auto"/>
        </w:rPr>
        <w:t>In response to the COVID-19 pandemic, as of August 28, 2021, we have implemented a number of measures</w:t>
      </w:r>
      <w:r>
        <w:rPr>
          <w:rFonts w:ascii="Arial" w:cs="Arial" w:eastAsia="Arial" w:hAnsi="Arial"/>
          <w:sz w:val="18"/>
          <w:szCs w:val="18"/>
          <w:i w:val="1"/>
          <w:iCs w:val="1"/>
          <w:color w:val="auto"/>
        </w:rPr>
        <w:t xml:space="preserve"> </w:t>
      </w:r>
      <w:r>
        <w:rPr>
          <w:rFonts w:ascii="Arial" w:cs="Arial" w:eastAsia="Arial" w:hAnsi="Arial"/>
          <w:sz w:val="18"/>
          <w:szCs w:val="18"/>
          <w:color w:val="auto"/>
        </w:rPr>
        <w:t>to keep our employees safe:</w:t>
      </w:r>
    </w:p>
    <w:p>
      <w:pPr>
        <w:spacing w:after="0" w:line="197" w:lineRule="exact"/>
        <w:rPr>
          <w:sz w:val="20"/>
          <w:szCs w:val="20"/>
          <w:color w:val="auto"/>
        </w:rPr>
      </w:pPr>
    </w:p>
    <w:p>
      <w:pPr>
        <w:ind w:left="660" w:right="2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office positions have been encouraged to work from home, and we will not require employees to return to the office until January 2022, at the earliest.</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our offices and R&amp;D labs where employees are required to physically access special tools or resources to work, we follow local, state and federal guidance by:</w:t>
      </w:r>
    </w:p>
    <w:p>
      <w:pPr>
        <w:spacing w:after="0" w:line="8" w:lineRule="exact"/>
        <w:rPr>
          <w:rFonts w:ascii="Arial" w:cs="Arial" w:eastAsia="Arial" w:hAnsi="Arial"/>
          <w:sz w:val="18"/>
          <w:szCs w:val="18"/>
          <w:color w:val="auto"/>
        </w:rPr>
      </w:pPr>
    </w:p>
    <w:p>
      <w:pPr>
        <w:ind w:left="1300" w:hanging="320"/>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Requiring face coverings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Instituting social distancing guidelines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Requiring all employees to complete an online health screening daily</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Increasing our deep-cleaning schedule</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Making hand sanitizer readily available.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limit travel to only business-essential travel.</w:t>
      </w:r>
    </w:p>
    <w:p>
      <w:pPr>
        <w:spacing w:after="0" w:line="252" w:lineRule="exact"/>
        <w:rPr>
          <w:sz w:val="20"/>
          <w:szCs w:val="20"/>
          <w:color w:val="auto"/>
        </w:rPr>
      </w:pPr>
    </w:p>
    <w:p>
      <w:pPr>
        <w:jc w:val="both"/>
        <w:ind w:firstLine="224"/>
        <w:spacing w:after="0" w:line="263" w:lineRule="auto"/>
        <w:rPr>
          <w:sz w:val="20"/>
          <w:szCs w:val="20"/>
          <w:color w:val="auto"/>
        </w:rPr>
      </w:pPr>
      <w:r>
        <w:rPr>
          <w:rFonts w:ascii="Arial" w:cs="Arial" w:eastAsia="Arial" w:hAnsi="Arial"/>
          <w:sz w:val="18"/>
          <w:szCs w:val="18"/>
          <w:color w:val="auto"/>
        </w:rPr>
        <w:t>Further, we also strongly encourage employees to receive a COVID-19 vaccine, so we offered an incentive and lottery once the vaccines were widely available to all adults in the United States. The portion of our employees who got the vaccine exceeded each of the local and state-level vaccination rates of the general population.</w:t>
      </w:r>
    </w:p>
    <w:p>
      <w:pPr>
        <w:spacing w:after="0" w:line="211" w:lineRule="exact"/>
        <w:rPr>
          <w:sz w:val="20"/>
          <w:szCs w:val="20"/>
          <w:color w:val="auto"/>
        </w:rPr>
      </w:pPr>
    </w:p>
    <w:p>
      <w:pPr>
        <w:jc w:val="both"/>
        <w:ind w:firstLine="233"/>
        <w:spacing w:after="0" w:line="263" w:lineRule="auto"/>
        <w:rPr>
          <w:sz w:val="20"/>
          <w:szCs w:val="20"/>
          <w:color w:val="auto"/>
        </w:rPr>
      </w:pPr>
      <w:r>
        <w:rPr>
          <w:rFonts w:ascii="Arial" w:cs="Arial" w:eastAsia="Arial" w:hAnsi="Arial"/>
          <w:sz w:val="18"/>
          <w:szCs w:val="18"/>
          <w:color w:val="auto"/>
        </w:rPr>
        <w:t>We acknowledge the importance of balance in our employees’ lives to their overall wellbeing, so we offer our employees time off benefits described above to recharge. We also had two company-wide mental health days and encourage employees to take extra time away from work to recharge late December 2020. We adopted an employee-friendly parental leave policy in 2020.</w:t>
      </w:r>
    </w:p>
    <w:p>
      <w:pPr>
        <w:spacing w:after="0" w:line="211" w:lineRule="exact"/>
        <w:rPr>
          <w:sz w:val="20"/>
          <w:szCs w:val="20"/>
          <w:color w:val="auto"/>
        </w:rPr>
      </w:pPr>
    </w:p>
    <w:p>
      <w:pPr>
        <w:jc w:val="both"/>
        <w:ind w:firstLine="211"/>
        <w:spacing w:after="0" w:line="263" w:lineRule="auto"/>
        <w:rPr>
          <w:sz w:val="20"/>
          <w:szCs w:val="20"/>
          <w:color w:val="auto"/>
        </w:rPr>
      </w:pPr>
      <w:r>
        <w:rPr>
          <w:rFonts w:ascii="Arial" w:cs="Arial" w:eastAsia="Arial" w:hAnsi="Arial"/>
          <w:sz w:val="18"/>
          <w:szCs w:val="18"/>
          <w:color w:val="auto"/>
        </w:rPr>
        <w:t>To address the fatigue that results from working on a computer from home all day, we implemented “Zoom-free” Wednesday afternoons so employees can step away from their computers to focus on other responsibilities. When we do return to our offices regularly, it is our current intention that Mondays and Fridays will be flexible remote workdays.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Information</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file annual, quarterly and current reports, proxy statements and other information with the SEC.</w:t>
      </w:r>
    </w:p>
    <w:p>
      <w:pPr>
        <w:sectPr>
          <w:pgSz w:w="11900" w:h="16838" w:orient="portrait"/>
          <w:cols w:equalWidth="0" w:num="1">
            <w:col w:w="11240"/>
          </w:cols>
          <w:pgMar w:left="320" w:top="6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16" w:name="page17"/>
    <w:bookmarkEnd w:id="16"/>
    <w:p>
      <w:pPr>
        <w:jc w:val="both"/>
        <w:ind w:firstLine="244"/>
        <w:spacing w:after="0" w:line="263" w:lineRule="auto"/>
        <w:rPr>
          <w:sz w:val="20"/>
          <w:szCs w:val="20"/>
          <w:color w:val="auto"/>
        </w:rPr>
      </w:pPr>
      <w:r>
        <w:rPr>
          <w:rFonts w:ascii="Arial" w:cs="Arial" w:eastAsia="Arial" w:hAnsi="Arial"/>
          <w:sz w:val="18"/>
          <w:szCs w:val="18"/>
          <w:color w:val="auto"/>
        </w:rPr>
        <w:t xml:space="preserve">We file our reports with the SEC electronically through the SEC’s Electronic Data Gathering, Analysis and Retrieval (“EDGAR”) system. The SEC maintains an Internet site that contains reports, proxy and information statements and other information regarding companies that file electronically with the SEC through EDGAR. The address of this Internet site is </w:t>
      </w:r>
      <w:r>
        <w:rPr>
          <w:rFonts w:ascii="Arial" w:cs="Arial" w:eastAsia="Arial" w:hAnsi="Arial"/>
          <w:sz w:val="18"/>
          <w:szCs w:val="18"/>
          <w:i w:val="1"/>
          <w:iCs w:val="1"/>
          <w:u w:val="single" w:color="auto"/>
          <w:color w:val="auto"/>
        </w:rPr>
        <w:t>www.sec.gov</w:t>
      </w:r>
      <w:r>
        <w:rPr>
          <w:rFonts w:ascii="Arial" w:cs="Arial" w:eastAsia="Arial" w:hAnsi="Arial"/>
          <w:sz w:val="18"/>
          <w:szCs w:val="18"/>
          <w:i w:val="1"/>
          <w:iCs w:val="1"/>
          <w:color w:val="auto"/>
        </w:rPr>
        <w:t>.</w:t>
      </w:r>
    </w:p>
    <w:p>
      <w:pPr>
        <w:spacing w:after="0" w:line="211" w:lineRule="exact"/>
        <w:rPr>
          <w:sz w:val="20"/>
          <w:szCs w:val="20"/>
          <w:color w:val="auto"/>
        </w:rPr>
      </w:pPr>
    </w:p>
    <w:p>
      <w:pPr>
        <w:jc w:val="both"/>
        <w:ind w:firstLine="202"/>
        <w:spacing w:after="0" w:line="301" w:lineRule="auto"/>
        <w:rPr>
          <w:sz w:val="20"/>
          <w:szCs w:val="20"/>
          <w:color w:val="auto"/>
        </w:rPr>
      </w:pPr>
      <w:r>
        <w:rPr>
          <w:rFonts w:ascii="Arial" w:cs="Arial" w:eastAsia="Arial" w:hAnsi="Arial"/>
          <w:sz w:val="16"/>
          <w:szCs w:val="16"/>
          <w:color w:val="auto"/>
        </w:rPr>
        <w:t xml:space="preserve">We also make available free of charge through our website at </w:t>
      </w:r>
      <w:r>
        <w:rPr>
          <w:rFonts w:ascii="Arial" w:cs="Arial" w:eastAsia="Arial" w:hAnsi="Arial"/>
          <w:sz w:val="16"/>
          <w:szCs w:val="16"/>
          <w:i w:val="1"/>
          <w:iCs w:val="1"/>
          <w:u w:val="single" w:color="auto"/>
          <w:color w:val="auto"/>
        </w:rPr>
        <w:t>www.thesimplygoodfoodscompany.com</w:t>
      </w:r>
      <w:r>
        <w:rPr>
          <w:rFonts w:ascii="Arial" w:cs="Arial" w:eastAsia="Arial" w:hAnsi="Arial"/>
          <w:sz w:val="16"/>
          <w:szCs w:val="16"/>
          <w:color w:val="auto"/>
        </w:rPr>
        <w:t xml:space="preserve"> our Form 10-K, Quarterly Reports on Form 10-Q, Current Reports on Form 8-K, and amendments to those reports filed or furnished pursuant to Section 13(a) or 15(d) of the Exchange Act as soon as reasonably practicable after we electronically file such material with, or furnish it to, the SEC. We are not, however, including the information contained on our website, or information that may be accessed through links on our website, as part of, or incorporating such information by reference into, this Report.</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An investment in our securities involves a high degree of risk. You should carefully consider the risks described below before making an investment decision. Our business, prospects, financial condition or operating results could be harmed by any of these risks, and other risks not currently known to us or that we currently consider immaterial. The trading price of our securities could decline due to any of these risks, and, as a result, you may lose all or part of your investment.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212529"/>
        </w:rPr>
        <w:t>Pandemics, epidemics or disease outbreaks, such as the novel coronavirus (“COVID-19”), may disrupt our business, including, among other things, consumption and trade patterns, our supply chain and production processes, each of which could materially affect our operations, liquidity, financial condition and results of operations.</w:t>
      </w:r>
    </w:p>
    <w:p>
      <w:pPr>
        <w:spacing w:after="0" w:line="211" w:lineRule="exact"/>
        <w:rPr>
          <w:sz w:val="20"/>
          <w:szCs w:val="20"/>
          <w:color w:val="auto"/>
        </w:rPr>
      </w:pPr>
    </w:p>
    <w:p>
      <w:pPr>
        <w:jc w:val="both"/>
        <w:ind w:firstLine="274"/>
        <w:spacing w:after="0" w:line="279" w:lineRule="auto"/>
        <w:rPr>
          <w:sz w:val="20"/>
          <w:szCs w:val="20"/>
          <w:color w:val="auto"/>
        </w:rPr>
      </w:pPr>
      <w:r>
        <w:rPr>
          <w:rFonts w:ascii="Arial" w:cs="Arial" w:eastAsia="Arial" w:hAnsi="Arial"/>
          <w:sz w:val="17"/>
          <w:szCs w:val="17"/>
          <w:color w:val="212529"/>
        </w:rPr>
        <w:t>The actual or perceived effects of a disease outbreak, epidemic, pandemic or similar widespread public health concern, such as COVID-19, could negatively affect our operations, liquidity, financial condition and results of operations. The COVID-19 outbreak situation continues to remain dynamic and subject to rapid and possibly material change, including but not limited to changes that may materially affect the operations of our customers and supply chain partners, which ultimately could cause material negative effects on our business and results of operations.</w:t>
      </w:r>
    </w:p>
    <w:p>
      <w:pPr>
        <w:spacing w:after="0" w:line="198" w:lineRule="exact"/>
        <w:rPr>
          <w:sz w:val="20"/>
          <w:szCs w:val="20"/>
          <w:color w:val="auto"/>
        </w:rPr>
      </w:pPr>
    </w:p>
    <w:p>
      <w:pPr>
        <w:jc w:val="both"/>
        <w:ind w:firstLine="193"/>
        <w:spacing w:after="0" w:line="257" w:lineRule="auto"/>
        <w:rPr>
          <w:sz w:val="20"/>
          <w:szCs w:val="20"/>
          <w:color w:val="auto"/>
        </w:rPr>
      </w:pPr>
      <w:r>
        <w:rPr>
          <w:rFonts w:ascii="Arial" w:cs="Arial" w:eastAsia="Arial" w:hAnsi="Arial"/>
          <w:sz w:val="18"/>
          <w:szCs w:val="18"/>
          <w:color w:val="212529"/>
        </w:rPr>
        <w:t>Pandemics, epidemics or disease outbreaks may affect demand for our products because quarantines or other government restrictions on movement may cause erratic consumer purchase behavior. Governmental or societal impositions of restrictions on public gatherings, especially if prolonged, may have adverse effects on in-person traffic to retail stores and, in turn, our business. Even the perceived risk of infection or health risk may adversely affect traffic to our store-based retail customers and, in turn, our business, liquidity, financial condition and results of operations, particularly if any self-imposed or government-imposed restrictions are in place for significant time.</w:t>
      </w:r>
    </w:p>
    <w:p>
      <w:pPr>
        <w:spacing w:after="0" w:line="215" w:lineRule="exact"/>
        <w:rPr>
          <w:sz w:val="20"/>
          <w:szCs w:val="20"/>
          <w:color w:val="auto"/>
        </w:rPr>
      </w:pPr>
    </w:p>
    <w:p>
      <w:pPr>
        <w:jc w:val="both"/>
        <w:ind w:firstLine="234"/>
        <w:spacing w:after="0" w:line="270" w:lineRule="auto"/>
        <w:rPr>
          <w:sz w:val="20"/>
          <w:szCs w:val="20"/>
          <w:color w:val="auto"/>
        </w:rPr>
      </w:pPr>
      <w:r>
        <w:rPr>
          <w:rFonts w:ascii="Arial" w:cs="Arial" w:eastAsia="Arial" w:hAnsi="Arial"/>
          <w:sz w:val="17"/>
          <w:szCs w:val="17"/>
          <w:color w:val="212529"/>
        </w:rPr>
        <w:t>The spread of pandemics, epidemics or disease outbreaks such as COVID-19 may also disrupt our third-party business partners’ ability to meet their obligations to us, which may negatively affect our operations. These third parties include those who supply our ingredients, packaging, and other necessary operating materials, contract manufacturers, distributors, and logistics and transportation services providers. Ports and other channels of entry may be closed or operate at only a portion of capacity, as workers may be prohibited or otherwise unable to report to work and means of transporting products within regions or countries may be limited for the same reason. Because of the COVID-19 outbreak, transport restrictions related to quarantines or travel bans have been put in place and global supply may become constrained, each of which may cause price increases or shortages of certain ingredients and raw materials used in our products and/or we may experience disruptions to our operations. Further, our contract manufacturers’ ability to manufacture our products may be impaired by any material disruption to their employee staffing, procurement, manufacturing, or warehousing capabilities because of COVID-19 or similar outbreaks.</w:t>
      </w:r>
    </w:p>
    <w:p>
      <w:pPr>
        <w:spacing w:after="0" w:line="208" w:lineRule="exact"/>
        <w:rPr>
          <w:sz w:val="20"/>
          <w:szCs w:val="20"/>
          <w:color w:val="auto"/>
        </w:rPr>
      </w:pPr>
    </w:p>
    <w:p>
      <w:pPr>
        <w:jc w:val="both"/>
        <w:ind w:firstLine="220"/>
        <w:spacing w:after="0" w:line="255" w:lineRule="auto"/>
        <w:rPr>
          <w:sz w:val="20"/>
          <w:szCs w:val="20"/>
          <w:color w:val="auto"/>
        </w:rPr>
      </w:pPr>
      <w:r>
        <w:rPr>
          <w:rFonts w:ascii="Arial" w:cs="Arial" w:eastAsia="Arial" w:hAnsi="Arial"/>
          <w:sz w:val="18"/>
          <w:szCs w:val="18"/>
          <w:color w:val="212529"/>
        </w:rPr>
        <w:t>Our results of operations depend on, among other things, our ability to maintain and increase sales volume with our existing customers, to attract new consumers and to provide products that appeal to consumers at prices they are willing and able to pay. Our ability to implement our innovation, advertising, display and promotion activities designed to maintain and increase our sales volumes on a timely basis may be negatively affected because of modifications to retailer shelf reset timing or retailer pullback on in-store display and promotional activities during the COVID-19 outbreak or similar situations. Retailers may also alter their normal inventory receiving and product restocking practices during pandemics, epidemics or disease outbreaks such as COVID-19, which may negatively affect our business.</w:t>
      </w:r>
    </w:p>
    <w:p>
      <w:pPr>
        <w:spacing w:after="0" w:line="219" w:lineRule="exact"/>
        <w:rPr>
          <w:sz w:val="20"/>
          <w:szCs w:val="20"/>
          <w:color w:val="auto"/>
        </w:rPr>
      </w:pPr>
    </w:p>
    <w:p>
      <w:pPr>
        <w:jc w:val="both"/>
        <w:ind w:firstLine="261"/>
        <w:spacing w:after="0" w:line="296" w:lineRule="auto"/>
        <w:rPr>
          <w:sz w:val="20"/>
          <w:szCs w:val="20"/>
          <w:color w:val="auto"/>
        </w:rPr>
      </w:pPr>
      <w:r>
        <w:rPr>
          <w:rFonts w:ascii="Arial" w:cs="Arial" w:eastAsia="Arial" w:hAnsi="Arial"/>
          <w:sz w:val="16"/>
          <w:szCs w:val="16"/>
          <w:color w:val="212529"/>
        </w:rPr>
        <w:t>Workforce limitations and travel restrictions resulting from pandemics, epidemics or disease outbreaks such as COVID-19 and related government actions may affect many aspects of our business. If a significant percentage of our workforce cannot work or we are not able to visit our contract manufacturers’ locations, including because of illness, travel or government restrictions in connection with pandemics or disease outbreaks, our operations may be negatively affected. In addition, pandemics or disease outbreaks could cause a widespread health crisis that could adversely affect the economies and financial markets of many countries, resulting in an economic downturn that could affect customers’ and consumers’ demand for our products.</w:t>
      </w:r>
    </w:p>
    <w:p>
      <w:pPr>
        <w:spacing w:after="0" w:line="188" w:lineRule="exact"/>
        <w:rPr>
          <w:sz w:val="20"/>
          <w:szCs w:val="20"/>
          <w:color w:val="auto"/>
        </w:rPr>
      </w:pPr>
    </w:p>
    <w:p>
      <w:pPr>
        <w:jc w:val="both"/>
        <w:ind w:firstLine="261"/>
        <w:spacing w:after="0" w:line="257" w:lineRule="auto"/>
        <w:rPr>
          <w:sz w:val="20"/>
          <w:szCs w:val="20"/>
          <w:color w:val="auto"/>
        </w:rPr>
      </w:pPr>
      <w:r>
        <w:rPr>
          <w:rFonts w:ascii="Arial" w:cs="Arial" w:eastAsia="Arial" w:hAnsi="Arial"/>
          <w:sz w:val="18"/>
          <w:szCs w:val="18"/>
          <w:color w:val="212529"/>
        </w:rPr>
        <w:t>Adverse and uncertain economic conditions, such as decreases in per capita income and level of disposable income, increased unemployment or a decline in consumer confidence because of the COVID-19 outbreak or similar situations, could have an adverse effect on distributor, retailer and consumer demand for our products. Consumers may shift purchases to lower-priced or other perceived value offerings during economic downturns. Prolonged unfavorable economic conditions, including because of COVID-19 or similar outbreaks, and any resulting recession or slowed economic growth, may have an adverse effect on our sales and profitability.</w:t>
      </w:r>
    </w:p>
    <w:p>
      <w:pPr>
        <w:spacing w:after="0" w:line="215" w:lineRule="exact"/>
        <w:rPr>
          <w:sz w:val="20"/>
          <w:szCs w:val="20"/>
          <w:color w:val="auto"/>
        </w:rPr>
      </w:pPr>
    </w:p>
    <w:p>
      <w:pPr>
        <w:jc w:val="both"/>
        <w:ind w:firstLine="213"/>
        <w:spacing w:after="0" w:line="277" w:lineRule="auto"/>
        <w:rPr>
          <w:sz w:val="20"/>
          <w:szCs w:val="20"/>
          <w:color w:val="auto"/>
        </w:rPr>
      </w:pPr>
      <w:r>
        <w:rPr>
          <w:rFonts w:ascii="Arial" w:cs="Arial" w:eastAsia="Arial" w:hAnsi="Arial"/>
          <w:sz w:val="18"/>
          <w:szCs w:val="18"/>
          <w:color w:val="auto"/>
        </w:rPr>
        <w:t>Our consolidated results of operations for the full fiscal year ended August 28, 2021 were affected by changes in consumer shopping and consumption behavior due to COVID-19. After the brief pantry loading period in mid-March 2020, the nutritional snacking</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jc w:val="both"/>
        <w:spacing w:after="0" w:line="311" w:lineRule="auto"/>
        <w:rPr>
          <w:sz w:val="20"/>
          <w:szCs w:val="20"/>
          <w:color w:val="auto"/>
        </w:rPr>
      </w:pPr>
      <w:r>
        <w:rPr>
          <w:rFonts w:ascii="Arial" w:cs="Arial" w:eastAsia="Arial" w:hAnsi="Arial"/>
          <w:sz w:val="16"/>
          <w:szCs w:val="16"/>
          <w:color w:val="auto"/>
        </w:rPr>
        <w:t>category saw a marked decrease in shopping trips (particularly in the mass channel) and fewer usage occasions. This affected our portable and convenient on-the-go products, especially the protein bar portion of our business for both our Atkins and Quest brands. As home confinement restrictions began to ease, shopping trips steadily improved from their lowest point and consumer interest in weight management and active nutrition began to improve.</w:t>
      </w:r>
    </w:p>
    <w:p>
      <w:pPr>
        <w:spacing w:after="0" w:line="176" w:lineRule="exact"/>
        <w:rPr>
          <w:sz w:val="20"/>
          <w:szCs w:val="20"/>
          <w:color w:val="auto"/>
        </w:rPr>
      </w:pPr>
    </w:p>
    <w:p>
      <w:pPr>
        <w:jc w:val="both"/>
        <w:ind w:firstLine="196"/>
        <w:spacing w:after="0" w:line="286" w:lineRule="auto"/>
        <w:rPr>
          <w:sz w:val="20"/>
          <w:szCs w:val="20"/>
          <w:color w:val="auto"/>
        </w:rPr>
      </w:pPr>
      <w:r>
        <w:rPr>
          <w:rFonts w:ascii="Arial" w:cs="Arial" w:eastAsia="Arial" w:hAnsi="Arial"/>
          <w:sz w:val="17"/>
          <w:szCs w:val="17"/>
          <w:color w:val="auto"/>
        </w:rPr>
        <w:t>While our Quest brand has outperformed its portion of the nutritious snaking segment, the performance of our Atkins brand, which is part of the weight management portion of the market, has remained slower due to the temporary softer interest in weight management for consumers, fewer on-the-go usage occasions and weakness in the mass channel that has experienced reduced shopper traffic during the pandemic.</w:t>
      </w:r>
    </w:p>
    <w:p>
      <w:pPr>
        <w:spacing w:after="0" w:line="192" w:lineRule="exact"/>
        <w:rPr>
          <w:sz w:val="20"/>
          <w:szCs w:val="20"/>
          <w:color w:val="auto"/>
        </w:rPr>
      </w:pPr>
    </w:p>
    <w:p>
      <w:pPr>
        <w:jc w:val="both"/>
        <w:ind w:firstLine="213"/>
        <w:spacing w:after="0" w:line="259" w:lineRule="auto"/>
        <w:rPr>
          <w:sz w:val="20"/>
          <w:szCs w:val="20"/>
          <w:color w:val="auto"/>
        </w:rPr>
      </w:pPr>
      <w:r>
        <w:rPr>
          <w:rFonts w:ascii="Arial" w:cs="Arial" w:eastAsia="Arial" w:hAnsi="Arial"/>
          <w:sz w:val="18"/>
          <w:szCs w:val="18"/>
          <w:color w:val="auto"/>
        </w:rPr>
        <w:t>We believe these effects on consumer demand and shopping behavior as a result of the COVID-19 outbreak may continue in the future, including as a result of new virus variants and the effect these variants have on consumer shopping patterns, until a more consistent return of shopping behavior to more normal patterns and our brand benefits of active nutrition and weight management drive more better-for-you snacking and meal replacement usage occasions.</w:t>
      </w:r>
    </w:p>
    <w:p>
      <w:pPr>
        <w:spacing w:after="0" w:line="214" w:lineRule="exact"/>
        <w:rPr>
          <w:sz w:val="20"/>
          <w:szCs w:val="20"/>
          <w:color w:val="auto"/>
        </w:rPr>
      </w:pPr>
    </w:p>
    <w:p>
      <w:pPr>
        <w:jc w:val="both"/>
        <w:ind w:firstLine="253"/>
        <w:spacing w:after="0" w:line="263" w:lineRule="auto"/>
        <w:rPr>
          <w:sz w:val="20"/>
          <w:szCs w:val="20"/>
          <w:color w:val="auto"/>
        </w:rPr>
      </w:pPr>
      <w:r>
        <w:rPr>
          <w:rFonts w:ascii="Arial" w:cs="Arial" w:eastAsia="Arial" w:hAnsi="Arial"/>
          <w:sz w:val="18"/>
          <w:szCs w:val="18"/>
          <w:color w:val="auto"/>
        </w:rPr>
        <w:t>Our efforts to manage and mitigate these factors may be unsuccessful, and the effectiveness of these efforts depends on factors beyond our control, including the duration and severity of any pandemic, epidemic or disease outbreak, and third party actions taken to contain its spread and mitigate public health effects.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compete successfully in the highly competitive nutritional snacking industry.</w:t>
      </w:r>
    </w:p>
    <w:p>
      <w:pPr>
        <w:spacing w:after="0" w:line="252" w:lineRule="exact"/>
        <w:rPr>
          <w:sz w:val="20"/>
          <w:szCs w:val="20"/>
          <w:color w:val="auto"/>
        </w:rPr>
      </w:pPr>
    </w:p>
    <w:p>
      <w:pPr>
        <w:jc w:val="both"/>
        <w:ind w:firstLine="186"/>
        <w:spacing w:after="0" w:line="290" w:lineRule="auto"/>
        <w:rPr>
          <w:sz w:val="20"/>
          <w:szCs w:val="20"/>
          <w:color w:val="auto"/>
        </w:rPr>
      </w:pPr>
      <w:r>
        <w:rPr>
          <w:rFonts w:ascii="Arial" w:cs="Arial" w:eastAsia="Arial" w:hAnsi="Arial"/>
          <w:sz w:val="16"/>
          <w:szCs w:val="16"/>
          <w:color w:val="auto"/>
        </w:rPr>
        <w:t>The nutritious snacking industry is large and intensely competitive because consumers are seeking simpler, “cleaner” and more sustainable eating habits. Our business is committed to providing people a more nutritious way to eat. As a result, we compete in the nutritional snacking industry, which is included in the general snack foods industry. Competitive factors in the nutritional snacking industry include product quality, taste, brand awareness among consumers, nutritional content, simpler and less processed ingredients, innovation of “on-trend” snacks, variety of snacks offered, grocery aisle placement, access to retailer shelf space, price, advertising and promotion, product packaging and package design. We compete in this market against numerous multinational, regional and local companies principally based on our low-carb, low-sugar and protein-rich nutritional content, product taste and quality, our brand recognition and loyalty, marketing, advertising, price and the ability to satisfy specific consumer dietary needs. An increasing focus on healthy and simpler products in the marketplace will likely increase these competitive pressures within the category in future periods.</w:t>
      </w:r>
    </w:p>
    <w:p>
      <w:pPr>
        <w:spacing w:after="0" w:line="192" w:lineRule="exact"/>
        <w:rPr>
          <w:sz w:val="20"/>
          <w:szCs w:val="20"/>
          <w:color w:val="auto"/>
        </w:rPr>
      </w:pPr>
    </w:p>
    <w:p>
      <w:pPr>
        <w:jc w:val="both"/>
        <w:ind w:firstLine="202"/>
        <w:spacing w:after="0" w:line="254" w:lineRule="auto"/>
        <w:rPr>
          <w:sz w:val="20"/>
          <w:szCs w:val="20"/>
          <w:color w:val="auto"/>
        </w:rPr>
      </w:pPr>
      <w:r>
        <w:rPr>
          <w:rFonts w:ascii="Arial" w:cs="Arial" w:eastAsia="Arial" w:hAnsi="Arial"/>
          <w:sz w:val="18"/>
          <w:szCs w:val="18"/>
          <w:color w:val="auto"/>
        </w:rPr>
        <w:t>Our competitors in the nutritional snacking industry include companies selling branded weight loss programs who support these programs by offering a wide variety of diet foods, meal replacement bars, shakes and nutritional supplements, and through the promotion of weight loss and weight management approaches such as keto, paleo, vegan, gluten free, vegetarian and others. Views towards nutritional snacking, weight loss and management, and other nutritional approaches, are cyclical and trendy, with constantly changing consumer perceptions. Besides remaining competitive through the quality of our products, consumer perceptions of the Atkins’ weight management approach and the effectiveness of a low-carb, low-sugar and protein-rich eating approach for both our Atkins and Quest brands must continue to be viewed favorably, or our business and reputation may be materially and adversely affected. For the Atkins brand, if other weight management approaches become more popular, or are generally perceived to be more effective, we may not be able to compete effectively.</w:t>
      </w:r>
    </w:p>
    <w:p>
      <w:pPr>
        <w:spacing w:after="0" w:line="219"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Some of our competitors have resources substantially greater than we have and sell brands that may be more widely recognized than our brands. Our current and potential competitors may offer products similar to our products, a wider range of products than we offer, and may offer such products at more competitive prices than we do. Local or regional markets often have significant additional competitors, many of whom offer products similar to ours and may have unique ties to regional or national retail chains. Any increased competition from new entrants into the nutritional snacking industry or any increased success by existing competition could cause reductions in our sales, require us to reduce our prices, or both, which could materially and adversely affect our business, financial condition and results of operations.</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implement our growth strategies successfully, timely, or at all, our ability to increase our revenue and operating profits could be materially and adversely affected.</w:t>
      </w:r>
    </w:p>
    <w:p>
      <w:pPr>
        <w:spacing w:after="0" w:line="197" w:lineRule="exact"/>
        <w:rPr>
          <w:sz w:val="20"/>
          <w:szCs w:val="20"/>
          <w:color w:val="auto"/>
        </w:rPr>
      </w:pPr>
    </w:p>
    <w:p>
      <w:pPr>
        <w:jc w:val="both"/>
        <w:ind w:firstLine="232"/>
        <w:spacing w:after="0" w:line="291" w:lineRule="auto"/>
        <w:rPr>
          <w:sz w:val="20"/>
          <w:szCs w:val="20"/>
          <w:color w:val="auto"/>
        </w:rPr>
      </w:pPr>
      <w:r>
        <w:rPr>
          <w:rFonts w:ascii="Arial" w:cs="Arial" w:eastAsia="Arial" w:hAnsi="Arial"/>
          <w:sz w:val="16"/>
          <w:szCs w:val="16"/>
          <w:color w:val="auto"/>
        </w:rPr>
        <w:t>Our future success depends, largely, on our ability to implement our growth strategies effectively. However, we may fail in implementing our growth strategies effectively. We expect to continue focusing on nutritional snacking and intend to add additional brands to our product portfolio. As a multi-brand business, we face increased complexities and greater uncertainty regarding consumer trends and demands than as a single-brand business. Our ability to expand successfully our nutritional snacking brands and other growth strategies depends on, among other things, our ability to identify, and successfully cater to, new demographics and consumer trends, develop new and innovative products, identify and acquire additional product lines and businesses, secure shelf space in grocery stores, wholesale clubs and other retailers, increase consumer awareness of our brands, enter into distribution and other strategic arrangements with third-party retailers and other potential distributors of our products, and compete with numerous other companies and products.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9" w:name="page20"/>
    <w:bookmarkEnd w:id="19"/>
    <w:p>
      <w:pPr>
        <w:jc w:val="both"/>
        <w:ind w:firstLine="279"/>
        <w:spacing w:after="0" w:line="259" w:lineRule="auto"/>
        <w:rPr>
          <w:sz w:val="20"/>
          <w:szCs w:val="20"/>
          <w:color w:val="auto"/>
        </w:rPr>
      </w:pPr>
      <w:r>
        <w:rPr>
          <w:rFonts w:ascii="Arial" w:cs="Arial" w:eastAsia="Arial" w:hAnsi="Arial"/>
          <w:sz w:val="18"/>
          <w:szCs w:val="18"/>
          <w:color w:val="auto"/>
        </w:rPr>
        <w:t>In addition, regarding our Atkins brand, self-directed lifestyle consumers of products may have different preferences and spending habits than the consumers of traditional weight loss products. We may not succeed in reaching and maintaining the loyalty of new Atkins consumers to the same extent, or at all, as we have with our historical Atkins consumers. We may also not succeed in evolving our advertising and other efforts to appeal to our target consumers for both Atkins and Quest.</w:t>
      </w:r>
    </w:p>
    <w:p>
      <w:pPr>
        <w:spacing w:after="0" w:line="214" w:lineRule="exact"/>
        <w:rPr>
          <w:sz w:val="20"/>
          <w:szCs w:val="20"/>
          <w:color w:val="auto"/>
        </w:rPr>
      </w:pPr>
    </w:p>
    <w:p>
      <w:pPr>
        <w:jc w:val="both"/>
        <w:ind w:firstLine="253"/>
        <w:spacing w:after="0" w:line="257" w:lineRule="auto"/>
        <w:rPr>
          <w:sz w:val="20"/>
          <w:szCs w:val="20"/>
          <w:color w:val="auto"/>
        </w:rPr>
      </w:pPr>
      <w:r>
        <w:rPr>
          <w:rFonts w:ascii="Arial" w:cs="Arial" w:eastAsia="Arial" w:hAnsi="Arial"/>
          <w:sz w:val="18"/>
          <w:szCs w:val="18"/>
          <w:color w:val="auto"/>
        </w:rPr>
        <w:t>If we cannot identify and capture new audiences and demographics for all our brands, our ability to integrate additional brands successfully will be adversely affected. Accordingly, we may not be able to successfully implement our growth strategies, expand the number of our brands, or continue to maintain growth in our sales at our current rate, or at all. If we fail to implement our growth strategies or if we invest resources in growth strategies that ultimately prove unsuccessful, our sales and profitability may be negatively affected, which would materially and adversely affect our business, financial condition and results of operations.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do not continually enhance our brand recognition, increase distribution of our products, attract new consumers to our brands and introduce new and innovative products, either on a timely basis or at all, our business may suffer.</w:t>
      </w:r>
    </w:p>
    <w:p>
      <w:pPr>
        <w:spacing w:after="0" w:line="197" w:lineRule="exact"/>
        <w:rPr>
          <w:sz w:val="20"/>
          <w:szCs w:val="20"/>
          <w:color w:val="auto"/>
        </w:rPr>
      </w:pPr>
    </w:p>
    <w:p>
      <w:pPr>
        <w:jc w:val="both"/>
        <w:ind w:firstLine="292"/>
        <w:spacing w:after="0" w:line="271" w:lineRule="auto"/>
        <w:rPr>
          <w:sz w:val="20"/>
          <w:szCs w:val="20"/>
          <w:color w:val="auto"/>
        </w:rPr>
      </w:pPr>
      <w:r>
        <w:rPr>
          <w:rFonts w:ascii="Arial" w:cs="Arial" w:eastAsia="Arial" w:hAnsi="Arial"/>
          <w:sz w:val="17"/>
          <w:szCs w:val="17"/>
          <w:color w:val="auto"/>
        </w:rPr>
        <w:t>The nutritional snacking industry is subject to rapid and frequent changes in consumer demands. Because consumers are constantly seeking new products and strategies to achieve their healthy eating goals, our success relies heavily on our ability to continue to develop and market new and innovative products and extensions. New product sales represent a growing and important portion of our net sales. To respond to new and evolving consumer demands, achieve market acceptance and keep pace with new nutritional, weight management, technological and other developments, we must constantly introduce new and innovative products into the market, some of which may not be accepted by consumers, may be sent to market prematurely or may not be consistent with our quality and taste standards. Accordingly, we may not succeed in timely developing, introducing or marketing any new or enhanced products. If we cannot commercialize new products, our revenue may not grow as expected, which would materially and adversely affect our business, financial condition and results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growth may be limited if we cannot maintain or secure additional shelf or retail space for our products.</w:t>
      </w:r>
    </w:p>
    <w:p>
      <w:pPr>
        <w:spacing w:after="0" w:line="252" w:lineRule="exact"/>
        <w:rPr>
          <w:sz w:val="20"/>
          <w:szCs w:val="20"/>
          <w:color w:val="auto"/>
        </w:rPr>
      </w:pPr>
    </w:p>
    <w:p>
      <w:pPr>
        <w:jc w:val="both"/>
        <w:ind w:firstLine="207"/>
        <w:spacing w:after="0" w:line="259" w:lineRule="auto"/>
        <w:rPr>
          <w:sz w:val="20"/>
          <w:szCs w:val="20"/>
          <w:color w:val="auto"/>
        </w:rPr>
      </w:pPr>
      <w:r>
        <w:rPr>
          <w:rFonts w:ascii="Arial" w:cs="Arial" w:eastAsia="Arial" w:hAnsi="Arial"/>
          <w:sz w:val="18"/>
          <w:szCs w:val="18"/>
          <w:color w:val="auto"/>
        </w:rPr>
        <w:t>Our results depend on our ability to drive revenue growth, in part, by expanding the distribution channels for our products. Our ability to do so may be limited by an inability to secure new retailers, or maintain or add shelf and retail space for our products. Shelf and retail space for nutritional snacks is limited and subject to competitive and other pressures. There can be no assurance that retailers will provide sufficient, or any, shelf space, nor that online retailers will provide online access to their platform to enable us to meet our growth objectives.</w:t>
      </w:r>
    </w:p>
    <w:p>
      <w:pPr>
        <w:spacing w:after="0" w:line="214" w:lineRule="exact"/>
        <w:rPr>
          <w:sz w:val="20"/>
          <w:szCs w:val="20"/>
          <w:color w:val="auto"/>
        </w:rPr>
      </w:pPr>
    </w:p>
    <w:p>
      <w:pPr>
        <w:jc w:val="both"/>
        <w:ind w:firstLine="213"/>
        <w:spacing w:after="0" w:line="257" w:lineRule="auto"/>
        <w:rPr>
          <w:sz w:val="20"/>
          <w:szCs w:val="20"/>
          <w:color w:val="auto"/>
        </w:rPr>
      </w:pPr>
      <w:r>
        <w:rPr>
          <w:rFonts w:ascii="Arial" w:cs="Arial" w:eastAsia="Arial" w:hAnsi="Arial"/>
          <w:sz w:val="18"/>
          <w:szCs w:val="18"/>
          <w:color w:val="auto"/>
        </w:rPr>
        <w:t>Unattractive shelf placement or pricing may put our products at a disadvantage compared to those of our competitors. Even if we obtain shelf space or preferable shelf placement, our new and existing products may fail to achieve the sales expectations set by our retailers, potentially causing these retailers to remove our products from their shelves. Additionally, an increase in the quantity and quality of private label products in the product categories in which we compete could create more pressure for shelf space and placement for branded products within each such category, which could materially and adversely affect our sales.</w:t>
      </w:r>
    </w:p>
    <w:p>
      <w:pPr>
        <w:spacing w:after="0" w:line="21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Changes in consumer preferences, perceptions of certain nutritional snacking products and discretionary spending may negatively affect our brand loyalty and net sales, and materially and adversely affect our business, financial condition and results of operations.</w:t>
      </w:r>
    </w:p>
    <w:p>
      <w:pPr>
        <w:spacing w:after="0" w:line="173" w:lineRule="exact"/>
        <w:rPr>
          <w:sz w:val="20"/>
          <w:szCs w:val="20"/>
          <w:color w:val="auto"/>
        </w:rPr>
      </w:pPr>
    </w:p>
    <w:p>
      <w:pPr>
        <w:jc w:val="both"/>
        <w:ind w:firstLine="192"/>
        <w:spacing w:after="0" w:line="301" w:lineRule="auto"/>
        <w:rPr>
          <w:sz w:val="20"/>
          <w:szCs w:val="20"/>
          <w:color w:val="auto"/>
        </w:rPr>
      </w:pPr>
      <w:r>
        <w:rPr>
          <w:rFonts w:ascii="Arial" w:cs="Arial" w:eastAsia="Arial" w:hAnsi="Arial"/>
          <w:sz w:val="16"/>
          <w:szCs w:val="16"/>
          <w:color w:val="auto"/>
        </w:rPr>
        <w:t>We focus on products that are, or that we believe are, perceived to have positive effects on health, and compete in a market that relies on innovation and evolving consumer preferences. The packaged food industry in general, and the nutritional snacking industry in particular, is subject to changing consumer trends, demands and preferences. Emerging science, and our nutritional approach and theories regarding health are constantly evolving. Products or methods of eating once considered healthy may become disfavored by consumers, scientifically disproven or no longer be perceived as healthy.</w:t>
      </w:r>
    </w:p>
    <w:p>
      <w:pPr>
        <w:spacing w:after="0" w:line="184" w:lineRule="exact"/>
        <w:rPr>
          <w:sz w:val="20"/>
          <w:szCs w:val="20"/>
          <w:color w:val="auto"/>
        </w:rPr>
      </w:pPr>
    </w:p>
    <w:p>
      <w:pPr>
        <w:jc w:val="both"/>
        <w:ind w:firstLine="197"/>
        <w:spacing w:after="0" w:line="293" w:lineRule="auto"/>
        <w:rPr>
          <w:sz w:val="20"/>
          <w:szCs w:val="20"/>
          <w:color w:val="auto"/>
        </w:rPr>
      </w:pPr>
      <w:r>
        <w:rPr>
          <w:rFonts w:ascii="Arial" w:cs="Arial" w:eastAsia="Arial" w:hAnsi="Arial"/>
          <w:sz w:val="16"/>
          <w:szCs w:val="16"/>
          <w:color w:val="auto"/>
        </w:rPr>
        <w:t>Trends within the food industry change often and our failure to anticipate, identify or react to changes in these trends could, among other things, lead to reduced consumer demand, shelf or retail space and price reductions, and could materially and adversely affect our business, financial condition and results of operations. Additionally, certain ingredients used in our products may become negatively perceived by consumers, resulting in reformulation of existing products to remove such ingredients, which may negatively affect the taste or other qualities of our products. Factors that may affect consumer perception of healthy products include dietary trends and attention to different nutritional aspects of foods, concerns regarding the health effects of specific ingredients and nutrients, trends away from specific ingredients in products and increasing awareness of the environmental and social effects of product production.</w:t>
      </w:r>
    </w:p>
    <w:p>
      <w:pPr>
        <w:spacing w:after="0" w:line="191" w:lineRule="exact"/>
        <w:rPr>
          <w:sz w:val="20"/>
          <w:szCs w:val="20"/>
          <w:color w:val="auto"/>
        </w:rPr>
      </w:pPr>
    </w:p>
    <w:p>
      <w:pPr>
        <w:jc w:val="both"/>
        <w:ind w:firstLine="214"/>
        <w:spacing w:after="0" w:line="259" w:lineRule="auto"/>
        <w:rPr>
          <w:sz w:val="20"/>
          <w:szCs w:val="20"/>
          <w:color w:val="auto"/>
        </w:rPr>
      </w:pPr>
      <w:r>
        <w:rPr>
          <w:rFonts w:ascii="Arial" w:cs="Arial" w:eastAsia="Arial" w:hAnsi="Arial"/>
          <w:sz w:val="18"/>
          <w:szCs w:val="18"/>
          <w:color w:val="auto"/>
        </w:rPr>
        <w:t>Consumer perceptions of the nutritional profile of our products and related eating practices may shift, and consumers may no longer perceive products with fewer carbohydrates, higher levels of protein, higher levels of fat and additional fiber as healthy or needed to achieve personal weight management, wellness, or fitness goals. Adverse messaging in the media, including social media, or within certain influencer communities, relating to the marketing of weight management products or programs may adversely affect the overall consumer</w:t>
      </w:r>
    </w:p>
    <w:p>
      <w:pPr>
        <w:sectPr>
          <w:pgSz w:w="11900" w:h="16838" w:orient="portrait"/>
          <w:cols w:equalWidth="0" w:num="1">
            <w:col w:w="11240"/>
          </w:cols>
          <w:pgMar w:left="320" w:top="935" w:right="339" w:bottom="1440" w:gutter="0" w:footer="0" w:header="0"/>
        </w:sect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20" w:name="page21"/>
    <w:bookmarkEnd w:id="20"/>
    <w:p>
      <w:pPr>
        <w:jc w:val="both"/>
        <w:spacing w:after="0" w:line="254" w:lineRule="auto"/>
        <w:rPr>
          <w:sz w:val="20"/>
          <w:szCs w:val="20"/>
          <w:color w:val="auto"/>
        </w:rPr>
      </w:pPr>
      <w:r>
        <w:rPr>
          <w:rFonts w:ascii="Arial" w:cs="Arial" w:eastAsia="Arial" w:hAnsi="Arial"/>
          <w:sz w:val="18"/>
          <w:szCs w:val="18"/>
          <w:color w:val="auto"/>
        </w:rPr>
        <w:t>impression of certain of our products, programs or brands, which may materially and adversely affect our business. Approaches regarding weight management and healthy lifestyles are the subject of numerous studies and publications, often with differentiating views and opinions, some of which may be adverse to us. Conflicting scientific information on what constitutes good nutrition, diet fads or other weight loss trends may also materially and adversely affect our business. Our success depends, in part, on our ability to anticipate the tastes and dietary habits of consumers and other consumer trends and to offer products with marketing messaging that appeal to their needs and preferences on a timely and affordable basis. A change in consumer discretionary spending, due to economic downturn or other reasons may also materially and adversely affect our sales, and our business, financial condition and results of operations.</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the perception of our brands or organizational reputation are damaged, our consumers, distributors and retailers may react negatively, which could materially and adversely affect our business, financial condition and results of operations.</w:t>
      </w:r>
    </w:p>
    <w:p>
      <w:pPr>
        <w:spacing w:after="0" w:line="197" w:lineRule="exact"/>
        <w:rPr>
          <w:sz w:val="20"/>
          <w:szCs w:val="20"/>
          <w:color w:val="auto"/>
        </w:rPr>
      </w:pPr>
    </w:p>
    <w:p>
      <w:pPr>
        <w:jc w:val="both"/>
        <w:ind w:firstLine="208"/>
        <w:spacing w:after="0" w:line="289" w:lineRule="auto"/>
        <w:rPr>
          <w:sz w:val="20"/>
          <w:szCs w:val="20"/>
          <w:color w:val="auto"/>
        </w:rPr>
      </w:pPr>
      <w:r>
        <w:rPr>
          <w:rFonts w:ascii="Arial" w:cs="Arial" w:eastAsia="Arial" w:hAnsi="Arial"/>
          <w:sz w:val="16"/>
          <w:szCs w:val="16"/>
          <w:color w:val="auto"/>
        </w:rPr>
        <w:t>We believe we have built our reputation on the efficacy of our nutritional approach, and the high-quality flavor and nutritional content of our food. We must protect and expand on the value of our brands to continue to be successful in the future. Any incident that erodes consumer affinity for our brands could significantly reduce our value and damage our business. For example, negative third-party reports regarding the Atkins or Quest nutritional approach or the quality of our food, whether accurate or not, may adversely affect consumer perceptions, which could cause the brand’s value to suffer and adversely affect our business. In addition, if we are forced, or voluntarily elect, to recall certain products, including frozen foods or licensed products over which we may not have full quality control, the public perception of the quality of our food may be diminished. We may also be adversely affected by news or other negative publicity, regardless of accuracy, regarding other aspects of our business, such as public health concerns, illness, safety, security breaches of confidential consumer or employee information, employee related claims relating to alleged employment discrimination, health care and benefit issues or government or industry findings about our retailers, distributors, manufacturers or others across the industry supply chain.</w:t>
      </w:r>
    </w:p>
    <w:p>
      <w:pPr>
        <w:spacing w:after="0" w:line="193" w:lineRule="exact"/>
        <w:rPr>
          <w:sz w:val="20"/>
          <w:szCs w:val="20"/>
          <w:color w:val="auto"/>
        </w:rPr>
      </w:pPr>
    </w:p>
    <w:p>
      <w:pPr>
        <w:jc w:val="both"/>
        <w:ind w:firstLine="241"/>
        <w:spacing w:after="0" w:line="296" w:lineRule="auto"/>
        <w:rPr>
          <w:sz w:val="20"/>
          <w:szCs w:val="20"/>
          <w:color w:val="auto"/>
        </w:rPr>
      </w:pPr>
      <w:r>
        <w:rPr>
          <w:rFonts w:ascii="Arial" w:cs="Arial" w:eastAsia="Arial" w:hAnsi="Arial"/>
          <w:sz w:val="16"/>
          <w:szCs w:val="16"/>
          <w:color w:val="auto"/>
        </w:rPr>
        <w:t>As part of our marketing initiatives, we have contracted with certain public figures to market and endorse our products. While we maintain specific selection criteria and are diligent in our efforts to seek out public figures that resonate genuinely and effectively with our consumer audience, the individuals we choose to market and endorse our products may fall into negative favor with the general public. Because our consumers may associate the public figures that market and endorse our products with us, any negative publicity on behalf of such individuals may cause negative publicity about us and our products. This negative publicity could materially and adversely affect our brands and reputation and our revenue and profits.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Negative information, including inaccurate information, about us on social media may harm our reputation and brand, which could have a material and adverse effect on our business, financial condition and results of operations.</w:t>
      </w:r>
    </w:p>
    <w:p>
      <w:pPr>
        <w:spacing w:after="0" w:line="197" w:lineRule="exact"/>
        <w:rPr>
          <w:sz w:val="20"/>
          <w:szCs w:val="20"/>
          <w:color w:val="auto"/>
        </w:rPr>
      </w:pPr>
    </w:p>
    <w:p>
      <w:pPr>
        <w:jc w:val="both"/>
        <w:ind w:firstLine="206"/>
        <w:spacing w:after="0" w:line="289" w:lineRule="auto"/>
        <w:rPr>
          <w:sz w:val="20"/>
          <w:szCs w:val="20"/>
          <w:color w:val="auto"/>
        </w:rPr>
      </w:pPr>
      <w:r>
        <w:rPr>
          <w:rFonts w:ascii="Arial" w:cs="Arial" w:eastAsia="Arial" w:hAnsi="Arial"/>
          <w:sz w:val="16"/>
          <w:szCs w:val="16"/>
          <w:color w:val="auto"/>
        </w:rPr>
        <w:t>There has been a marked increase in the use of social media platforms and similar channels that provide individuals with access to a broad audience of consumers and other interested persons. The availability of information on social media platforms is virtually immediate, as is its effect. Many social media platforms immediately publish the content their subscribers and participants post, often without filters or checks on accuracy of the content posted. The opportunity for dissemination of information, including inaccurate information, is potentially limitless. Information about our business and/or products may be posted on such platforms at any time. Negative views regarding our products and the efficacy of the Atkins or Quest eating approaches have been posted on various social media platforms, may continue to be posted in the future, and are out of our control. Regardless of their accuracy or authenticity, such information and views may be adverse to our interests and may harm our reputation and brand. The harm may be immediate without affording an opportunity for redress or correction. Ultimately, the risks associated with any such negative publicity cannot be eliminated or completely mitigated and may materially and adversely affect our business, financial condition and results of operations.</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must expend resources to maintain consumer awareness of our brands, build brand loyalty and generate interest in our products. Our marketing strategies and channels will evolve, and our programs may or may not be successful.</w:t>
      </w:r>
    </w:p>
    <w:p>
      <w:pPr>
        <w:spacing w:after="0" w:line="197" w:lineRule="exact"/>
        <w:rPr>
          <w:sz w:val="20"/>
          <w:szCs w:val="20"/>
          <w:color w:val="auto"/>
        </w:rPr>
      </w:pPr>
    </w:p>
    <w:p>
      <w:pPr>
        <w:jc w:val="both"/>
        <w:ind w:firstLine="260"/>
        <w:spacing w:after="0" w:line="268" w:lineRule="auto"/>
        <w:rPr>
          <w:sz w:val="20"/>
          <w:szCs w:val="20"/>
          <w:color w:val="auto"/>
        </w:rPr>
      </w:pPr>
      <w:r>
        <w:rPr>
          <w:rFonts w:ascii="Arial" w:cs="Arial" w:eastAsia="Arial" w:hAnsi="Arial"/>
          <w:sz w:val="17"/>
          <w:szCs w:val="17"/>
          <w:color w:val="auto"/>
        </w:rPr>
        <w:t>To remain competitive and expand and keep shelf placement for our products, we may need to increase our marketing and advertising spending to maintain and increase consumer awareness, protect and grow our existing market share or promote new products, which could affect our operating results. Substantial advertising and promotional expenditures may be required to maintain or improve our brand’s market position or to introduce new products to the market, and participants in our industry are increasingly engaging with non-traditional media, including consumer outreach through social media and web-based communications, which may not prove successful. An increase in our marketing and advertising efforts may not maintain our current reputation or lead to increased brand awareness. Moreover, we may not maintain current awareness of our brand due to any potential fragmentation of our marketing efforts as we continue to focus on a low-carb, low-sugar and protein-rich nutritional approach for everyday snacking consumers. In addition, as media becomes increasingly fragmented, with consumers viewing media more and more through a variety of different vehicles and devices such as mobile devices and online streaming and less from traditional broadcast and cable television outlets, our costs to reach a comparable number of target consumers for our advertising activities has increased. We also consistently evaluate our product lines to determine whether to discontinue certain products. Discontinuing product lines may increase our profitability but could reduce our sales and hurt our brands, and a reduction in sales of certain products could cause a reduction in sales of other products. The discontinuation of product lines may have an adverse effect on our business, financial condition and results of operations.</w:t>
      </w:r>
    </w:p>
    <w:p>
      <w:pPr>
        <w:sectPr>
          <w:pgSz w:w="11900" w:h="16838" w:orient="portrait"/>
          <w:cols w:equalWidth="0" w:num="1">
            <w:col w:w="11240"/>
          </w:cols>
          <w:pgMar w:left="320" w:top="692" w:right="339" w:bottom="1440" w:gutter="0" w:footer="0" w:header="0"/>
        </w:sect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If we cannot maintain or increase prices, our margins may decrease.</w:t>
      </w:r>
    </w:p>
    <w:p>
      <w:pPr>
        <w:spacing w:after="0" w:line="252" w:lineRule="exact"/>
        <w:rPr>
          <w:sz w:val="20"/>
          <w:szCs w:val="20"/>
          <w:color w:val="auto"/>
        </w:rPr>
      </w:pPr>
    </w:p>
    <w:p>
      <w:pPr>
        <w:jc w:val="both"/>
        <w:ind w:firstLine="248"/>
        <w:spacing w:after="0" w:line="269" w:lineRule="auto"/>
        <w:rPr>
          <w:sz w:val="20"/>
          <w:szCs w:val="20"/>
          <w:color w:val="auto"/>
        </w:rPr>
      </w:pPr>
      <w:r>
        <w:rPr>
          <w:rFonts w:ascii="Arial" w:cs="Arial" w:eastAsia="Arial" w:hAnsi="Arial"/>
          <w:sz w:val="17"/>
          <w:szCs w:val="17"/>
          <w:color w:val="auto"/>
        </w:rPr>
        <w:t>We rely in part on price increases to offset cost increases and improve the profitability of our business. Our ability to maintain prices or effectively implement price increases, including our price increase effective in September 2021, may be affected by several factors, including competition, effectiveness of our marketing programs, the continuing strength of our brand, market demand and general economic conditions, including inflationary pressures. During challenging economic times, consumers may be less willing or able to pay a price premium for our branded products and may shift purchases to lower-priced or other value offerings, making it more difficult for us to maintain prices and/or effectively implement price increases. In addition, our retail partners and distributors may pressure us to rescind price increases we have announced or already implemented, whether through a change in list price or increased promotional activity. Moreover, we do not yet know how consumers will react to the increase in retail prices for our products resulting from the price increase effective in September 2021. If we cannot maintain or increase prices for our products or must increase promotional activity, our margins may be adversely affected. Furthermore, price increases generally result in volume losses, as consumers purchase fewer units. If such losses are greater than expected or if we lose distribution due to a price increase, our business, financial condition and results of operations may be materially and adversely affected.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geographic focus makes us particularly vulnerable to economic and other events and trends in North America.</w:t>
      </w:r>
    </w:p>
    <w:p>
      <w:pPr>
        <w:spacing w:after="0" w:line="252" w:lineRule="exact"/>
        <w:rPr>
          <w:sz w:val="20"/>
          <w:szCs w:val="20"/>
          <w:color w:val="auto"/>
        </w:rPr>
      </w:pPr>
    </w:p>
    <w:p>
      <w:pPr>
        <w:jc w:val="both"/>
        <w:ind w:firstLine="260"/>
        <w:spacing w:after="0" w:line="259" w:lineRule="auto"/>
        <w:rPr>
          <w:sz w:val="20"/>
          <w:szCs w:val="20"/>
          <w:color w:val="auto"/>
        </w:rPr>
      </w:pPr>
      <w:r>
        <w:rPr>
          <w:rFonts w:ascii="Arial" w:cs="Arial" w:eastAsia="Arial" w:hAnsi="Arial"/>
          <w:sz w:val="18"/>
          <w:szCs w:val="18"/>
          <w:color w:val="auto"/>
        </w:rPr>
        <w:t>We operate mainly in North America and, therefore, are particularly susceptible to adverse regulations, economic climate, consumer trends, market fluctuations, including commodity price fluctuations or supply shortages of key ingredients, and other adverse events in North America. The concentration of our businesses in North America could present challenges and may increase the likelihood that an adverse event in North America would disproportionately materially and adversely affect product sales, financial condition and operating results.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Operating Model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Ingredient and packaging costs are volatile and may rise significantly, which may negatively affect the profitability of our business.</w:t>
      </w:r>
    </w:p>
    <w:p>
      <w:pPr>
        <w:spacing w:after="0" w:line="252" w:lineRule="exact"/>
        <w:rPr>
          <w:sz w:val="20"/>
          <w:szCs w:val="20"/>
          <w:color w:val="auto"/>
        </w:rPr>
      </w:pPr>
    </w:p>
    <w:p>
      <w:pPr>
        <w:jc w:val="both"/>
        <w:ind w:firstLine="264"/>
        <w:spacing w:after="0" w:line="275" w:lineRule="auto"/>
        <w:rPr>
          <w:sz w:val="20"/>
          <w:szCs w:val="20"/>
          <w:color w:val="auto"/>
        </w:rPr>
      </w:pPr>
      <w:r>
        <w:rPr>
          <w:rFonts w:ascii="Arial" w:cs="Arial" w:eastAsia="Arial" w:hAnsi="Arial"/>
          <w:sz w:val="17"/>
          <w:szCs w:val="17"/>
          <w:color w:val="auto"/>
        </w:rPr>
        <w:t>We negotiate the prices for large quantities of core ingredients, such as soy, nuts, dairy, protein, fiber and cocoa, and packaging materials. Several ingredients are manufactured outside of the United States. Costs of ingredients and packaging are volatile and can fluctuate due to conditions difficult to predict, including global competition for resources, fluctuations in currency and exchange rates, weather conditions, natural or man-made disasters, consumer demand and changes in governmental trade and agricultural programs. Continued volatility in the prices of the core ingredients and other supplies we purchase could increase our cost of goods sold and reduce our profitability.</w:t>
      </w:r>
    </w:p>
    <w:p>
      <w:pPr>
        <w:spacing w:after="0" w:line="203" w:lineRule="exact"/>
        <w:rPr>
          <w:sz w:val="20"/>
          <w:szCs w:val="20"/>
          <w:color w:val="auto"/>
        </w:rPr>
      </w:pPr>
    </w:p>
    <w:p>
      <w:pPr>
        <w:jc w:val="both"/>
        <w:ind w:firstLine="239"/>
        <w:spacing w:after="0" w:line="279" w:lineRule="auto"/>
        <w:rPr>
          <w:sz w:val="20"/>
          <w:szCs w:val="20"/>
          <w:color w:val="auto"/>
        </w:rPr>
      </w:pPr>
      <w:r>
        <w:rPr>
          <w:rFonts w:ascii="Arial" w:cs="Arial" w:eastAsia="Arial" w:hAnsi="Arial"/>
          <w:sz w:val="17"/>
          <w:szCs w:val="17"/>
          <w:color w:val="auto"/>
        </w:rPr>
        <w:t>We do not use hedges for availability of any core ingredients. Any material upward movement in core ingredient pricing could negatively affect our margins if we cannot pass these costs on to our consumers, or our sales if we are forced to increase our prices. If we are unsuccessful in managing our ingredient and packaging costs, if we cannot increase our prices to cover increased costs or if such price increases reduce our sales volumes, then such increases in costs will materially and adversely affect our business, financial condition and results of operations.</w:t>
      </w:r>
    </w:p>
    <w:p>
      <w:pPr>
        <w:spacing w:after="0" w:line="198" w:lineRule="exact"/>
        <w:rPr>
          <w:sz w:val="20"/>
          <w:szCs w:val="20"/>
          <w:color w:val="auto"/>
        </w:rPr>
      </w:pPr>
    </w:p>
    <w:p>
      <w:pPr>
        <w:jc w:val="both"/>
        <w:ind w:firstLine="182"/>
        <w:spacing w:after="0" w:line="311" w:lineRule="auto"/>
        <w:rPr>
          <w:sz w:val="20"/>
          <w:szCs w:val="20"/>
          <w:color w:val="auto"/>
        </w:rPr>
      </w:pPr>
      <w:r>
        <w:rPr>
          <w:rFonts w:ascii="Arial" w:cs="Arial" w:eastAsia="Arial" w:hAnsi="Arial"/>
          <w:sz w:val="16"/>
          <w:szCs w:val="16"/>
          <w:color w:val="auto"/>
        </w:rPr>
        <w:t>Certain of our core ingredient contracts have minimum volume commitments that could require purchases without matching revenue during weaker sales periods. Future core ingredient prices may be affected by new laws or regulations, tariffs, suppliers’ allocations to other purchasers, interruptions in production by suppliers, natural disasters, volatility in the price of crude oil and related petrochemical products and changes in exchange rates.</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rely on sales to a limited number of retailers for a substantial portion of our net sales and losing one or more such retailers may materially harm our business. In addition, we maintain “at will” contracts with these retailers, which do not require recurring or minimum purchase amounts of our products.</w:t>
      </w:r>
    </w:p>
    <w:p>
      <w:pPr>
        <w:spacing w:after="0" w:line="211" w:lineRule="exact"/>
        <w:rPr>
          <w:sz w:val="20"/>
          <w:szCs w:val="20"/>
          <w:color w:val="auto"/>
        </w:rPr>
      </w:pPr>
    </w:p>
    <w:p>
      <w:pPr>
        <w:jc w:val="both"/>
        <w:ind w:firstLine="170"/>
        <w:spacing w:after="0" w:line="270" w:lineRule="auto"/>
        <w:rPr>
          <w:sz w:val="20"/>
          <w:szCs w:val="20"/>
          <w:color w:val="auto"/>
        </w:rPr>
      </w:pPr>
      <w:r>
        <w:rPr>
          <w:rFonts w:ascii="Arial" w:cs="Arial" w:eastAsia="Arial" w:hAnsi="Arial"/>
          <w:sz w:val="17"/>
          <w:szCs w:val="17"/>
          <w:color w:val="auto"/>
        </w:rPr>
        <w:t>A substantial majority of our sales are generated from a limited number of retailers. Sales to our largest retailer, Walmart, represented approximately 31% of consolidated sales in fiscal year 2021, of which approximately 23% is through their mass retail channel and approximately 8% is through their Sam’s club and e-commerce channels. Sales to our next largest retailer, Amazon, represented approximately 12% of consolidated sales in fiscal year 2021. Although the composition of our significant retailers may vary from period-to-period, we expect that most of our net sales will continue to come from a relatively small number of retailers for the foreseeable future. These retailers may take actions that affect us for reasons we cannot anticipate or control, such as their financial condition, changes in their business strategy or operations, including their inability to meet their labor or other human capital needs, the perceived quality of their products and introducing competing products. There can be no assurance that Walmart, Amazon or our other significant customers will continue to purchase our products in the same quantities or on the same terms as in the past, particularly as increasingly powerful retailers continue to demand lower pricing.</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2" w:name="page23"/>
    <w:bookmarkEnd w:id="22"/>
    <w:p>
      <w:pPr>
        <w:jc w:val="both"/>
        <w:ind w:firstLine="209"/>
        <w:spacing w:after="0" w:line="273" w:lineRule="auto"/>
        <w:rPr>
          <w:sz w:val="20"/>
          <w:szCs w:val="20"/>
          <w:color w:val="auto"/>
        </w:rPr>
      </w:pPr>
      <w:r>
        <w:rPr>
          <w:rFonts w:ascii="Arial" w:cs="Arial" w:eastAsia="Arial" w:hAnsi="Arial"/>
          <w:sz w:val="17"/>
          <w:szCs w:val="17"/>
          <w:color w:val="auto"/>
        </w:rPr>
        <w:t>Our retailers rarely provide us with firm, long- or short-term volume purchase commitments. As a result, we could have periods with little to no orders for our products while still incurring costs related to workforce maintenance, marketing, general corporate and debt service. Furthermore, despite operating in different channels, our retailers sometimes compete for the same consumers. Because of actual or perceived conflicts resulting from competition, retailers may take actions that negatively affect us. We may not find new retailers to supplement our revenue in periods when we experience reduced purchase orders or recover fixed costs because of experiencing reduced purchase orders. Periods of reduced purchase orders could materially and adversely affect our business, financial condition and results of operations.</w:t>
      </w:r>
    </w:p>
    <w:p>
      <w:pPr>
        <w:spacing w:after="0" w:line="205" w:lineRule="exact"/>
        <w:rPr>
          <w:sz w:val="20"/>
          <w:szCs w:val="20"/>
          <w:color w:val="auto"/>
        </w:rPr>
      </w:pPr>
    </w:p>
    <w:p>
      <w:pPr>
        <w:jc w:val="both"/>
        <w:ind w:firstLine="189"/>
        <w:spacing w:after="0" w:line="254" w:lineRule="auto"/>
        <w:rPr>
          <w:sz w:val="20"/>
          <w:szCs w:val="20"/>
          <w:color w:val="auto"/>
        </w:rPr>
      </w:pPr>
      <w:r>
        <w:rPr>
          <w:rFonts w:ascii="Arial" w:cs="Arial" w:eastAsia="Arial" w:hAnsi="Arial"/>
          <w:sz w:val="18"/>
          <w:szCs w:val="18"/>
          <w:color w:val="auto"/>
        </w:rPr>
        <w:t>Conversely, occasionally, we may experience unanticipated increases in orders of our products from these retailers that can create supply chain problems and may cause unfilled orders. If we cannot meet increased demand for our products, our reputation with these retailers, and ultimately our consumers, may be harmed. Unanticipated fluctuations in product requirements could cause fluctuations in our results from quarter-to-quarter. Consolidation among retailers may also materially and adversely affect our results. An increase in the concentration of our sales to large customers may negatively affect our profitability due to the effect of higher shelving fees and reduced volumes of product sold. Furthermore, as retailers consolidate or account for a larger percentage of our sales, they may reduce the number of branded products they offer to accommodate private label products and pressure us to lower the prices of our products.</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loss of, a disruption in or an inability to efficiently operate our fulfillment network could materially and adversely affect our business, financial condition and results of operations.</w:t>
      </w:r>
    </w:p>
    <w:p>
      <w:pPr>
        <w:spacing w:after="0" w:line="197" w:lineRule="exact"/>
        <w:rPr>
          <w:sz w:val="20"/>
          <w:szCs w:val="20"/>
          <w:color w:val="auto"/>
        </w:rPr>
      </w:pPr>
    </w:p>
    <w:p>
      <w:pPr>
        <w:jc w:val="both"/>
        <w:ind w:firstLine="215"/>
        <w:spacing w:after="0" w:line="291" w:lineRule="auto"/>
        <w:rPr>
          <w:sz w:val="20"/>
          <w:szCs w:val="20"/>
          <w:color w:val="auto"/>
        </w:rPr>
      </w:pPr>
      <w:r>
        <w:rPr>
          <w:rFonts w:ascii="Arial" w:cs="Arial" w:eastAsia="Arial" w:hAnsi="Arial"/>
          <w:sz w:val="16"/>
          <w:szCs w:val="16"/>
          <w:color w:val="auto"/>
        </w:rPr>
        <w:t>For our U.S. operations, we utilize distribution centers in Greenfield, Indiana. A substantial portion of our inventory is shipped directly to our retailers from these centers by a third-party logistics provider. Most of our other customers pick-up their orders at our distribution centers and make their own arrangements for delivery to their fulfillment network. A small percentage of our customers are shipped certain products directly from a co-manufacturing location. We rely significantly on the orderly operation of our distribution centers. If complications arise, a particular facility is damaged or destroyed or if either our third-party logistics partners or our customers who transport their own orders to their fulfillment network are not able to meet their labor or other human capital needs for delivery drivers or other warehouse personnel, our ability to deliver inventory timely will be significantly impaired, which could materially and adversely affect our business as a result of lost consumer purchases at retail thereby negatively affecting our results of operations.</w:t>
      </w:r>
    </w:p>
    <w:p>
      <w:pPr>
        <w:spacing w:after="0" w:line="193" w:lineRule="exact"/>
        <w:rPr>
          <w:sz w:val="20"/>
          <w:szCs w:val="20"/>
          <w:color w:val="auto"/>
        </w:rPr>
      </w:pPr>
    </w:p>
    <w:p>
      <w:pPr>
        <w:jc w:val="both"/>
        <w:ind w:firstLine="183"/>
        <w:spacing w:after="0" w:line="257" w:lineRule="auto"/>
        <w:rPr>
          <w:sz w:val="20"/>
          <w:szCs w:val="20"/>
          <w:color w:val="auto"/>
        </w:rPr>
      </w:pPr>
      <w:r>
        <w:rPr>
          <w:rFonts w:ascii="Arial" w:cs="Arial" w:eastAsia="Arial" w:hAnsi="Arial"/>
          <w:sz w:val="18"/>
          <w:szCs w:val="18"/>
          <w:color w:val="auto"/>
        </w:rPr>
        <w:t>We rely on a single-sourced logistics provider for distribution and product shipments in the United States from our distribution centers. Our utilization of delivery services for shipments is subject to risks that may affect the ability to provide delivery services that adequately meet our shipping needs including increases in fuel prices, labor shortages, employee strikes and inclement weather. Occasionally, we may change third-party transportation providers and we could face logistical difficulties that could adversely affect deliveries. In addition, we could incur costs and expend resources in connection with such change and fail to obtain terms as favorable as those we currently receive.</w:t>
      </w:r>
    </w:p>
    <w:p>
      <w:pPr>
        <w:spacing w:after="0" w:line="215" w:lineRule="exact"/>
        <w:rPr>
          <w:sz w:val="20"/>
          <w:szCs w:val="20"/>
          <w:color w:val="auto"/>
        </w:rPr>
      </w:pPr>
    </w:p>
    <w:p>
      <w:pPr>
        <w:jc w:val="both"/>
        <w:ind w:firstLine="256"/>
        <w:spacing w:after="0" w:line="263" w:lineRule="auto"/>
        <w:rPr>
          <w:sz w:val="20"/>
          <w:szCs w:val="20"/>
          <w:color w:val="auto"/>
        </w:rPr>
      </w:pPr>
      <w:r>
        <w:rPr>
          <w:rFonts w:ascii="Arial" w:cs="Arial" w:eastAsia="Arial" w:hAnsi="Arial"/>
          <w:sz w:val="18"/>
          <w:szCs w:val="18"/>
          <w:color w:val="auto"/>
        </w:rPr>
        <w:t>Disruptions at our distribution facilities or in our operations due to natural or man-made disasters, pandemics (such as COVID-19) or other disease outbreaks, fire, flooding, terrorism or other catastrophic events, system failure, labor shortages or disagreements or shipping problems may cause delays in the delivery of products to retailers and could materially and adversely affect our results of operations.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Shortages or interruptions in the supply or delivery of our core ingredients, packaging and products could materially and adversely affect our operating results as we rely on a limited number of third-party suppliers to supply our core ingredients and a limited number of contract manufacturers to manufacture our products.</w:t>
      </w:r>
    </w:p>
    <w:p>
      <w:pPr>
        <w:spacing w:after="0" w:line="211" w:lineRule="exact"/>
        <w:rPr>
          <w:sz w:val="20"/>
          <w:szCs w:val="20"/>
          <w:color w:val="auto"/>
        </w:rPr>
      </w:pPr>
    </w:p>
    <w:p>
      <w:pPr>
        <w:jc w:val="both"/>
        <w:ind w:firstLine="223"/>
        <w:spacing w:after="0" w:line="254" w:lineRule="auto"/>
        <w:rPr>
          <w:sz w:val="20"/>
          <w:szCs w:val="20"/>
          <w:color w:val="auto"/>
        </w:rPr>
      </w:pPr>
      <w:r>
        <w:rPr>
          <w:rFonts w:ascii="Arial" w:cs="Arial" w:eastAsia="Arial" w:hAnsi="Arial"/>
          <w:sz w:val="18"/>
          <w:szCs w:val="18"/>
          <w:color w:val="auto"/>
        </w:rPr>
        <w:t>The core ingredients used in manufacturing our products include soy, nuts, dairy, protein, fiber and cocoa. We rely on a limited number of third-party suppliers to provide these core ingredients, a portion of which are international companies. There may be a limited market supply of any of these core ingredients. Any disruption in supply could materially and adversely affect our business, particularly our profitability and margins. Events that adversely affect our suppliers could impair our ability to obtain core ingredient inventories in the quantities desired. Such events include problems with our suppliers’ businesses, finances, labor relations, ability to import core ingredients, delays in imported core ingredients being processed through local customs, costs, production, insurance, reputation and weather conditions during growing, harvesting or shipping, including flood, drought, frost and earthquakes, and man-made disasters or other catastrophic occurrences.</w:t>
      </w:r>
    </w:p>
    <w:p>
      <w:pPr>
        <w:spacing w:after="0" w:line="222" w:lineRule="exact"/>
        <w:rPr>
          <w:sz w:val="20"/>
          <w:szCs w:val="20"/>
          <w:color w:val="auto"/>
        </w:rPr>
      </w:pPr>
    </w:p>
    <w:p>
      <w:pPr>
        <w:jc w:val="both"/>
        <w:ind w:firstLine="225"/>
        <w:spacing w:after="0" w:line="296" w:lineRule="auto"/>
        <w:rPr>
          <w:sz w:val="20"/>
          <w:szCs w:val="20"/>
          <w:color w:val="auto"/>
        </w:rPr>
      </w:pPr>
      <w:r>
        <w:rPr>
          <w:rFonts w:ascii="Arial" w:cs="Arial" w:eastAsia="Arial" w:hAnsi="Arial"/>
          <w:sz w:val="16"/>
          <w:szCs w:val="16"/>
          <w:color w:val="auto"/>
        </w:rPr>
        <w:t>Our financial performance depends largely on our ability to purchase core ingredients and packaging in sufficient quantities at competitive prices. We may not have continued supply, pricing or exclusive access to core ingredients and packaging from these sources. Any of our suppliers could discontinue or seek to alter their relationships with us. We may be adversely affected by increased demand for our specific core ingredients, a reduction in overall supply of required core ingredients, suppliers raising their prices, and increases in the cost of packaging and distributing core ingredients. Additionally, we may be adversely affected if suppliers stop selling to us or enter into arrangements that impair their abilities to provide us with core ingredients.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3" w:name="page24"/>
    <w:bookmarkEnd w:id="23"/>
    <w:p>
      <w:pPr>
        <w:jc w:val="both"/>
        <w:ind w:firstLine="220"/>
        <w:spacing w:after="0" w:line="270" w:lineRule="auto"/>
        <w:rPr>
          <w:sz w:val="20"/>
          <w:szCs w:val="20"/>
          <w:color w:val="auto"/>
        </w:rPr>
      </w:pPr>
      <w:r>
        <w:rPr>
          <w:rFonts w:ascii="Arial" w:cs="Arial" w:eastAsia="Arial" w:hAnsi="Arial"/>
          <w:sz w:val="17"/>
          <w:szCs w:val="17"/>
          <w:color w:val="auto"/>
        </w:rPr>
        <w:t>We rely on a limited number of contract manufacturers to manufacture our products. If any of these manufacturers experience adverse effects on their businesses, including an inability to fulfill their labor or other human capital needs, or cannot continue manufacturing our products at required levels, on a timely basis, or at all, we may be forced to seek other manufacturers. We may not be able to identify and qualify new manufacturers promptly that could allocate sufficient capacity to meet our requirements, which could adversely affect our ability to make timely deliveries of products. Furthermore, we may be unable to negotiate pricing or other terms with existing or new manufacturers as favorable as what we currently enjoy. In addition, there is no guarantee a new manufacturing partner could accurately replicate the production process and taste profile of the existing products. In addition, from time to time we determine to select new contract manufacturers to replace existing manufacturers to produce our products. If the transition to a new manufacturer is delayed or we experience product quality or other production issues during the transition to the new manufacturer, our business may be negatively affected until these issues are resolved.</w:t>
      </w:r>
    </w:p>
    <w:p>
      <w:pPr>
        <w:spacing w:after="0" w:line="208" w:lineRule="exact"/>
        <w:rPr>
          <w:sz w:val="20"/>
          <w:szCs w:val="20"/>
          <w:color w:val="auto"/>
        </w:rPr>
      </w:pPr>
    </w:p>
    <w:p>
      <w:pPr>
        <w:jc w:val="both"/>
        <w:ind w:right="20" w:firstLine="304"/>
        <w:spacing w:after="0" w:line="259" w:lineRule="auto"/>
        <w:rPr>
          <w:sz w:val="20"/>
          <w:szCs w:val="20"/>
          <w:color w:val="auto"/>
        </w:rPr>
      </w:pPr>
      <w:r>
        <w:rPr>
          <w:rFonts w:ascii="Arial" w:cs="Arial" w:eastAsia="Arial" w:hAnsi="Arial"/>
          <w:sz w:val="18"/>
          <w:szCs w:val="18"/>
          <w:color w:val="auto"/>
        </w:rPr>
        <w:t>Our contract manufacturers also independently contract for and obtain certain ingredients and packaging for our products. If we or our contract manufactures cannot obtain certain ingredients or packaging in the required amounts or at all, their ability to manufacture our products could be adversely affected. It could take a significant period of time to locate and qualify such alternative production sources or alternative ingredients or packaging, which could materially and adversely affect our business.</w:t>
      </w:r>
    </w:p>
    <w:p>
      <w:pPr>
        <w:spacing w:after="0" w:line="200" w:lineRule="exact"/>
        <w:rPr>
          <w:sz w:val="20"/>
          <w:szCs w:val="20"/>
          <w:color w:val="auto"/>
        </w:rPr>
      </w:pPr>
    </w:p>
    <w:p>
      <w:pPr>
        <w:jc w:val="both"/>
        <w:ind w:firstLine="264"/>
        <w:spacing w:after="0" w:line="253" w:lineRule="auto"/>
        <w:rPr>
          <w:sz w:val="20"/>
          <w:szCs w:val="20"/>
          <w:color w:val="auto"/>
        </w:rPr>
      </w:pPr>
      <w:r>
        <w:rPr>
          <w:rFonts w:ascii="Arial" w:cs="Arial" w:eastAsia="Arial" w:hAnsi="Arial"/>
          <w:sz w:val="17"/>
          <w:szCs w:val="17"/>
          <w:color w:val="auto"/>
        </w:rPr>
        <w:t>If having our products available for consumer purchase through our retail customers is disrupted as a result of an inability to obtain ingredients or packaging, labor challenges at our logistics providers or our contract manufacturers, or if our customers experience delays in stocking our products in their locations, we will experience a reduction in sales at retail and our results of operations could be material and adversely affected.</w:t>
      </w:r>
    </w:p>
    <w:p>
      <w:pPr>
        <w:spacing w:after="0" w:line="205" w:lineRule="exact"/>
        <w:rPr>
          <w:sz w:val="20"/>
          <w:szCs w:val="20"/>
          <w:color w:val="auto"/>
        </w:rPr>
      </w:pPr>
    </w:p>
    <w:p>
      <w:pPr>
        <w:jc w:val="both"/>
        <w:ind w:firstLine="237"/>
        <w:spacing w:after="0" w:line="270" w:lineRule="auto"/>
        <w:rPr>
          <w:sz w:val="20"/>
          <w:szCs w:val="20"/>
          <w:color w:val="auto"/>
        </w:rPr>
      </w:pPr>
      <w:r>
        <w:rPr>
          <w:rFonts w:ascii="Arial" w:cs="Arial" w:eastAsia="Arial" w:hAnsi="Arial"/>
          <w:sz w:val="17"/>
          <w:szCs w:val="17"/>
          <w:color w:val="auto"/>
        </w:rPr>
        <w:t>We are subject to risks associated with protection of our trade secrets by our third-party contract manufacturers. If our contract manufacturers fail to protect our trade secrets, either intentionally or unintentionally, our business, financial condition and results of operations could be materially and adversely affected. If we experience significant increased demand for our products, or need to replace an existing supplier or manufacturer, additional supplies of core ingredients or manufacturers may not be available when required, on acceptable terms, or at all. Suppliers may not allocate sufficient capacity to meet our requirements, fill our orders promptly or meet our strict quality standards. Even if our existing suppliers and manufacturers can expand their capacities to meet our needs, or we can find new sources of core ingredients or new contract manufacturers, we may encounter delays in production, inconsistencies in quality and added costs. We may not be able to pass increased costs onto the consumer immediately, if at all, which may decrease or eliminate our profitability. Any manufacturing and/or supply disruptions or cost increases could have an adverse effect on our ability to meet consumer demand for our products and result in lower net sales and profitability, both in the short and long-term.</w:t>
      </w:r>
    </w:p>
    <w:p>
      <w:pPr>
        <w:spacing w:after="0" w:line="208" w:lineRule="exact"/>
        <w:rPr>
          <w:sz w:val="20"/>
          <w:szCs w:val="20"/>
          <w:color w:val="auto"/>
        </w:rPr>
      </w:pPr>
    </w:p>
    <w:p>
      <w:pPr>
        <w:jc w:val="both"/>
        <w:ind w:firstLine="227"/>
        <w:spacing w:after="0" w:line="273" w:lineRule="auto"/>
        <w:rPr>
          <w:sz w:val="20"/>
          <w:szCs w:val="20"/>
          <w:color w:val="auto"/>
        </w:rPr>
      </w:pPr>
      <w:r>
        <w:rPr>
          <w:rFonts w:ascii="Arial" w:cs="Arial" w:eastAsia="Arial" w:hAnsi="Arial"/>
          <w:sz w:val="17"/>
          <w:szCs w:val="17"/>
          <w:color w:val="auto"/>
        </w:rPr>
        <w:t>We rely in part on our third-party contract manufacturers to maintain the quality of our products. The failure or inability of contract manufacturers to comply with the specifications and requirements of our products could cause product recall, which could materially and adversely affect our reputation and subject us to significant liability should the consumption of any of our products cause or be claimed to cause illness or physical harm. Our products implicate risks such as product contamination, spoilage, product tampering, other adulteration, mislabeling and misbranding. We also license certain products that contain our brand and logo, but which are produced and distributed exclusively by third parties of whom we have limited control. In addition, we do not own our warehouse facilities, but they are managed for us by a third party.</w:t>
      </w:r>
    </w:p>
    <w:p>
      <w:pPr>
        <w:spacing w:after="0" w:line="205" w:lineRule="exact"/>
        <w:rPr>
          <w:sz w:val="20"/>
          <w:szCs w:val="20"/>
          <w:color w:val="auto"/>
        </w:rPr>
      </w:pPr>
    </w:p>
    <w:p>
      <w:pPr>
        <w:jc w:val="both"/>
        <w:ind w:firstLine="209"/>
        <w:spacing w:after="0" w:line="293" w:lineRule="auto"/>
        <w:rPr>
          <w:sz w:val="20"/>
          <w:szCs w:val="20"/>
          <w:color w:val="auto"/>
        </w:rPr>
      </w:pPr>
      <w:r>
        <w:rPr>
          <w:rFonts w:ascii="Arial" w:cs="Arial" w:eastAsia="Arial" w:hAnsi="Arial"/>
          <w:sz w:val="16"/>
          <w:szCs w:val="16"/>
          <w:color w:val="auto"/>
        </w:rPr>
        <w:t>Under certain circumstances, we may be required to, or may voluntarily, recall or withdraw products. For example, in 2016, as part of a larger national recall by several other food companies, we incurred losses, including recalled product because of potential contamination from an ingredient supplied to one of our third-party manufacturers at their manufacturing center. While the contamination did not result in any consumer illness, and we were indemnified for a substantial portion of our direct product loss, the recall may have damaged the reputation for our Atkins brand. A widespread recall or withdrawal of any of ours or licensed products may negatively and significantly affect our sales and profitability and could cause significant losses depending on the costs of the recall, destruction of product inventory, reduction in product availability, and reaction of competitors and consumers.</w:t>
      </w:r>
    </w:p>
    <w:p>
      <w:pPr>
        <w:spacing w:after="0" w:line="191" w:lineRule="exact"/>
        <w:rPr>
          <w:sz w:val="20"/>
          <w:szCs w:val="20"/>
          <w:color w:val="auto"/>
        </w:rPr>
      </w:pPr>
    </w:p>
    <w:p>
      <w:pPr>
        <w:jc w:val="both"/>
        <w:ind w:firstLine="254"/>
        <w:spacing w:after="0" w:line="271" w:lineRule="auto"/>
        <w:rPr>
          <w:sz w:val="20"/>
          <w:szCs w:val="20"/>
          <w:color w:val="auto"/>
        </w:rPr>
      </w:pPr>
      <w:r>
        <w:rPr>
          <w:rFonts w:ascii="Arial" w:cs="Arial" w:eastAsia="Arial" w:hAnsi="Arial"/>
          <w:sz w:val="17"/>
          <w:szCs w:val="17"/>
          <w:color w:val="auto"/>
        </w:rPr>
        <w:t>We may be subject to claims or lawsuits, including class actions lawsuits (which could significantly increase any adverse settlements or rulings) or judgments, resulting in liability for actual or claimed injuries, illness or death. Any of these events could materially and adversely affect our business, financial condition and results of operations. Whether or not a product liability claim or lawsuit is unsuccessful or is not fully pursued, the negative publicity surrounding any assertion that our products caused illness or physical harm could adversely affect our reputation with existing and potential consumers and our corporate and brand image. Moreover, claims or liabilities of this sort might not be covered by our insurance or by any rights of indemnity or contribution we may have against others. We maintain product liability insurance in an amount we believe to be adequate. However, we may incur claims or liabilities for which we are not insured or that exceed our insurance coverage. A product liability judgment against us or a product recall could materially and adversely affect our business, financial condition and results of operations.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4" w:name="page25"/>
    <w:bookmarkEnd w:id="24"/>
    <w:p>
      <w:pPr>
        <w:jc w:val="both"/>
        <w:spacing w:after="0" w:line="277" w:lineRule="auto"/>
        <w:rPr>
          <w:sz w:val="20"/>
          <w:szCs w:val="20"/>
          <w:color w:val="auto"/>
        </w:rPr>
      </w:pPr>
      <w:r>
        <w:rPr>
          <w:rFonts w:ascii="Arial" w:cs="Arial" w:eastAsia="Arial" w:hAnsi="Arial"/>
          <w:sz w:val="18"/>
          <w:szCs w:val="18"/>
          <w:b w:val="1"/>
          <w:bCs w:val="1"/>
          <w:i w:val="1"/>
          <w:iCs w:val="1"/>
          <w:color w:val="auto"/>
        </w:rPr>
        <w:t>Severe weather conditions and natural disasters such as fires, floods, droughts, hurricanes, earthquakes and tornadoes can affect crop supplies, manufacturing facilities and distribution activities, and negatively affect the operating results of our business.</w:t>
      </w:r>
    </w:p>
    <w:p>
      <w:pPr>
        <w:spacing w:after="0" w:line="197" w:lineRule="exact"/>
        <w:rPr>
          <w:sz w:val="20"/>
          <w:szCs w:val="20"/>
          <w:color w:val="auto"/>
        </w:rPr>
      </w:pPr>
    </w:p>
    <w:p>
      <w:pPr>
        <w:jc w:val="both"/>
        <w:ind w:firstLine="222"/>
        <w:spacing w:after="0" w:line="290" w:lineRule="auto"/>
        <w:rPr>
          <w:sz w:val="20"/>
          <w:szCs w:val="20"/>
          <w:color w:val="auto"/>
        </w:rPr>
      </w:pPr>
      <w:r>
        <w:rPr>
          <w:rFonts w:ascii="Arial" w:cs="Arial" w:eastAsia="Arial" w:hAnsi="Arial"/>
          <w:sz w:val="16"/>
          <w:szCs w:val="16"/>
          <w:color w:val="auto"/>
        </w:rPr>
        <w:t>Severe weather conditions and natural disasters, such as fires, floods, droughts, frosts, hurricanes, earthquakes, tornadoes, insect infestations and plant disease, may affect the supply of core ingredients used to make food products, or may prevent the manufacturing or distribution of food products by third parties. In addition, a number of these weather conditions could become even more severe over time as a result of the effects of climate change. Competing manufacturers might be affected differently by weather conditions and natural disasters, depending on the location of their sources of supplies and manufacturing or distribution facilities. If supplies of core ingredients available to us are reduced, we may not be able to find enough supplemental supply sources on favorable terms, which could materially and adversely affect our business, financial condition and results of operations. In addition, because we rely on few contract manufacturers for a majority of our manufacturing needs and because our distribution warehouses are all in a similar geographic location, adverse weather conditions could affect the ability for those third-party operators to manufacture and store our products.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intend to grow through acquisitions or joint ventures, and we may not successfully integrate, operate or realize the anticipated benefits of such business combinations.</w:t>
      </w:r>
    </w:p>
    <w:p>
      <w:pPr>
        <w:spacing w:after="0" w:line="197" w:lineRule="exact"/>
        <w:rPr>
          <w:sz w:val="20"/>
          <w:szCs w:val="20"/>
          <w:color w:val="auto"/>
        </w:rPr>
      </w:pPr>
    </w:p>
    <w:p>
      <w:pPr>
        <w:jc w:val="both"/>
        <w:ind w:firstLine="245"/>
        <w:spacing w:after="0" w:line="257" w:lineRule="auto"/>
        <w:rPr>
          <w:sz w:val="20"/>
          <w:szCs w:val="20"/>
          <w:color w:val="auto"/>
        </w:rPr>
      </w:pPr>
      <w:r>
        <w:rPr>
          <w:rFonts w:ascii="Arial" w:cs="Arial" w:eastAsia="Arial" w:hAnsi="Arial"/>
          <w:sz w:val="18"/>
          <w:szCs w:val="18"/>
          <w:color w:val="auto"/>
        </w:rPr>
        <w:t>As part of our strategic initiatives, we intend to pursue acquisitions or joint ventures. Our acquisition strategy is based on identifying and acquiring brands with products that complement our existing products and identifying and acquiring brands in new categories and new geographies to expand our platform of nutritional snacks and potentially other food products. Although we regularly evaluate multiple acquisition candidates, we cannot be certain that we can successfully identify suitable acquisition candidates, negotiate acquisitions of identified candidates on favorable terms, or integrate acquisitions we complete.</w:t>
      </w:r>
    </w:p>
    <w:p>
      <w:pPr>
        <w:spacing w:after="0" w:line="215" w:lineRule="exact"/>
        <w:rPr>
          <w:sz w:val="20"/>
          <w:szCs w:val="20"/>
          <w:color w:val="auto"/>
        </w:rPr>
      </w:pPr>
    </w:p>
    <w:p>
      <w:pPr>
        <w:jc w:val="both"/>
        <w:ind w:firstLine="203"/>
        <w:spacing w:after="0" w:line="271" w:lineRule="auto"/>
        <w:rPr>
          <w:sz w:val="20"/>
          <w:szCs w:val="20"/>
          <w:color w:val="auto"/>
        </w:rPr>
      </w:pPr>
      <w:r>
        <w:rPr>
          <w:rFonts w:ascii="Arial" w:cs="Arial" w:eastAsia="Arial" w:hAnsi="Arial"/>
          <w:sz w:val="17"/>
          <w:szCs w:val="17"/>
          <w:color w:val="auto"/>
        </w:rPr>
        <w:t>Acquisitions involve numerous risks and uncertainties, including intense competition for suitable acquisition targets, which could increase target prices and/or materially and adversely affect our ability to consummate deals on favorable terms, the potential unavailability of financial resources necessary to consummate acquisitions, the risk we improperly value and price a target, the potential inability to identify all of the risks and liabilities inherent in a target company or assets notwithstanding our diligence efforts, the diversion of management’s attention from the day-to-day operations of our business and additional strain on our existing personnel, increased leverage resulting from the additional debt financing that may be required to complete an acquisition, dilution of our net current book value per share if we issue additional equity securities to finance an acquisition, difficulties in identifying suitable acquisition targets or in completing any transactions identified on sufficiently favorable terms and the need to obtain regulatory or other governmental approvals that may be necessary to complete acquisitions.</w:t>
      </w:r>
    </w:p>
    <w:p>
      <w:pPr>
        <w:spacing w:after="0" w:line="205" w:lineRule="exact"/>
        <w:rPr>
          <w:sz w:val="20"/>
          <w:szCs w:val="20"/>
          <w:color w:val="auto"/>
        </w:rPr>
      </w:pPr>
    </w:p>
    <w:p>
      <w:pPr>
        <w:jc w:val="both"/>
        <w:ind w:firstLine="305"/>
        <w:spacing w:after="0" w:line="257" w:lineRule="auto"/>
        <w:rPr>
          <w:sz w:val="20"/>
          <w:szCs w:val="20"/>
          <w:color w:val="auto"/>
        </w:rPr>
      </w:pPr>
      <w:r>
        <w:rPr>
          <w:rFonts w:ascii="Arial" w:cs="Arial" w:eastAsia="Arial" w:hAnsi="Arial"/>
          <w:sz w:val="18"/>
          <w:szCs w:val="18"/>
          <w:color w:val="auto"/>
        </w:rPr>
        <w:t>Any future acquisitions may pose risks associated with entry into new geographic markets, including outside the United States and our current international markets, distribution channels, lines of business or product categories, where we may not have significant prior experience and where we may not be as successful or profitable as we are in businesses and geographic regions where we have greater familiarity and brand recognition. Potential acquisitions may entail significant transaction costs and require significant management time and distraction from our core business, even where we cannot consummate or decide not to pursue a particular transaction.</w:t>
      </w:r>
    </w:p>
    <w:p>
      <w:pPr>
        <w:spacing w:after="0" w:line="215" w:lineRule="exact"/>
        <w:rPr>
          <w:sz w:val="20"/>
          <w:szCs w:val="20"/>
          <w:color w:val="auto"/>
        </w:rPr>
      </w:pPr>
    </w:p>
    <w:p>
      <w:pPr>
        <w:jc w:val="both"/>
        <w:ind w:firstLine="201"/>
        <w:spacing w:after="0" w:line="254" w:lineRule="auto"/>
        <w:rPr>
          <w:sz w:val="20"/>
          <w:szCs w:val="20"/>
          <w:color w:val="auto"/>
        </w:rPr>
      </w:pPr>
      <w:r>
        <w:rPr>
          <w:rFonts w:ascii="Arial" w:cs="Arial" w:eastAsia="Arial" w:hAnsi="Arial"/>
          <w:sz w:val="18"/>
          <w:szCs w:val="18"/>
          <w:color w:val="auto"/>
        </w:rPr>
        <w:t>Besides the risks above, even when acquisitions are completed, integration of acquired entities can involve significant difficulties. These include failure to achieve financial or operating objectives regarding an acquisition, systems, operational and managerial controls and procedures, the need to modify systems or to add management resources, difficulties in the integration and retention of consumers or personnel and the integration and effective deployment of operations or technologies, amortization of acquired assets (which would reduce future reported earnings), possible adverse short-term effects on cash flows or operating results, integrating personnel with diverse backgrounds and organizational cultures, coordinating sales and marketing functions and failure to obtain and retain key personnel of an acquired business. Failure to manage these acquisition growth risks could have an adverse effect on our business.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may not provide adequate levels of coverage against claims.</w:t>
      </w:r>
    </w:p>
    <w:p>
      <w:pPr>
        <w:spacing w:after="0" w:line="252" w:lineRule="exact"/>
        <w:rPr>
          <w:sz w:val="20"/>
          <w:szCs w:val="20"/>
          <w:color w:val="auto"/>
        </w:rPr>
      </w:pPr>
    </w:p>
    <w:p>
      <w:pPr>
        <w:jc w:val="both"/>
        <w:ind w:right="20" w:firstLine="229"/>
        <w:spacing w:after="0" w:line="263" w:lineRule="auto"/>
        <w:rPr>
          <w:sz w:val="20"/>
          <w:szCs w:val="20"/>
          <w:color w:val="auto"/>
        </w:rPr>
      </w:pPr>
      <w:r>
        <w:rPr>
          <w:rFonts w:ascii="Arial" w:cs="Arial" w:eastAsia="Arial" w:hAnsi="Arial"/>
          <w:sz w:val="18"/>
          <w:szCs w:val="18"/>
          <w:color w:val="auto"/>
        </w:rPr>
        <w:t>We believe that we maintain insurance customary for businesses of our size and type. However, there are losses we may incur that cannot be insured against or that we believe are not economically reasonable to insure. Such losses could have a material adverse effect on our business, financial condition and results of operations.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Loss of our key executive officers or other personnel, or an inability to attract and retain such management and other personnel, could negatively affect our business.</w:t>
      </w:r>
    </w:p>
    <w:p>
      <w:pPr>
        <w:spacing w:after="0" w:line="197"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Our future success depends to a significant degree on the skills, experience and efforts of our key executive officers. The sudden loss of any of these executives’ services or our failure to appropriately plan for any expected key executive succession could materially and adversely affect our business and prospects, as we may not be able to find suitable individuals to replace them on a timely basis, if at all. Additionally, we also depend on our ability to attract and retain qualified personnel to operate and expand our business. If we fail to attract talented new employees, our business and results of operations could be negatively affected.</w:t>
      </w:r>
    </w:p>
    <w:p>
      <w:pPr>
        <w:sectPr>
          <w:pgSz w:w="11900" w:h="16838" w:orient="portrait"/>
          <w:cols w:equalWidth="0" w:num="1">
            <w:col w:w="11240"/>
          </w:cols>
          <w:pgMar w:left="320" w:top="692"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We may not be able to adequately protect our intellectual property and other proprietary rights that are material to our business.</w:t>
      </w:r>
    </w:p>
    <w:p>
      <w:pPr>
        <w:spacing w:after="0" w:line="252"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Our ability to compete effectively depends in part upon protection of our rights in trademarks, trade dress, copyrights and other intellectual property rights we own or license. Our use of contractual provisions, confidentiality procedures and agreements, and trademark, copyright, unfair competition, trade secret and other laws to protect our intellectual property and other proprietary rights may not be adequate. We may not be able to preclude third parties from using our intellectual property regarding food or beverage products and may not be able to leverage our branding beyond our current product offerings. In addition, our trademark or other intellectual property applications may not always be granted. Third parties may oppose our intellectual property applications, or otherwise challenge our use of trademarks or other intellectual property. Third parties may infringe, misappropriate, or otherwise violate our intellectual property. Changes in applicable laws could lessen or remove the current legal protections available for intellectual property. Any legal action we may bring to protect our brand and other intellectual property could be unsuccessful, result in substantial costs and could divert management’s attention from other business concerns. A successful claim of trademark, copyright or other intellectual property infringement, misappropriation, or other violation against us could prevent us from providing our products or services or could require us to redesign or rebrand our products or packaging if we cannot license such third-party intellectual property on reasonable terms. Certain of our intellectual property licenses have fixed terms, and even for those that do not, we cannot guarantee all our intellectual property licenses will remain in effect indefinitely. Termination of intellectual property licenses granted by or to us could cause the loss of profits generated under such licenses. Any of the foregoing outcomes could materially and adversely harm our business, financial condition or results of our operations.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Any inadequacy, failure or interruption of our information technology systems may harm our ability to effectively operate our business, and our business is subject to online security risks, including security breaches and identity theft.</w:t>
      </w:r>
    </w:p>
    <w:p>
      <w:pPr>
        <w:spacing w:after="0" w:line="197" w:lineRule="exact"/>
        <w:rPr>
          <w:sz w:val="20"/>
          <w:szCs w:val="20"/>
          <w:color w:val="auto"/>
        </w:rPr>
      </w:pPr>
    </w:p>
    <w:p>
      <w:pPr>
        <w:jc w:val="both"/>
        <w:ind w:firstLine="267"/>
        <w:spacing w:after="0" w:line="269" w:lineRule="auto"/>
        <w:rPr>
          <w:sz w:val="20"/>
          <w:szCs w:val="20"/>
          <w:color w:val="auto"/>
        </w:rPr>
      </w:pPr>
      <w:r>
        <w:rPr>
          <w:rFonts w:ascii="Arial" w:cs="Arial" w:eastAsia="Arial" w:hAnsi="Arial"/>
          <w:sz w:val="17"/>
          <w:szCs w:val="17"/>
          <w:color w:val="auto"/>
        </w:rPr>
        <w:t>We rely heavily on information systems for management of our supply chain, inventory, payment of obligations, collection of cash, human capital management, financial tools and other business processes and procedures. Our ability to efficiently and effectively manage our business functions depends significantly on the reliability and capacity of these systems. Our operations depend upon our ability to protect our computer equipment and systems against damage from physical theft, fire, power loss and outages, telecommunications failure or other catastrophic events and from internal and external security breaches, viruses and other disruptive problems. The failure of these systems to operate effectively, whether from maintenance problems, upgrading or transitioning to new platforms, or a breach in security of these systems, could result in interruptions or delays in our operations, reduce efficiency or negatively affect our operations. If our information technology systems fail and our redundant systems or disaster recovery plans are not adequate to address such failures, or if our business interruption or cyber-security insurance does not sufficiently compensate us for any losses that we may incur, our revenue and profits could be reduced, and the reputation of our brand and our business could be materially adversely affected. In addition, remediation of any problems with our systems could result in significant, unplanned expenses.</w:t>
      </w:r>
    </w:p>
    <w:p>
      <w:pPr>
        <w:spacing w:after="0" w:line="212" w:lineRule="exact"/>
        <w:rPr>
          <w:sz w:val="20"/>
          <w:szCs w:val="20"/>
          <w:color w:val="auto"/>
        </w:rPr>
      </w:pPr>
    </w:p>
    <w:p>
      <w:pPr>
        <w:jc w:val="both"/>
        <w:ind w:firstLine="228"/>
        <w:spacing w:after="0" w:line="286" w:lineRule="auto"/>
        <w:rPr>
          <w:sz w:val="20"/>
          <w:szCs w:val="20"/>
          <w:color w:val="auto"/>
        </w:rPr>
      </w:pPr>
      <w:r>
        <w:rPr>
          <w:rFonts w:ascii="Arial" w:cs="Arial" w:eastAsia="Arial" w:hAnsi="Arial"/>
          <w:sz w:val="17"/>
          <w:szCs w:val="17"/>
          <w:color w:val="auto"/>
        </w:rPr>
        <w:t>We have instituted controls, including information system governance controls that are intended to protect our computer systems and our information technology systems and networks. We also have business continuity plans that attempt to anticipate and mitigate failures. However, we cannot control or prevent every potential technology failure, adverse environmental event, third-party service interruption or cybersecurity risk.</w:t>
      </w:r>
    </w:p>
    <w:p>
      <w:pPr>
        <w:spacing w:after="0" w:line="192" w:lineRule="exact"/>
        <w:rPr>
          <w:sz w:val="20"/>
          <w:szCs w:val="20"/>
          <w:color w:val="auto"/>
        </w:rPr>
      </w:pPr>
    </w:p>
    <w:p>
      <w:pPr>
        <w:jc w:val="both"/>
        <w:ind w:firstLine="192"/>
        <w:spacing w:after="0" w:line="296" w:lineRule="auto"/>
        <w:rPr>
          <w:sz w:val="20"/>
          <w:szCs w:val="20"/>
          <w:color w:val="auto"/>
        </w:rPr>
      </w:pPr>
      <w:r>
        <w:rPr>
          <w:rFonts w:ascii="Arial" w:cs="Arial" w:eastAsia="Arial" w:hAnsi="Arial"/>
          <w:sz w:val="16"/>
          <w:szCs w:val="16"/>
          <w:color w:val="auto"/>
        </w:rPr>
        <w:t>Unauthorized users who penetrate our information security systems could misappropriate proprietary, employee, or consumer information. As a result, it may become necessary to expend additional amounts of capital and resources to protect against, or to alleviate, problems caused by unauthorized access. Data security breaches could cause damaged reputation with consumers and reduced demand for our products. Additional expenditures may not prove to be a timely remedy against breaches by unauthorized users who are able to penetrate our information security. Besides purposeful security breaches, the inadvertent transmission of computer viruses could adversely affect our computer systems and, in turn, harm our business.</w:t>
      </w:r>
    </w:p>
    <w:p>
      <w:pPr>
        <w:spacing w:after="0" w:line="188" w:lineRule="exact"/>
        <w:rPr>
          <w:sz w:val="20"/>
          <w:szCs w:val="20"/>
          <w:color w:val="auto"/>
        </w:rPr>
      </w:pPr>
    </w:p>
    <w:p>
      <w:pPr>
        <w:jc w:val="both"/>
        <w:ind w:firstLine="280"/>
        <w:spacing w:after="0" w:line="293" w:lineRule="auto"/>
        <w:rPr>
          <w:sz w:val="20"/>
          <w:szCs w:val="20"/>
          <w:color w:val="auto"/>
        </w:rPr>
      </w:pPr>
      <w:r>
        <w:rPr>
          <w:rFonts w:ascii="Arial" w:cs="Arial" w:eastAsia="Arial" w:hAnsi="Arial"/>
          <w:sz w:val="16"/>
          <w:szCs w:val="16"/>
          <w:color w:val="auto"/>
        </w:rPr>
        <w:t>We increasingly rely on cloud computing and other technologies that result in third parties holding significant amounts of customer, consumer or employee information on our behalf. There has been an increase over the past several years in the frequency and sophistication of attempts to compromise the security of these types of systems. If the security and information systems that we or our outsourced third-party providers use to store or process such information are compromised or if we, or such third parties, otherwise fail to comply with applicable laws and regulations, we could face litigation and the imposition of penalties that could adversely affect our financial performance. Our reputation as a brand or as an employer could also be adversely affected by these types of security breaches or regulatory violations, which could impair our ability to attract and retain qualified employees.</w:t>
      </w:r>
    </w:p>
    <w:p>
      <w:pPr>
        <w:spacing w:after="0" w:line="191" w:lineRule="exact"/>
        <w:rPr>
          <w:sz w:val="20"/>
          <w:szCs w:val="20"/>
          <w:color w:val="auto"/>
        </w:rPr>
      </w:pPr>
    </w:p>
    <w:p>
      <w:pPr>
        <w:jc w:val="both"/>
        <w:ind w:firstLine="257"/>
        <w:spacing w:after="0" w:line="259" w:lineRule="auto"/>
        <w:rPr>
          <w:sz w:val="20"/>
          <w:szCs w:val="20"/>
          <w:color w:val="auto"/>
        </w:rPr>
      </w:pPr>
      <w:r>
        <w:rPr>
          <w:rFonts w:ascii="Arial" w:cs="Arial" w:eastAsia="Arial" w:hAnsi="Arial"/>
          <w:sz w:val="18"/>
          <w:szCs w:val="18"/>
          <w:color w:val="auto"/>
        </w:rPr>
        <w:t>A significant number of states require that consumers be notified if a security breach results in disclosing their personal financial account or other information. Additional states and governmental entities are considering such “notice” laws. In addition, other public disclosure laws may require that material security breaches be reported. If we experience a security breach, and such notice or public disclosure is required in the future, our reputation and our business may be harmed.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6" w:name="page27"/>
    <w:bookmarkEnd w:id="26"/>
    <w:p>
      <w:pPr>
        <w:jc w:val="both"/>
        <w:ind w:firstLine="190"/>
        <w:spacing w:after="0" w:line="257" w:lineRule="auto"/>
        <w:rPr>
          <w:sz w:val="20"/>
          <w:szCs w:val="20"/>
          <w:color w:val="auto"/>
        </w:rPr>
      </w:pPr>
      <w:r>
        <w:rPr>
          <w:rFonts w:ascii="Arial" w:cs="Arial" w:eastAsia="Arial" w:hAnsi="Arial"/>
          <w:sz w:val="18"/>
          <w:szCs w:val="18"/>
          <w:color w:val="auto"/>
        </w:rPr>
        <w:t>Except for limited information voluntarily submitted by users of our website, we typically do not collect or store consumer data or personal information. However, third-party providers, including our licensees, contract manufacturers, e-commerce contractors and third-party sellers may do so. The website operations of such third parties may be affected by reliance on other third-party hardware and software providers, technology changes, risks related to the failure of computer systems through which these website operations are conducted, telecommunications failures, data security breaches and similar disruptions.</w:t>
      </w:r>
    </w:p>
    <w:p>
      <w:pPr>
        <w:spacing w:after="0" w:line="215" w:lineRule="exact"/>
        <w:rPr>
          <w:sz w:val="20"/>
          <w:szCs w:val="20"/>
          <w:color w:val="auto"/>
        </w:rPr>
      </w:pPr>
    </w:p>
    <w:p>
      <w:pPr>
        <w:jc w:val="both"/>
        <w:ind w:firstLine="299"/>
        <w:spacing w:after="0" w:line="263" w:lineRule="auto"/>
        <w:rPr>
          <w:sz w:val="20"/>
          <w:szCs w:val="20"/>
          <w:color w:val="auto"/>
        </w:rPr>
      </w:pPr>
      <w:r>
        <w:rPr>
          <w:rFonts w:ascii="Arial" w:cs="Arial" w:eastAsia="Arial" w:hAnsi="Arial"/>
          <w:sz w:val="18"/>
          <w:szCs w:val="18"/>
          <w:color w:val="auto"/>
        </w:rPr>
        <w:t>If we or our third-party providers fail to maintain or protect our respective information technology systems and data integrity effectively, fail to implement new systems, update or expand existing systems, or fail to anticipate, plan for or manage significant disruptions to or compromises of systems involved in our operations, we could:</w:t>
      </w:r>
    </w:p>
    <w:p>
      <w:pPr>
        <w:spacing w:after="0" w:line="211"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lose existing customers;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have difficulty preventing, detecting, and controlling fraud;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have disputes with customers, suppliers, distributors or others;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 subject to regulatory sanctions, including sanctions stemming from violations of the Health Insurance Portability and Accountability Act of 1996;</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suffer reputational harm,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incur unexpected costs to remediate any unauthorized access of our systems and implement protective measures against future attacks.</w:t>
      </w:r>
    </w:p>
    <w:p>
      <w:pPr>
        <w:spacing w:after="0" w:line="249" w:lineRule="exact"/>
        <w:rPr>
          <w:sz w:val="20"/>
          <w:szCs w:val="20"/>
          <w:color w:val="auto"/>
        </w:rPr>
      </w:pPr>
    </w:p>
    <w:p>
      <w:pPr>
        <w:jc w:val="both"/>
        <w:ind w:firstLine="218"/>
        <w:spacing w:after="0" w:line="263" w:lineRule="auto"/>
        <w:rPr>
          <w:sz w:val="20"/>
          <w:szCs w:val="20"/>
          <w:color w:val="auto"/>
        </w:rPr>
      </w:pPr>
      <w:r>
        <w:rPr>
          <w:rFonts w:ascii="Arial" w:cs="Arial" w:eastAsia="Arial" w:hAnsi="Arial"/>
          <w:sz w:val="18"/>
          <w:szCs w:val="18"/>
          <w:color w:val="auto"/>
        </w:rPr>
        <w:t>As a result of these possible outcomes we could incur increases in operating expenses and our results of operations could be materially and adversely affected. While we maintain insurance against losses related to unauthorized access to our systems, there can be no assurance our level of coverage will be sufficient to address the losses we sustain.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Regulatory Risks and Litigation Risks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All of our products must comply with federal, state and local regulations. Any non-compliance with the FDA, USDA or other applicable regulations could harm our business.</w:t>
      </w:r>
    </w:p>
    <w:p>
      <w:pPr>
        <w:spacing w:after="0" w:line="197" w:lineRule="exact"/>
        <w:rPr>
          <w:sz w:val="20"/>
          <w:szCs w:val="20"/>
          <w:color w:val="auto"/>
        </w:rPr>
      </w:pPr>
    </w:p>
    <w:p>
      <w:pPr>
        <w:jc w:val="both"/>
        <w:ind w:firstLine="293"/>
        <w:spacing w:after="0" w:line="269" w:lineRule="auto"/>
        <w:rPr>
          <w:sz w:val="20"/>
          <w:szCs w:val="20"/>
          <w:color w:val="auto"/>
        </w:rPr>
      </w:pPr>
      <w:r>
        <w:rPr>
          <w:rFonts w:ascii="Arial" w:cs="Arial" w:eastAsia="Arial" w:hAnsi="Arial"/>
          <w:sz w:val="17"/>
          <w:szCs w:val="17"/>
          <w:color w:val="auto"/>
        </w:rPr>
        <w:t>Our products must comply with various rules and regulations, including those regarding product manufacturing, food safety, required testing and appropriate labeling of our products. The FDA has not defined nutrient content claims regarding low-carbohydrates, but has not objected to using net carbohydrate information on food labels if the label adequately explains how the term is used so it would not be false or misleading to consumers. The FDA requires all carbohydrates per serving to be listed on the Nutrition Facts Panel (“NFP”) of a package. Besides the information on the NFP, we use the term “net carbohydrate” (or “net carbs”) on our existing product packaging to assist consumers in tracking the carbohydrates in that serving of food that effect their blood sugar (glucose) levels. We determine the number of net carbs in a serving by subtracting fiber, and sugar alcohols if any, from the actual number of carbohydrates listed on the NFP. Fiber and sugar alcohols can be subtracted from the carbohydrates because they minimally effect blood sugar levels. It is possible that FDA regulations and/or their interpretations may change related to, for example, definitions of certain of our core ingredients, such as fiber, labeling requirements for describing other ingredients or nutrients, such as sugar alcohols or protein, or disclosures of any ingredient labeled as genetically modified (“GMO”). As such, there is a risk that our products could become non-compliant with the FDA’s regulations, and any such non-compliance could harm our business.</w:t>
      </w:r>
    </w:p>
    <w:p>
      <w:pPr>
        <w:spacing w:after="0" w:line="209" w:lineRule="exact"/>
        <w:rPr>
          <w:sz w:val="20"/>
          <w:szCs w:val="20"/>
          <w:color w:val="auto"/>
        </w:rPr>
      </w:pPr>
    </w:p>
    <w:p>
      <w:pPr>
        <w:jc w:val="both"/>
        <w:ind w:firstLine="182"/>
        <w:spacing w:after="0" w:line="263" w:lineRule="auto"/>
        <w:rPr>
          <w:sz w:val="20"/>
          <w:szCs w:val="20"/>
          <w:color w:val="auto"/>
        </w:rPr>
      </w:pPr>
      <w:r>
        <w:rPr>
          <w:rFonts w:ascii="Arial" w:cs="Arial" w:eastAsia="Arial" w:hAnsi="Arial"/>
          <w:sz w:val="18"/>
          <w:szCs w:val="18"/>
          <w:color w:val="auto"/>
        </w:rPr>
        <w:t>In addition, if FDA or other regulations restrict us from labeling and marketing certain ingredients or product attributes, such as fiber or “net carb” count, we may not effectively reach our target demographics, promote what we believe to be the benefits of our products or communicate that our products are composed of what we consider to be low-carb, low-sugar and protein-rich ingredients.</w:t>
      </w:r>
    </w:p>
    <w:p>
      <w:pPr>
        <w:spacing w:after="0" w:line="211" w:lineRule="exact"/>
        <w:rPr>
          <w:sz w:val="20"/>
          <w:szCs w:val="20"/>
          <w:color w:val="auto"/>
        </w:rPr>
      </w:pPr>
    </w:p>
    <w:p>
      <w:pPr>
        <w:jc w:val="both"/>
        <w:ind w:firstLine="287"/>
        <w:spacing w:after="0" w:line="259" w:lineRule="auto"/>
        <w:rPr>
          <w:sz w:val="20"/>
          <w:szCs w:val="20"/>
          <w:color w:val="auto"/>
        </w:rPr>
      </w:pPr>
      <w:r>
        <w:rPr>
          <w:rFonts w:ascii="Arial" w:cs="Arial" w:eastAsia="Arial" w:hAnsi="Arial"/>
          <w:sz w:val="18"/>
          <w:szCs w:val="18"/>
          <w:color w:val="auto"/>
        </w:rPr>
        <w:t>We must rely on the contract manufacturers we engage to produce our products to maintain compliance with applicable regulatory requirements. Although we require our contract manufacturers to be compliant with regulatory requirements, we do not have direct control over such facilities. Failure of our contract manufacturers to comply with applicable regulation could have a material and adverse effect on our ability to sell our products to our customers and our results of operations.</w:t>
      </w:r>
    </w:p>
    <w:p>
      <w:pPr>
        <w:spacing w:after="0" w:line="214" w:lineRule="exact"/>
        <w:rPr>
          <w:sz w:val="20"/>
          <w:szCs w:val="20"/>
          <w:color w:val="auto"/>
        </w:rPr>
      </w:pPr>
    </w:p>
    <w:p>
      <w:pPr>
        <w:jc w:val="both"/>
        <w:ind w:firstLine="205"/>
        <w:spacing w:after="0" w:line="259" w:lineRule="auto"/>
        <w:rPr>
          <w:sz w:val="20"/>
          <w:szCs w:val="20"/>
          <w:color w:val="auto"/>
        </w:rPr>
      </w:pPr>
      <w:r>
        <w:rPr>
          <w:rFonts w:ascii="Arial" w:cs="Arial" w:eastAsia="Arial" w:hAnsi="Arial"/>
          <w:sz w:val="18"/>
          <w:szCs w:val="18"/>
          <w:color w:val="auto"/>
        </w:rPr>
        <w:t>Conflicts between state and federal law regarding definitions of our core ingredients, and labeling requirements, may lead to non-compliance with state and local regulations. For example, certain states may maintain narrower definitions of certain ingredients, and more stringent labeling requirements, of which we are unaware. Any non-compliance at the state or local level could materially and adversely affect our business, financial condition and 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advertising is regulated for accuracy, and if our advertising is determined to be false or misleading, we may face fines or sanctions.</w:t>
      </w:r>
    </w:p>
    <w:p>
      <w:pPr>
        <w:spacing w:after="0" w:line="264" w:lineRule="exact"/>
        <w:rPr>
          <w:sz w:val="20"/>
          <w:szCs w:val="20"/>
          <w:color w:val="auto"/>
        </w:rPr>
      </w:pPr>
    </w:p>
    <w:p>
      <w:pPr>
        <w:jc w:val="both"/>
        <w:ind w:firstLine="258"/>
        <w:spacing w:after="0" w:line="263" w:lineRule="auto"/>
        <w:rPr>
          <w:sz w:val="20"/>
          <w:szCs w:val="20"/>
          <w:color w:val="auto"/>
        </w:rPr>
      </w:pPr>
      <w:r>
        <w:rPr>
          <w:rFonts w:ascii="Arial" w:cs="Arial" w:eastAsia="Arial" w:hAnsi="Arial"/>
          <w:sz w:val="18"/>
          <w:szCs w:val="18"/>
          <w:color w:val="auto"/>
        </w:rPr>
        <w:t>Our advertising is subject to regulation by the FTC under the Federal Trade Commission Act, which prohibits dissemination of false or misleading advertising. In addition, the National Advertising Division of the Council of Better Business Bureaus, Inc., which we refer to as NAD, administers a self-regulatory program of the advertising industry to ensure truth and accuracy in national advertising.</w:t>
      </w:r>
    </w:p>
    <w:p>
      <w:pPr>
        <w:sectPr>
          <w:pgSz w:w="11900" w:h="16838" w:orient="portrait"/>
          <w:cols w:equalWidth="0" w:num="1">
            <w:col w:w="11240"/>
          </w:cols>
          <w:pgMar w:left="320" w:top="692" w:right="339" w:bottom="1440" w:gutter="0" w:footer="0" w:header="0"/>
        </w:sect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27" w:name="page28"/>
    <w:bookmarkEnd w:id="27"/>
    <w:p>
      <w:pPr>
        <w:jc w:val="both"/>
        <w:spacing w:after="0" w:line="263" w:lineRule="auto"/>
        <w:rPr>
          <w:sz w:val="20"/>
          <w:szCs w:val="20"/>
          <w:color w:val="auto"/>
        </w:rPr>
      </w:pPr>
      <w:r>
        <w:rPr>
          <w:rFonts w:ascii="Arial" w:cs="Arial" w:eastAsia="Arial" w:hAnsi="Arial"/>
          <w:sz w:val="18"/>
          <w:szCs w:val="18"/>
          <w:color w:val="auto"/>
        </w:rPr>
        <w:t>NAD both monitors national advertising and entertains inquiries and challenges from competing companies and consumers. Should our advertising be determined to be false or misleading, we may have to pay damages, withdraw our campaign and possibly face fines or sanctions, which could have a material adverse effect on our sales and operating results.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the legal and regulatory environment could limit our business activities, increase our operating costs, reduce demand for our products or result in litigation.</w:t>
      </w:r>
    </w:p>
    <w:p>
      <w:pPr>
        <w:spacing w:after="0" w:line="197"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Elements of our business, including the production, storage, distribution, sale, display, advertising, marketing, labeling, health and safety practices, transportation and use of many of our products, are subject to various laws and regulations administered by federal, state and local governmental agencies in the United States, and the laws and regulations administered by government entities and agencies outside the United States in markets in which our products or components thereof, such as core ingredients and packaging, may be made, manufactured or sold. These laws, regulations and interpretations thereof may change, sometimes dramatically, because of a variety of factors, including political, economic or social events. Such factors may include changes in:</w:t>
      </w:r>
    </w:p>
    <w:p>
      <w:pPr>
        <w:spacing w:after="0" w:line="152"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food and drug laws (including FDA regulations);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laws related to product labeling, advertising and marketing practices;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laws and programs restricting the sale and advertising of certain of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laws and programs aimed at reducing, restricting or eliminating ingredients present in certain of our products;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laws and programs aimed at reducing, restricting or eliminating ingredients or packaging present in certain of our products to meet government objectives to combat climate change or certain labor practices;</w:t>
      </w:r>
    </w:p>
    <w:p>
      <w:pPr>
        <w:ind w:left="66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laws and programs aimed at discouraging the consumption of products or ingredients or altering the package or portion size of certain of our products;</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state consumer protection and disclosure laws;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taxation requirements, including the imposition or proposed imposition of new or increased taxes or other limitations on the sale of our products; competition laws;</w:t>
      </w:r>
    </w:p>
    <w:p>
      <w:pPr>
        <w:ind w:left="660" w:right="2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anti-corruption laws, including the U.S. Foreign Corrupt Practices Act of 1977, as amended (the “FCPA”), and the UK Bribery Act of 2010 (the “Bribery Act”);</w:t>
      </w:r>
    </w:p>
    <w:p>
      <w:pPr>
        <w:ind w:left="66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economic sanctions and anti-boycott laws, including laws administered by the U.S. Department of Treasury, Office of Foreign Assets Control (“OFAC”) and the European Union (“EU”);</w:t>
      </w:r>
    </w:p>
    <w:p>
      <w:pPr>
        <w:jc w:val="both"/>
        <w:ind w:left="66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laws relating to export, re-export, transfer, tariffs and import controls, including the Export Administration Regulations, the EU Dual Use Regulation and the customs and import laws administered by the U.S. Customs and Border Protection and other local governments where are contract manufacturers are located;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employment laws;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privacy laws;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laws regulating the price we may charge for our products;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farming and environmental laws.</w:t>
      </w:r>
    </w:p>
    <w:p>
      <w:pPr>
        <w:spacing w:after="0" w:line="238" w:lineRule="exact"/>
        <w:rPr>
          <w:sz w:val="20"/>
          <w:szCs w:val="20"/>
          <w:color w:val="auto"/>
        </w:rPr>
      </w:pPr>
    </w:p>
    <w:p>
      <w:pPr>
        <w:jc w:val="both"/>
        <w:ind w:firstLine="251"/>
        <w:spacing w:after="0" w:line="257" w:lineRule="auto"/>
        <w:rPr>
          <w:sz w:val="20"/>
          <w:szCs w:val="20"/>
          <w:color w:val="auto"/>
        </w:rPr>
      </w:pPr>
      <w:r>
        <w:rPr>
          <w:rFonts w:ascii="Arial" w:cs="Arial" w:eastAsia="Arial" w:hAnsi="Arial"/>
          <w:sz w:val="18"/>
          <w:szCs w:val="18"/>
          <w:color w:val="auto"/>
        </w:rPr>
        <w:t>New laws, regulations or governmental policies and their related interpretations, or changes in any of the foregoing, including taxes, tariffs or other limitations on the sale of our products, ingredients in our products or commodities used in the production of our products, may alter the environment in which we do business and, therefore, may affect our operating results or increase our costs or liabilities. In addition, if we fail to adhere to such laws and regulations, we could be subject to regulatory investigations, civil or criminal sanctions, and class action litigation, which has increased in the industry in recent years.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or legal proceedings could expose us to significant liabilities and have a negative effect on our reputation.</w:t>
      </w:r>
    </w:p>
    <w:p>
      <w:pPr>
        <w:spacing w:after="0" w:line="252" w:lineRule="exact"/>
        <w:rPr>
          <w:sz w:val="20"/>
          <w:szCs w:val="20"/>
          <w:color w:val="auto"/>
        </w:rPr>
      </w:pPr>
    </w:p>
    <w:p>
      <w:pPr>
        <w:jc w:val="both"/>
        <w:ind w:firstLine="214"/>
        <w:spacing w:after="0" w:line="311" w:lineRule="auto"/>
        <w:rPr>
          <w:sz w:val="20"/>
          <w:szCs w:val="20"/>
          <w:color w:val="auto"/>
        </w:rPr>
      </w:pPr>
      <w:r>
        <w:rPr>
          <w:rFonts w:ascii="Arial" w:cs="Arial" w:eastAsia="Arial" w:hAnsi="Arial"/>
          <w:sz w:val="16"/>
          <w:szCs w:val="16"/>
          <w:color w:val="auto"/>
        </w:rPr>
        <w:t>Occasionally, we may be party to various claims and litigation. We evaluate these claims and litigation, assess the likelihood of unfavorable outcomes, and estimate, if possible, potential losses when appropriate. We may establish reserves, as appropriate based on the information available to management at the time. These assessments and estimates involve a significant amount of management judgment and may differ materially from actual outcomes.</w:t>
      </w:r>
    </w:p>
    <w:p>
      <w:pPr>
        <w:spacing w:after="0" w:line="176" w:lineRule="exact"/>
        <w:rPr>
          <w:sz w:val="20"/>
          <w:szCs w:val="20"/>
          <w:color w:val="auto"/>
        </w:rPr>
      </w:pPr>
    </w:p>
    <w:p>
      <w:pPr>
        <w:jc w:val="both"/>
        <w:ind w:firstLine="239"/>
        <w:spacing w:after="0" w:line="259" w:lineRule="auto"/>
        <w:rPr>
          <w:sz w:val="20"/>
          <w:szCs w:val="20"/>
          <w:color w:val="auto"/>
        </w:rPr>
      </w:pPr>
      <w:r>
        <w:rPr>
          <w:rFonts w:ascii="Arial" w:cs="Arial" w:eastAsia="Arial" w:hAnsi="Arial"/>
          <w:sz w:val="18"/>
          <w:szCs w:val="18"/>
          <w:color w:val="auto"/>
        </w:rPr>
        <w:t>There is an additional risk that potential litigation may lead to adverse publicity, consumer confusion, distrust and additional legal challenges for us. Should we become subject to related or additional unforeseen lawsuits, including claims related to our products, labeling or advertising, which may vary under state and federal rules and regulations, consumers may avoid purchasing our products or seek alternative products, even if the basis for the claims against us is unfounded.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auto"/>
        </w:rPr>
        <w:t>Risks Related to our Capital Structure</w:t>
      </w:r>
    </w:p>
    <w:p>
      <w:pPr>
        <w:spacing w:after="0" w:line="25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indebtedness could materially and adversely affect our financial condition and ability to operate our company, and we may incur additional debt.</w:t>
      </w:r>
    </w:p>
    <w:p>
      <w:pPr>
        <w:spacing w:after="0" w:line="287" w:lineRule="exact"/>
        <w:rPr>
          <w:sz w:val="20"/>
          <w:szCs w:val="20"/>
          <w:color w:val="auto"/>
        </w:rPr>
      </w:pPr>
    </w:p>
    <w:p>
      <w:pPr>
        <w:jc w:val="both"/>
        <w:ind w:firstLine="210"/>
        <w:spacing w:after="0" w:line="279" w:lineRule="auto"/>
        <w:rPr>
          <w:sz w:val="20"/>
          <w:szCs w:val="20"/>
          <w:color w:val="auto"/>
        </w:rPr>
      </w:pPr>
      <w:r>
        <w:rPr>
          <w:rFonts w:ascii="Arial" w:cs="Arial" w:eastAsia="Arial" w:hAnsi="Arial"/>
          <w:sz w:val="17"/>
          <w:szCs w:val="17"/>
          <w:color w:val="auto"/>
        </w:rPr>
        <w:t>As of August 28, 2021, we had approximately $456.5 million in outstanding indebtedness and a revolving credit facility with availability of up to $75 million. Our current and future debt level and the terms of our debt arrangements could materially and adversely affect our financial condition and limit our ability to successfully implement our growth strategies. In addition, under the credit facilities governing our indebtedness, we have granted the lenders a security interest in substantially all of our assets, including the assets of our subsidiaries and an affiliate.</w:t>
      </w:r>
    </w:p>
    <w:p>
      <w:pPr>
        <w:spacing w:after="0" w:line="198" w:lineRule="exact"/>
        <w:rPr>
          <w:sz w:val="20"/>
          <w:szCs w:val="20"/>
          <w:color w:val="auto"/>
        </w:rPr>
      </w:pPr>
    </w:p>
    <w:p>
      <w:pPr>
        <w:jc w:val="both"/>
        <w:ind w:firstLine="193"/>
        <w:spacing w:after="0" w:line="286" w:lineRule="auto"/>
        <w:rPr>
          <w:sz w:val="20"/>
          <w:szCs w:val="20"/>
          <w:color w:val="auto"/>
        </w:rPr>
      </w:pPr>
      <w:r>
        <w:rPr>
          <w:rFonts w:ascii="Arial" w:cs="Arial" w:eastAsia="Arial" w:hAnsi="Arial"/>
          <w:sz w:val="17"/>
          <w:szCs w:val="17"/>
          <w:color w:val="auto"/>
        </w:rPr>
        <w:t>Our ability to meet our debt service obligations will depend on our future performance, which will be affected by the other risk factors described herein. If we do not generate enough cash flow to pay our debt service obligations, we may have to refinance all or part of our existing debt, sell our assets, borrow more money or raise equity. We may not be able to take any of these actions timely, on terms satisfactory to us, or at all.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credit facilities governing our debt arrangements contain financial and other covenants.</w:t>
      </w:r>
    </w:p>
    <w:p>
      <w:pPr>
        <w:spacing w:after="0" w:line="252" w:lineRule="exact"/>
        <w:rPr>
          <w:sz w:val="20"/>
          <w:szCs w:val="20"/>
          <w:color w:val="auto"/>
        </w:rPr>
      </w:pPr>
    </w:p>
    <w:p>
      <w:pPr>
        <w:jc w:val="both"/>
        <w:ind w:firstLine="183"/>
        <w:spacing w:after="0" w:line="271" w:lineRule="auto"/>
        <w:rPr>
          <w:sz w:val="20"/>
          <w:szCs w:val="20"/>
          <w:color w:val="auto"/>
        </w:rPr>
      </w:pPr>
      <w:r>
        <w:rPr>
          <w:rFonts w:ascii="Arial" w:cs="Arial" w:eastAsia="Arial" w:hAnsi="Arial"/>
          <w:sz w:val="17"/>
          <w:szCs w:val="17"/>
          <w:color w:val="auto"/>
        </w:rPr>
        <w:t>The credit facilities governing our existing debt arrangements contain certain financial and other covenants. Our revolving credit facility has a maximum total net leverage ratio equal to or less than 6.00:1.00 contingent on credit extensions in excess of 30% of the total amount of commitments available under the revolving credit facility, and limitations on our ability to, among other things, incur and/or undertake asset sales and other dispositions, liens, indebtedness, certain acquisitions and investments, consolidations, mergers, reorganizations and other fundamental changes, payment of dividends and other distributions to equity and warrant holders, and prepayments of material subordinated debt, in each case, subject to customary exceptions materially consistent with credit facilities of such type and size. Any failure to comply with the restrictions of the credit facilities may cause an event of default. The credit facilities governing our existing debt arrangements bear interest at variable rates. If market interest rates increase, variable rate debt will create higher debt service requirements, which could materially and adversely affect our cash flow.</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interest rates may adversely affect our earnings and/or cash flows.</w:t>
      </w:r>
    </w:p>
    <w:p>
      <w:pPr>
        <w:spacing w:after="0" w:line="252" w:lineRule="exact"/>
        <w:rPr>
          <w:sz w:val="20"/>
          <w:szCs w:val="20"/>
          <w:color w:val="auto"/>
        </w:rPr>
      </w:pPr>
    </w:p>
    <w:p>
      <w:pPr>
        <w:jc w:val="both"/>
        <w:ind w:firstLine="194"/>
        <w:spacing w:after="0" w:line="253" w:lineRule="auto"/>
        <w:rPr>
          <w:sz w:val="20"/>
          <w:szCs w:val="20"/>
          <w:color w:val="auto"/>
        </w:rPr>
      </w:pPr>
      <w:r>
        <w:rPr>
          <w:rFonts w:ascii="Arial" w:cs="Arial" w:eastAsia="Arial" w:hAnsi="Arial"/>
          <w:sz w:val="18"/>
          <w:szCs w:val="18"/>
          <w:color w:val="auto"/>
        </w:rPr>
        <w:t>Our indebtedness under our revolving credit facility bears interest at variable interest rates that use the London Inter-Bank Offered Rate (“LIBOR”) as a benchmark rate. On July 27, 2017, the United Kingdom’s Financial Conduct Authority (“FCA”), which regulates LIBOR, announced that it intends to stop persuading or compelling banks to submit LIBOR quotations after 2021 (the “FCA Announcement”). The FCA announcement indicates that the continuation of LIBOR on the current basis cannot and will not be assured after 2021, and LIBOR may cease to exist or otherwise be unsuitable for use as a benchmark. Recent proposals for LIBOR reforms may cause the establishment of new methods of calculating LIBOR or the establishment of one or more alternative benchmark rates. Although our revolving credit facility provides for successor base rates, the successor base rates may be related to LIBOR, and the consequences of any potential cessation, modification or other reform of LIBOR cannot be predicted at this time. If LIBOR ceases to exist, we may need to amend our revolving credit facility, and we cannot predict what alternative interest rate(s) will be negotiated with our counterparties. As a result, our interest expense may increase, our ability to refinance some or all of our existing indebtedness may be affected and our available cash flow may be adversely affected.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additional capital in the future, and it may not be available on acceptable terms or at all.</w:t>
      </w:r>
    </w:p>
    <w:p>
      <w:pPr>
        <w:spacing w:after="0" w:line="252" w:lineRule="exact"/>
        <w:rPr>
          <w:sz w:val="20"/>
          <w:szCs w:val="20"/>
          <w:color w:val="auto"/>
        </w:rPr>
      </w:pPr>
    </w:p>
    <w:p>
      <w:pPr>
        <w:jc w:val="both"/>
        <w:ind w:firstLine="210"/>
        <w:spacing w:after="0" w:line="275" w:lineRule="auto"/>
        <w:rPr>
          <w:sz w:val="20"/>
          <w:szCs w:val="20"/>
          <w:color w:val="auto"/>
        </w:rPr>
      </w:pPr>
      <w:r>
        <w:rPr>
          <w:rFonts w:ascii="Arial" w:cs="Arial" w:eastAsia="Arial" w:hAnsi="Arial"/>
          <w:sz w:val="17"/>
          <w:szCs w:val="17"/>
          <w:color w:val="auto"/>
        </w:rPr>
        <w:t>We have historically relied upon cash generated by our operations to fund our operations and strategy. We may also need to access the debt and equity capital markets, however, these sources of financing may not be available on acceptable terms, or at all. Our ability to obtain additional financing will be subject to several factors, including market conditions, our operating performance, investor sentiment and our ability to incur additional debt in compliance with agreements governing our outstanding debt. These factors may make the timing, amount, terms or conditions of additional financing unattractive to us. If we cannot generate sufficient funds from operations or raise additional capital, our growth could be impeded.</w:t>
      </w:r>
    </w:p>
    <w:p>
      <w:pPr>
        <w:spacing w:after="0" w:line="20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have incurred and will continue to incur significantly increased costs because of operating as a public company, and our management has been and will continue to be required to devote substantial time to compliance efforts.</w:t>
      </w:r>
    </w:p>
    <w:p>
      <w:pPr>
        <w:spacing w:after="0" w:line="197" w:lineRule="exact"/>
        <w:rPr>
          <w:sz w:val="20"/>
          <w:szCs w:val="20"/>
          <w:color w:val="auto"/>
        </w:rPr>
      </w:pPr>
    </w:p>
    <w:p>
      <w:pPr>
        <w:jc w:val="both"/>
        <w:ind w:firstLine="224"/>
        <w:spacing w:after="0" w:line="256" w:lineRule="auto"/>
        <w:rPr>
          <w:sz w:val="20"/>
          <w:szCs w:val="20"/>
          <w:color w:val="auto"/>
        </w:rPr>
      </w:pPr>
      <w:r>
        <w:rPr>
          <w:rFonts w:ascii="Arial" w:cs="Arial" w:eastAsia="Arial" w:hAnsi="Arial"/>
          <w:sz w:val="18"/>
          <w:szCs w:val="18"/>
          <w:color w:val="auto"/>
        </w:rPr>
        <w:t>We have incurred and expect to continue to incur significant legal, accounting, insurance and other expenses because of being a public company. The Dodd-Frank Wall Street Reform and Customer Protection Act (the “Dodd-Frank Act”) and the Sarbanes-Oxley Act of 2002 (the “Sarbanes-Oxley Act”</w:t>
      </w:r>
      <w:r>
        <w:rPr>
          <w:rFonts w:ascii="Arial" w:cs="Arial" w:eastAsia="Arial" w:hAnsi="Arial"/>
          <w:sz w:val="19"/>
          <w:szCs w:val="19"/>
          <w:color w:val="auto"/>
        </w:rPr>
        <w:t>)</w:t>
      </w:r>
      <w:r>
        <w:rPr>
          <w:rFonts w:ascii="Arial" w:cs="Arial" w:eastAsia="Arial" w:hAnsi="Arial"/>
          <w:sz w:val="18"/>
          <w:szCs w:val="18"/>
          <w:color w:val="auto"/>
        </w:rPr>
        <w:t>, and related rules implemented by the SEC, have required changes in corporate governance practices of public companies. In addition, rules that the SEC is implementing or is required to implement pursuant to the Dodd-Frank Act are expected to require additional changes. Compliance with these and other similar laws, rules and regulations, including compliance with Section 404 of the Sarbanes-Oxley Act (“Section 404”), has and will continue to substantially increase expense, including our legal and</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9" w:name="page30"/>
    <w:bookmarkEnd w:id="29"/>
    <w:p>
      <w:pPr>
        <w:jc w:val="both"/>
        <w:spacing w:after="0" w:line="254" w:lineRule="auto"/>
        <w:rPr>
          <w:sz w:val="20"/>
          <w:szCs w:val="20"/>
          <w:color w:val="auto"/>
        </w:rPr>
      </w:pPr>
      <w:r>
        <w:rPr>
          <w:rFonts w:ascii="Arial" w:cs="Arial" w:eastAsia="Arial" w:hAnsi="Arial"/>
          <w:sz w:val="18"/>
          <w:szCs w:val="18"/>
          <w:color w:val="auto"/>
        </w:rPr>
        <w:t>accounting costs, and make some activities more time-consuming and costly. Our internal infrastructure may not be adequate to support our increased reporting obligations, and we may be unable to hire, train or retain necessary staff and may be reliant on engaging outside consultants or professionals to overcome our limited experience or employees which could adversely affect our business if our internal infrastructure is inadequate to fulfill our public company obligations. These laws, rules and regulations could also make it more expensive for us to obtain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our board committees or as our executive officers.</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cannot implement appropriate systems, procedures and controls, we may not be able to successfully offer our products, grow our business and account for transactions in an appropriate and timely manner.</w:t>
      </w:r>
    </w:p>
    <w:p>
      <w:pPr>
        <w:spacing w:after="0" w:line="197" w:lineRule="exact"/>
        <w:rPr>
          <w:sz w:val="20"/>
          <w:szCs w:val="20"/>
          <w:color w:val="auto"/>
        </w:rPr>
      </w:pPr>
    </w:p>
    <w:p>
      <w:pPr>
        <w:jc w:val="both"/>
        <w:ind w:firstLine="207"/>
        <w:spacing w:after="0" w:line="254" w:lineRule="auto"/>
        <w:rPr>
          <w:sz w:val="20"/>
          <w:szCs w:val="20"/>
          <w:color w:val="auto"/>
        </w:rPr>
      </w:pPr>
      <w:r>
        <w:rPr>
          <w:rFonts w:ascii="Arial" w:cs="Arial" w:eastAsia="Arial" w:hAnsi="Arial"/>
          <w:sz w:val="18"/>
          <w:szCs w:val="18"/>
          <w:color w:val="auto"/>
        </w:rPr>
        <w:t>Our ability to successfully offer our products, grow our business and account for transactions in an appropriate and timely manner requires an effective planning and management process and certain other automated management and accounting systems. We recently implemented an integrated enterprise resource planning system and certain other automated management and accounting systems. We periodically update our operations and financial systems, procedures and controls; however; we still rely on certain manual processes and procedures that may not scale proportionately with our business growth. Our systems will continue to require automation, modifications and improvements to respond to current and future changes in our business. Failure to implement promptly appropriate internal systems, procedures and controls could materially and adversely affect our business, financial condition and results of operations.</w:t>
      </w:r>
    </w:p>
    <w:p>
      <w:pPr>
        <w:spacing w:after="0" w:line="22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If we do not maintain effective internal control over financial reporting, we may not be able to accurately report our financial results in a timely manner or prevent fraud, which may adversely affect investor confidence in our financial reporting and adversely affect our business and operating results and the market price for our common stock. In May 2021 we identified a material weakness in our internal control over financial reporting.</w:t>
      </w:r>
    </w:p>
    <w:p>
      <w:pPr>
        <w:spacing w:after="0" w:line="176" w:lineRule="exact"/>
        <w:rPr>
          <w:sz w:val="20"/>
          <w:szCs w:val="20"/>
          <w:color w:val="auto"/>
        </w:rPr>
      </w:pPr>
    </w:p>
    <w:p>
      <w:pPr>
        <w:jc w:val="both"/>
        <w:ind w:firstLine="234"/>
        <w:spacing w:after="0" w:line="259" w:lineRule="auto"/>
        <w:rPr>
          <w:sz w:val="20"/>
          <w:szCs w:val="20"/>
          <w:color w:val="auto"/>
        </w:rPr>
      </w:pPr>
      <w:r>
        <w:rPr>
          <w:rFonts w:ascii="Arial" w:cs="Arial" w:eastAsia="Arial" w:hAnsi="Arial"/>
          <w:sz w:val="18"/>
          <w:szCs w:val="18"/>
          <w:color w:val="auto"/>
        </w:rPr>
        <w:t>Effective internal control over financial reporting is necessary for us to provide reliable financial reports. In the future, we may discover areas of our internal control over financial reporting that need improvement. In addition, our internal financial and accounting team is leanly staffed, which can lead to inefficiencies regarding segregation of duties. If we fail to properly and efficiently maintain an effective internal control over financial reporting, we could fail to report our financial results accurately.</w:t>
      </w:r>
    </w:p>
    <w:p>
      <w:pPr>
        <w:spacing w:after="0" w:line="214" w:lineRule="exact"/>
        <w:rPr>
          <w:sz w:val="20"/>
          <w:szCs w:val="20"/>
          <w:color w:val="auto"/>
        </w:rPr>
      </w:pPr>
    </w:p>
    <w:p>
      <w:pPr>
        <w:jc w:val="both"/>
        <w:ind w:firstLine="252"/>
        <w:spacing w:after="0" w:line="289" w:lineRule="auto"/>
        <w:rPr>
          <w:sz w:val="20"/>
          <w:szCs w:val="20"/>
          <w:color w:val="auto"/>
        </w:rPr>
      </w:pPr>
      <w:r>
        <w:rPr>
          <w:rFonts w:ascii="Arial" w:cs="Arial" w:eastAsia="Arial" w:hAnsi="Arial"/>
          <w:sz w:val="16"/>
          <w:szCs w:val="16"/>
          <w:color w:val="auto"/>
        </w:rPr>
        <w:t>On April 12, 2021, the staff of the SEC issued a staff statement (the “SEC Statement”) on the accounting and reporting considerations for warrants issued by special purpose acquisition companies (“SPACs”). Specifically, the SEC Statement focused in part on provisions in warrant agreements that provide for potential changes to the settlement amounts dependent upon the characteristics of the warrant holder. Following consideration of the guidance in the SEC Statement, we concluded that our warrants issued through private placement (the “Private Warrants”) should be classified as a liability and measured at fair value, with changes in fair value each period reported in earnings. As a result, on May 13, 2021, management and the audit committee of our board of directors determined that our previously issued fiscal quarterly and year-to-date unaudited consolidated financial statements for November 28, 2020 and February 27, 2021 included and our audited consolidated financial statements for the fiscal years ending August 29, 2020, August 31, 2019 and August 25, 2018 should no longer be relied upon and would need to be restated. As part of the restatement process, we have identified a material weakness in our internal control over financial reporting related to the determination of the appropriate accounting and classification of our Private Warrants.</w:t>
      </w:r>
    </w:p>
    <w:p>
      <w:pPr>
        <w:spacing w:after="0" w:line="193" w:lineRule="exact"/>
        <w:rPr>
          <w:sz w:val="20"/>
          <w:szCs w:val="20"/>
          <w:color w:val="auto"/>
        </w:rPr>
      </w:pPr>
    </w:p>
    <w:p>
      <w:pPr>
        <w:jc w:val="both"/>
        <w:ind w:firstLine="280"/>
        <w:spacing w:after="0" w:line="272"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 Effective internal controls are necessary for us to provide reliable financial reports and prevent fraud. We developed and implemented a remediation plan to address the material weakness related to the accounting for warrants. These remediation measures may from time to time be time consuming and costly and there is no assurance that the remedial measures we have taken to date, or any remedial measures we may take in the future, will be sufficient to avoid potential future material weaknesses. The material weakness will not be considered remediated until a sustained period of time has passed to allow management to test the design and operational effectiveness of the corrective actions.</w:t>
      </w:r>
    </w:p>
    <w:p>
      <w:pPr>
        <w:spacing w:after="0" w:line="204" w:lineRule="exact"/>
        <w:rPr>
          <w:sz w:val="20"/>
          <w:szCs w:val="20"/>
          <w:color w:val="auto"/>
        </w:rPr>
      </w:pPr>
    </w:p>
    <w:p>
      <w:pPr>
        <w:jc w:val="both"/>
        <w:ind w:firstLine="252"/>
        <w:spacing w:after="0" w:line="257" w:lineRule="auto"/>
        <w:rPr>
          <w:sz w:val="20"/>
          <w:szCs w:val="20"/>
          <w:color w:val="auto"/>
        </w:rPr>
      </w:pPr>
      <w:r>
        <w:rPr>
          <w:rFonts w:ascii="Arial" w:cs="Arial" w:eastAsia="Arial" w:hAnsi="Arial"/>
          <w:sz w:val="18"/>
          <w:szCs w:val="18"/>
          <w:color w:val="auto"/>
        </w:rPr>
        <w:t>We may identify new material weaknesses in the future, which could limit our ability to prevent or detect a material misstatement of our annual or interim financial statements. The occurrence of, or failure to remediate, the material weakness we have identified or any other material weakness could result in our failure to maintain compliance with legal requirements, including Section 404 of the Sarbanes-Oxley Act and rules regarding timely filing of periodic reports, in addition to applicable stock exchange listing requirements, could cause investors to lose confidence in our financial reporting and could have an adverse effect on our the market price of our common stock.</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0" w:name="page31"/>
    <w:bookmarkEnd w:id="30"/>
    <w:p>
      <w:pPr>
        <w:jc w:val="both"/>
        <w:spacing w:after="0" w:line="277" w:lineRule="auto"/>
        <w:rPr>
          <w:sz w:val="20"/>
          <w:szCs w:val="20"/>
          <w:color w:val="auto"/>
        </w:rPr>
      </w:pPr>
      <w:r>
        <w:rPr>
          <w:rFonts w:ascii="Arial" w:cs="Arial" w:eastAsia="Arial" w:hAnsi="Arial"/>
          <w:sz w:val="18"/>
          <w:szCs w:val="18"/>
          <w:b w:val="1"/>
          <w:bCs w:val="1"/>
          <w:i w:val="1"/>
          <w:iCs w:val="1"/>
          <w:color w:val="auto"/>
        </w:rPr>
        <w:t>The restatement of certain of our financial statements subjected us to increased costs and may subject us to additional risks and uncertainties, including the increased possibility of legal proceedings.</w:t>
      </w:r>
    </w:p>
    <w:p>
      <w:pPr>
        <w:spacing w:after="0" w:line="197" w:lineRule="exact"/>
        <w:rPr>
          <w:sz w:val="20"/>
          <w:szCs w:val="20"/>
          <w:color w:val="auto"/>
        </w:rPr>
      </w:pPr>
    </w:p>
    <w:p>
      <w:pPr>
        <w:jc w:val="both"/>
        <w:ind w:firstLine="280"/>
        <w:spacing w:after="0" w:line="269" w:lineRule="auto"/>
        <w:rPr>
          <w:sz w:val="20"/>
          <w:szCs w:val="20"/>
          <w:color w:val="auto"/>
        </w:rPr>
      </w:pPr>
      <w:r>
        <w:rPr>
          <w:rFonts w:ascii="Arial" w:cs="Arial" w:eastAsia="Arial" w:hAnsi="Arial"/>
          <w:sz w:val="17"/>
          <w:szCs w:val="17"/>
          <w:color w:val="auto"/>
        </w:rPr>
        <w:t>On April 12, 2021, the staff of the SEC issued the SEC Statement on the accounting and reporting considerations for warrants issued by SPACs. Specifically, the SEC Statement focused in part on provisions in warrant agreements that provide for potential changes to the settlement amounts dependent upon the characteristics of the warrant holder. Following consideration of the guidance in the SEC Statement, we concluded that our Private Warrants should be classified as a liability and measured at fair value, with changes in fair value each period reported in earnings. As a result, on May 13, 2021, management and the audit committee of our board of directors determined that our previously issued fiscal quarterly and year-to-date unaudited consolidated financial statements for November 28, 2020 and February 27, 2021 and our audited consolidated financial statements for the fiscal years ending August 29, 2020, August 31, 2019 and August 25, 2018 should no longer be relied upon and would need to be restated. In addition, we determined that related press releases, earnings releases, and investor communications describing our financial statements for these periods should no longer be relied upon. The errors identified are non-cash and related to our classification of our Private Warrants. Accordingly, we restated the annual, quarterly and year-to-date audited and unaudited consolidated financial statements for these periods.</w:t>
      </w:r>
    </w:p>
    <w:p>
      <w:pPr>
        <w:spacing w:after="0" w:line="212" w:lineRule="exact"/>
        <w:rPr>
          <w:sz w:val="20"/>
          <w:szCs w:val="20"/>
          <w:color w:val="auto"/>
        </w:rPr>
      </w:pPr>
    </w:p>
    <w:p>
      <w:pPr>
        <w:jc w:val="both"/>
        <w:ind w:firstLine="197"/>
        <w:spacing w:after="0" w:line="272" w:lineRule="auto"/>
        <w:rPr>
          <w:sz w:val="20"/>
          <w:szCs w:val="20"/>
          <w:color w:val="auto"/>
        </w:rPr>
      </w:pPr>
      <w:r>
        <w:rPr>
          <w:rFonts w:ascii="Arial" w:cs="Arial" w:eastAsia="Arial" w:hAnsi="Arial"/>
          <w:sz w:val="17"/>
          <w:szCs w:val="17"/>
          <w:color w:val="auto"/>
        </w:rPr>
        <w:t>In connection with the restatement, we identified a material weakness in our internal controls over financial reporting related to the determination of the appropriate accounting and classification of our Private Warrants. As a result of that material weakness, the restatement, the change in accounting for our Private Warrants, and other matters raised or that may in the future be raised by the SEC, we incurred increased accounting and legal costs and may become subject to additional risks and uncertainties, including, among others, the increased possibility of legal proceedings or a review by the SEC and other regulatory bodies. The costs of defending against such legal proceedings or administrative actions could be significant. In addition, we could face monetary judgments, penalties or other sanctions that could have a material adverse effect on our business, results of operations and financial condition and could have an adverse effect on the market price of our common stock.</w:t>
      </w:r>
    </w:p>
    <w:p>
      <w:pPr>
        <w:spacing w:after="0" w:line="20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Our only significant asset is ownership of 100% of Atkins Intermediate Holdings, LLC and such ownership may not be sufficient to pay dividends or make distributions or loans to enable us to pay any dividends on our common stock or satisfy our other financial obligations.</w:t>
      </w:r>
    </w:p>
    <w:p>
      <w:pPr>
        <w:spacing w:after="0" w:line="173" w:lineRule="exact"/>
        <w:rPr>
          <w:sz w:val="20"/>
          <w:szCs w:val="20"/>
          <w:color w:val="auto"/>
        </w:rPr>
      </w:pPr>
    </w:p>
    <w:p>
      <w:pPr>
        <w:jc w:val="both"/>
        <w:ind w:firstLine="237"/>
        <w:spacing w:after="0" w:line="254" w:lineRule="auto"/>
        <w:rPr>
          <w:sz w:val="20"/>
          <w:szCs w:val="20"/>
          <w:color w:val="auto"/>
        </w:rPr>
      </w:pPr>
      <w:r>
        <w:rPr>
          <w:rFonts w:ascii="Arial" w:cs="Arial" w:eastAsia="Arial" w:hAnsi="Arial"/>
          <w:sz w:val="18"/>
          <w:szCs w:val="18"/>
          <w:color w:val="auto"/>
        </w:rPr>
        <w:t>We have no direct operations and no significant assets other than the direct ownership of 100% of Atkins Intermediate Holdings, LLC. We currently depend on Atkins Intermediate Holdings, LLC for distributions, loans and other payments to generate the funds necessary to meet our financial obligations and to pay any dividends regarding our common stock. Legal and contractual restrictions in agreements governing our debt arrangements and future indebtedness of Atkins Intermediate Holdings, LLC, and the financial condition and operating requirements of Atkins Intermediate Holdings, LLC, may limit our ability to obtain funds in a timely manner from Atkins Intermediate Holdings, LLC. The earnings from, or other available assets of, Atkins Intermediate Holdings, LLC may not be sufficient to pay dividends, make distributions or loans to enable us to pay any dividends on our common stock, or satisfy our other financial obligations.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Common Stock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w:t>
      </w:r>
    </w:p>
    <w:p>
      <w:pPr>
        <w:spacing w:after="0" w:line="252" w:lineRule="exact"/>
        <w:rPr>
          <w:sz w:val="20"/>
          <w:szCs w:val="20"/>
          <w:color w:val="auto"/>
        </w:rPr>
      </w:pPr>
    </w:p>
    <w:p>
      <w:pPr>
        <w:jc w:val="both"/>
        <w:ind w:firstLine="246"/>
        <w:spacing w:after="0" w:line="254" w:lineRule="auto"/>
        <w:rPr>
          <w:sz w:val="20"/>
          <w:szCs w:val="20"/>
          <w:color w:val="auto"/>
        </w:rPr>
      </w:pPr>
      <w:r>
        <w:rPr>
          <w:rFonts w:ascii="Arial" w:cs="Arial" w:eastAsia="Arial" w:hAnsi="Arial"/>
          <w:sz w:val="18"/>
          <w:szCs w:val="18"/>
          <w:color w:val="auto"/>
        </w:rPr>
        <w:t>Our common stock is traded on the Nasdaq Capital Market (“Nasdaq”). The market price of our common stock has fluctuated in the past and could fluctuate substantially in the future, based on a variety of factors, including future announcements covering us or our key customers or competitors, government regulations, litigation, changes in earnings estimates by analysts, fluctuations in quarterly operating results or general conditions in our industry and may be exacerbated by there having historically been limited trading volume in our common stock. Furthermore, stock prices for many companies fluctuate widely for reasons that may be unrelated to their operating results. Those fluctuations and general economic, political and market conditions, such as recessions or international currency fluctuations and demand for our services, may adversely affect the market price of our common stock.</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the value of our private placement warrants may have an adverse effect on our financial results and the market price for our common stock.</w:t>
      </w:r>
    </w:p>
    <w:p>
      <w:pPr>
        <w:spacing w:after="0" w:line="197" w:lineRule="exact"/>
        <w:rPr>
          <w:sz w:val="20"/>
          <w:szCs w:val="20"/>
          <w:color w:val="auto"/>
        </w:rPr>
      </w:pPr>
    </w:p>
    <w:p>
      <w:pPr>
        <w:jc w:val="both"/>
        <w:ind w:firstLine="258"/>
        <w:spacing w:after="0" w:line="254" w:lineRule="auto"/>
        <w:rPr>
          <w:sz w:val="20"/>
          <w:szCs w:val="20"/>
          <w:color w:val="auto"/>
        </w:rPr>
      </w:pPr>
      <w:r>
        <w:rPr>
          <w:rFonts w:ascii="Arial" w:cs="Arial" w:eastAsia="Arial" w:hAnsi="Arial"/>
          <w:sz w:val="18"/>
          <w:szCs w:val="18"/>
          <w:color w:val="auto"/>
        </w:rPr>
        <w:t>On April 12, 2021, the staff of the SEC released the SEC Statement on the accounting and reporting considerations for warrants issued by SPACs. Specifically, the SEC Statement focused in part on provisions in warrant agreements that provide for potential changes to the settlement amounts dependent upon the characteristics of the warrant holder and informed market participants that warrants issued by SPACs may require classification as a liability of the issuer measured at fair value, with changes in fair value each period reported in earnings. Following consideration of the guidance in the SEC Statement, we reevaluated the accounting treatment of our warrants, which had been classified as equity, and determined to reclassify our Private Warrants as a liability measured at fair value, with changes in fair value each period reported in earnings. Due to the recurring fair value measurement, we expect to recognize non-cash gains or losses on the Private Warrants each reporting period. The amount of these quarterly gains or losses could be material, which may cause quarterly</w:t>
      </w:r>
    </w:p>
    <w:p>
      <w:pPr>
        <w:sectPr>
          <w:pgSz w:w="11900" w:h="16838" w:orient="portrait"/>
          <w:cols w:equalWidth="0" w:num="1">
            <w:col w:w="11240"/>
          </w:cols>
          <w:pgMar w:left="320" w:top="692" w:right="339" w:bottom="1440" w:gutter="0" w:footer="0" w:header="0"/>
        </w:sect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6"/>
          <w:szCs w:val="16"/>
          <w:color w:val="auto"/>
        </w:rPr>
        <w:t>fluctuations in our consolidated financial statements and results of operations that may have an adverse effect on the market price of our common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expect to declare any dividends in the foreseeable future.</w:t>
      </w:r>
    </w:p>
    <w:p>
      <w:pPr>
        <w:spacing w:after="0" w:line="252" w:lineRule="exact"/>
        <w:rPr>
          <w:sz w:val="20"/>
          <w:szCs w:val="20"/>
          <w:color w:val="auto"/>
        </w:rPr>
      </w:pPr>
    </w:p>
    <w:p>
      <w:pPr>
        <w:jc w:val="both"/>
        <w:ind w:firstLine="181"/>
        <w:spacing w:after="0" w:line="263" w:lineRule="auto"/>
        <w:rPr>
          <w:sz w:val="20"/>
          <w:szCs w:val="20"/>
          <w:color w:val="auto"/>
        </w:rPr>
      </w:pPr>
      <w:r>
        <w:rPr>
          <w:rFonts w:ascii="Arial" w:cs="Arial" w:eastAsia="Arial" w:hAnsi="Arial"/>
          <w:sz w:val="18"/>
          <w:szCs w:val="18"/>
          <w:color w:val="auto"/>
        </w:rPr>
        <w:t>We do not anticipate declaring any cash dividends to holders of our common stock in the foreseeable future. Consequently, investors may need to rely on sales of their shares of common stock after the price has appreciated, which may never occur, as the only way to realize any future gains on their investment. Investors seeking cash dividends should not purchase our common stock.</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There may be future sales or other dilution of the Company’s equity, which may adversely affect the market price of our common stock.</w:t>
      </w:r>
    </w:p>
    <w:p>
      <w:pPr>
        <w:spacing w:after="0" w:line="264" w:lineRule="exact"/>
        <w:rPr>
          <w:sz w:val="20"/>
          <w:szCs w:val="20"/>
          <w:color w:val="auto"/>
        </w:rPr>
      </w:pPr>
    </w:p>
    <w:p>
      <w:pPr>
        <w:jc w:val="both"/>
        <w:ind w:firstLine="202"/>
        <w:spacing w:after="0" w:line="254" w:lineRule="auto"/>
        <w:rPr>
          <w:sz w:val="20"/>
          <w:szCs w:val="20"/>
          <w:color w:val="auto"/>
        </w:rPr>
      </w:pPr>
      <w:r>
        <w:rPr>
          <w:rFonts w:ascii="Arial" w:cs="Arial" w:eastAsia="Arial" w:hAnsi="Arial"/>
          <w:sz w:val="18"/>
          <w:szCs w:val="18"/>
          <w:color w:val="auto"/>
        </w:rPr>
        <w:t>We are not generally restricted from issuing additional shares of common stock, or any securities convertible into or exchangeable for, or that represent the right to receive, shares of common stock. Issuing any additional shares of common stock or preferred shares or securities convertible into, exchangeable for or that represent the right to receive shares of common stock or the exercise of such securities could be substantially dilutive to holders of our common stock. Additionally, 6,700,000 warrants to purchase our common stock on a one-for-one basis for an exercise price of $11.50 per share are outstanding. To the extent such warrants are exercised, additional shares of our common stock will be issued, which will cause dilution to our existing stockholders and increase the number of shares eligible for resale in the public market. Sales of substantial numbers of such shares in the public market could adversely affect the market price of our common stock.</w:t>
      </w:r>
    </w:p>
    <w:p>
      <w:pPr>
        <w:spacing w:after="0" w:line="222"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8"/>
          <w:szCs w:val="18"/>
          <w:color w:val="auto"/>
        </w:rPr>
        <w:t>The market price of our common stock could decline because of sales of our common stock made in the future or the perception that such sales could occur. Because our decision to issue securities in any future offering will depend on market conditions and other factors beyond our control, we cannot predict or estimate the amount, timing or nature of future offerings, if any. Thus, our stockholders bear the risk of future offerings reducing the market price of our common stock and diluting their holdings in the Company.</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Anti-takeover provisions in our amended and restated certificate of incorporation and second amended and restated bylaws, and provisions of Delaware law, could impair a takeover attempt.</w:t>
      </w:r>
    </w:p>
    <w:p>
      <w:pPr>
        <w:spacing w:after="0" w:line="197" w:lineRule="exact"/>
        <w:rPr>
          <w:sz w:val="20"/>
          <w:szCs w:val="20"/>
          <w:color w:val="auto"/>
        </w:rPr>
      </w:pPr>
    </w:p>
    <w:p>
      <w:pPr>
        <w:jc w:val="both"/>
        <w:ind w:firstLine="268"/>
        <w:spacing w:after="0" w:line="301" w:lineRule="auto"/>
        <w:rPr>
          <w:sz w:val="20"/>
          <w:szCs w:val="20"/>
          <w:color w:val="auto"/>
        </w:rPr>
      </w:pPr>
      <w:r>
        <w:rPr>
          <w:rFonts w:ascii="Arial" w:cs="Arial" w:eastAsia="Arial" w:hAnsi="Arial"/>
          <w:sz w:val="16"/>
          <w:szCs w:val="16"/>
          <w:color w:val="auto"/>
        </w:rPr>
        <w:t>Our amended and restated certificate of incorporation and second amended and restated bylaws contain provisions that may discourage unsolicited takeover proposals that stockholders may consider to be in their best interests. We are also subject to anti-takeover provisions under Delaware law, which could delay or prevent a change of control. Together these provisions may make the removal of management more difficult and may discourage transactions that otherwise could involve payment of a premium over prevailing market prices for our securities. These provisions include:</w:t>
      </w:r>
    </w:p>
    <w:p>
      <w:pPr>
        <w:spacing w:after="0" w:line="184"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23" w:lineRule="exact"/>
        <w:rPr>
          <w:rFonts w:ascii="Arial" w:cs="Arial" w:eastAsia="Arial" w:hAnsi="Arial"/>
          <w:sz w:val="18"/>
          <w:szCs w:val="18"/>
          <w:color w:val="auto"/>
        </w:rPr>
      </w:pPr>
    </w:p>
    <w:p>
      <w:pPr>
        <w:ind w:left="660" w:hanging="328"/>
        <w:spacing w:after="0" w:line="265" w:lineRule="auto"/>
        <w:tabs>
          <w:tab w:leader="none" w:pos="6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right of our board of directors to elect a director to fill a vacancy created by the expansion of the board of directors or the resignation, death, or removal of a director in certain circumstances, which prevents stockholders from filling vacancies on our board of directors;</w:t>
      </w:r>
    </w:p>
    <w:p>
      <w:pPr>
        <w:jc w:val="both"/>
        <w:ind w:left="66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of our board of directors to determine whether to issue shares of our preferred stock and to determine the price and other terms of those shares, including preferences and voting rights, without stockholder approval, which could be used to significantly dilute the ownership of a hostile acquirer;</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jc w:val="both"/>
        <w:ind w:left="66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prohibition on stockholders calling a special meeting, which forces stockholder action to be taken at an annual meeting of our stockholders or at a special meeting of our stockholders called by the chairman of the board or the chief executive officer pursuant to a resolution adopted by a majority of the board of directors;</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requirement that a meeting of stockholders may be called only by the board of directors, which may delay the ability of our stockholders to force consideration of a proposal or to take action, including the removal of directors;</w:t>
      </w:r>
    </w:p>
    <w:p>
      <w:pPr>
        <w:ind w:left="66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providing that directors may be removed prior to the expiration of their terms by stockholders only for cause and upon the affirmative vote of a majority of the voting power of all outstanding shares of the combined company; and,</w:t>
      </w:r>
    </w:p>
    <w:p>
      <w:pPr>
        <w:jc w:val="both"/>
        <w:ind w:left="660" w:hanging="328"/>
        <w:spacing w:after="0" w:line="255"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the Company.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Risks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Disruptions in the worldwide economy may materially and adversely affect our business, financial condition and results of operations.</w:t>
      </w:r>
    </w:p>
    <w:p>
      <w:pPr>
        <w:spacing w:after="0" w:line="264" w:lineRule="exact"/>
        <w:rPr>
          <w:sz w:val="20"/>
          <w:szCs w:val="20"/>
          <w:color w:val="auto"/>
        </w:rPr>
      </w:pPr>
    </w:p>
    <w:p>
      <w:pPr>
        <w:ind w:firstLine="186"/>
        <w:spacing w:after="0" w:line="277" w:lineRule="auto"/>
        <w:rPr>
          <w:sz w:val="20"/>
          <w:szCs w:val="20"/>
          <w:color w:val="auto"/>
        </w:rPr>
      </w:pPr>
      <w:r>
        <w:rPr>
          <w:rFonts w:ascii="Arial" w:cs="Arial" w:eastAsia="Arial" w:hAnsi="Arial"/>
          <w:sz w:val="18"/>
          <w:szCs w:val="18"/>
          <w:color w:val="auto"/>
        </w:rPr>
        <w:t>Adverse and uncertain economic conditions, such as those caused by COVID-19, may affect distributor, retailer and consumer demand for our products. In addition, our ability to manage normal commercial relationships with our suppliers, contract manufacturers,</w:t>
      </w:r>
    </w:p>
    <w:p>
      <w:pPr>
        <w:sectPr>
          <w:pgSz w:w="11900" w:h="16838" w:orient="portrait"/>
          <w:cols w:equalWidth="0" w:num="1">
            <w:col w:w="11240"/>
          </w:cols>
          <w:pgMar w:left="320" w:top="692" w:right="339" w:bottom="1440" w:gutter="0" w:footer="0" w:header="0"/>
        </w:sect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32" w:name="page33"/>
    <w:bookmarkEnd w:id="32"/>
    <w:p>
      <w:pPr>
        <w:jc w:val="both"/>
        <w:spacing w:after="0" w:line="289" w:lineRule="auto"/>
        <w:rPr>
          <w:sz w:val="20"/>
          <w:szCs w:val="20"/>
          <w:color w:val="auto"/>
        </w:rPr>
      </w:pPr>
      <w:r>
        <w:rPr>
          <w:rFonts w:ascii="Arial" w:cs="Arial" w:eastAsia="Arial" w:hAnsi="Arial"/>
          <w:sz w:val="16"/>
          <w:szCs w:val="16"/>
          <w:color w:val="auto"/>
        </w:rPr>
        <w:t>distributors, retailers, consumers and creditors may suffer. Consumers may shift purchases to lower-priced or other perceived value offerings during economic downturns, making it more difficult to sell our premium products. Due to the relative costs of our products, during economic downturns, it may be more difficult to convince consumers to switch to or continue to use our brands or convince new users to choose our brands without expensive sampling programs and price promotions. In particular, consumers may reduce their purchases of products without GMOs, gluten or preservatives when there are conventional offerings of similar products, which generally have lower retail prices. In addition, consumers may choose to purchase private-label products rather than branded products because they are generally less expensive. Distributors and retailers may become more conservative in their ordering in response to these conditions and seek to reduce their inventories. Our results of operations depend on, among other things, our ability to maintain and increase sales volume with our existing distributors and retailers, to attract new consumers and to provide products that appeal to consumers at prices they are willing and able to pay. Prolonged unfavorable economic conditions may have an adverse effect on our sales and profitability.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expose us to regulatory, economic, political and social risks in the countries in which we operate.</w:t>
      </w:r>
    </w:p>
    <w:p>
      <w:pPr>
        <w:spacing w:after="0" w:line="252" w:lineRule="exact"/>
        <w:rPr>
          <w:sz w:val="20"/>
          <w:szCs w:val="20"/>
          <w:color w:val="auto"/>
        </w:rPr>
      </w:pPr>
    </w:p>
    <w:p>
      <w:pPr>
        <w:jc w:val="both"/>
        <w:ind w:firstLine="197"/>
        <w:spacing w:after="0" w:line="254" w:lineRule="auto"/>
        <w:rPr>
          <w:sz w:val="20"/>
          <w:szCs w:val="20"/>
          <w:color w:val="auto"/>
        </w:rPr>
      </w:pPr>
      <w:r>
        <w:rPr>
          <w:rFonts w:ascii="Arial" w:cs="Arial" w:eastAsia="Arial" w:hAnsi="Arial"/>
          <w:sz w:val="18"/>
          <w:szCs w:val="18"/>
          <w:color w:val="auto"/>
        </w:rPr>
        <w:t>The international nature of our operations involves several risks, including changes in U.S. and foreign regulations, tariffs, taxes and exchange controls, economic downturns, inflation and political and social instability in the countries in which we operate and our dependence on foreign personnel. Moreover, although our products in our foreign operations typically mirror those in the United States, consumers outside the United States may have different tastes, preferences and nutritional approaches than U.S. consumers. Our international business is small compared to our U.S. business, and as a result, our operations are more spread out which can add to our costs and limit our ability to react effectively and timely to adverse events. We cannot be certain that we can enter and successfully compete in additional foreign markets or that we can continue to compete in the foreign markets in which we currently operate.</w:t>
      </w:r>
    </w:p>
    <w:p>
      <w:pPr>
        <w:spacing w:after="0" w:line="222" w:lineRule="exact"/>
        <w:rPr>
          <w:sz w:val="20"/>
          <w:szCs w:val="20"/>
          <w:color w:val="auto"/>
        </w:rPr>
      </w:pPr>
    </w:p>
    <w:p>
      <w:pPr>
        <w:jc w:val="both"/>
        <w:ind w:firstLine="211"/>
        <w:spacing w:after="0" w:line="290" w:lineRule="auto"/>
        <w:rPr>
          <w:sz w:val="20"/>
          <w:szCs w:val="20"/>
          <w:color w:val="auto"/>
        </w:rPr>
      </w:pPr>
      <w:r>
        <w:rPr>
          <w:rFonts w:ascii="Arial" w:cs="Arial" w:eastAsia="Arial" w:hAnsi="Arial"/>
          <w:sz w:val="16"/>
          <w:szCs w:val="16"/>
          <w:color w:val="auto"/>
        </w:rPr>
        <w:t>Doing business outside the United States requires us to comply with the laws and regulations of the U.S. government and various foreign jurisdictions, which place restrictions on our operations, trade practices, partners and investment decisions. In particular, our operations are subject to U.S. and foreign anti-corruption and trade control laws and regulations, such as the FCPA or the Bribery Act, export controls and economic sanctions programs, including those administered by the OFAC and the EU. Because of doing business in foreign countries and with foreign partners, we are exposed to a heightened risk of violating anti-corruption and trade control laws and sanctions regulations. The FCPA prohibits us from providing anything of value to foreign officials for the purposes of obtaining or retaining business or securing any improper business advantage. In addition, the Bribery Act extends beyond bribery of foreign public officials and also applies to transactions with private persons. The provisions of the Bribery Act are also more onerous than the FCPA in several other respects, including jurisdictional reach, non-exemption of facilitation payments and, potentially, penalties.</w:t>
      </w:r>
    </w:p>
    <w:p>
      <w:pPr>
        <w:spacing w:after="0" w:line="192" w:lineRule="exact"/>
        <w:rPr>
          <w:sz w:val="20"/>
          <w:szCs w:val="20"/>
          <w:color w:val="auto"/>
        </w:rPr>
      </w:pPr>
    </w:p>
    <w:p>
      <w:pPr>
        <w:jc w:val="both"/>
        <w:ind w:firstLine="276"/>
        <w:spacing w:after="0" w:line="257" w:lineRule="auto"/>
        <w:rPr>
          <w:sz w:val="20"/>
          <w:szCs w:val="20"/>
          <w:color w:val="auto"/>
        </w:rPr>
      </w:pPr>
      <w:r>
        <w:rPr>
          <w:rFonts w:ascii="Arial" w:cs="Arial" w:eastAsia="Arial" w:hAnsi="Arial"/>
          <w:sz w:val="18"/>
          <w:szCs w:val="18"/>
          <w:color w:val="auto"/>
        </w:rPr>
        <w:t>Our continued expansion outside the United States, including in developing countries, and our development of new partnerships and joint venture relationships worldwide, could increase the risk of FCPA, OFAC, Bribery Act or EU sanctions violations in the future. Violations of anti-corruption and trade control laws and sanctions regulations may cause reputational damage and are punishable by civil penalties, including fines, denial of export privileges, injunctions, asset seizures, debarment from government contracts and revocations or restrictions of licenses, and criminal fines and imprisonment.</w:t>
      </w:r>
    </w:p>
    <w:p>
      <w:pPr>
        <w:spacing w:after="0" w:line="215" w:lineRule="exact"/>
        <w:rPr>
          <w:sz w:val="20"/>
          <w:szCs w:val="20"/>
          <w:color w:val="auto"/>
        </w:rPr>
      </w:pPr>
    </w:p>
    <w:p>
      <w:pPr>
        <w:jc w:val="both"/>
        <w:ind w:firstLine="199"/>
        <w:spacing w:after="0" w:line="311" w:lineRule="auto"/>
        <w:rPr>
          <w:sz w:val="20"/>
          <w:szCs w:val="20"/>
          <w:color w:val="auto"/>
        </w:rPr>
      </w:pPr>
      <w:r>
        <w:rPr>
          <w:rFonts w:ascii="Arial" w:cs="Arial" w:eastAsia="Arial" w:hAnsi="Arial"/>
          <w:sz w:val="16"/>
          <w:szCs w:val="16"/>
          <w:color w:val="auto"/>
        </w:rPr>
        <w:t>Finally, our business could be negatively affected by changes in the U.S. and Canadian political environments, in particular. We operate primarily in the U.S. and Canada and we ship a large number of products between the U.S. and Canada. Adverse changes to trade agreements, import or export regulations, customs duties or tariffs by either or both governments may have a negative effect on our business, financial conditions and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international operations expose us to fluctuations in exchange rates, which may materially and adversely affect our operating results.</w:t>
      </w:r>
    </w:p>
    <w:p>
      <w:pPr>
        <w:spacing w:after="0" w:line="264" w:lineRule="exact"/>
        <w:rPr>
          <w:sz w:val="20"/>
          <w:szCs w:val="20"/>
          <w:color w:val="auto"/>
        </w:rPr>
      </w:pPr>
    </w:p>
    <w:p>
      <w:pPr>
        <w:jc w:val="both"/>
        <w:ind w:firstLine="249"/>
        <w:spacing w:after="0" w:line="259" w:lineRule="auto"/>
        <w:rPr>
          <w:sz w:val="20"/>
          <w:szCs w:val="20"/>
          <w:color w:val="auto"/>
        </w:rPr>
      </w:pPr>
      <w:r>
        <w:rPr>
          <w:rFonts w:ascii="Arial" w:cs="Arial" w:eastAsia="Arial" w:hAnsi="Arial"/>
          <w:sz w:val="18"/>
          <w:szCs w:val="18"/>
          <w:color w:val="auto"/>
        </w:rPr>
        <w:t>We source large quantities of our core ingredients from foreign suppliers, and as a result, any material upward movement in foreign exchange rates relative to the U.S. dollar will adversely affect our profitability. Furthermore, the substantial majority of our revenue is generated domestically, while a substantial portion of our third-party manufacturing is completed in Canada. Any U.S. dollar weakness may therefore materially and adversely affect revenue and cash flows while also increasing supply and manufacturing costs.</w:t>
      </w:r>
    </w:p>
    <w:p>
      <w:pPr>
        <w:spacing w:after="0" w:line="21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that, to the extent allowed by law, the doctrine of “corporate opportunity” does not apply with respect to the directors, officers, employees or representatives of Conyers Park Sponsor, LLC (“Conyers Park Sponsor</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Centerview Capital Holdings LLC (“Centerview Capital”) and Centerview Partners and their respective affiliates, excepted as provided below.</w:t>
      </w:r>
    </w:p>
    <w:p>
      <w:pPr>
        <w:spacing w:after="0" w:line="176" w:lineRule="exact"/>
        <w:rPr>
          <w:sz w:val="20"/>
          <w:szCs w:val="20"/>
          <w:color w:val="auto"/>
        </w:rPr>
      </w:pPr>
    </w:p>
    <w:p>
      <w:pPr>
        <w:jc w:val="both"/>
        <w:ind w:firstLine="181"/>
        <w:spacing w:after="0" w:line="257" w:lineRule="auto"/>
        <w:rPr>
          <w:sz w:val="20"/>
          <w:szCs w:val="20"/>
          <w:color w:val="auto"/>
        </w:rPr>
      </w:pPr>
      <w:r>
        <w:rPr>
          <w:rFonts w:ascii="Arial" w:cs="Arial" w:eastAsia="Arial" w:hAnsi="Arial"/>
          <w:sz w:val="18"/>
          <w:szCs w:val="18"/>
          <w:color w:val="auto"/>
        </w:rPr>
        <w:t>The doctrine of corporate opportunity generally provides that a corporate fiduciary may not develop an opportunity using corporate resources,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directors or other fiduciaries from personally benefiting from opportunities that belong to the corporation. Our</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3" w:name="page34"/>
    <w:bookmarkEnd w:id="33"/>
    <w:p>
      <w:pPr>
        <w:jc w:val="both"/>
        <w:spacing w:after="0" w:line="272" w:lineRule="auto"/>
        <w:rPr>
          <w:sz w:val="20"/>
          <w:szCs w:val="20"/>
          <w:color w:val="auto"/>
        </w:rPr>
      </w:pPr>
      <w:r>
        <w:rPr>
          <w:rFonts w:ascii="Arial" w:cs="Arial" w:eastAsia="Arial" w:hAnsi="Arial"/>
          <w:sz w:val="17"/>
          <w:szCs w:val="17"/>
          <w:color w:val="auto"/>
        </w:rPr>
        <w:t>amended and restated certificate of incorporation provides that, to the extent allowed by law, the doctrine of “corporate opportunity” does not apply with respect to the directors, officers, employees or representatives of Conyers Park Sponsor, Centerview Capital and Centerview Partners and their respective affiliates. The doctrine of corporate opportunity shall apply with respect to any of our directors or officers with respect to a corporate opportunity that was offered in writing to such person solely in his or her capacity as our director or officer and such opportunity is one which they are legally and contractually permitted to undertake and would otherwise be reasonable for us to pursue. Therefore, except as provided above, these parties have no duty to communicate or present corporate opportunities to us, and have the right to either hold any corporate opportunity for their (and their affiliates’) own account and benefit or to recommend, assign or otherwise transfer such corporate opportunity to persons other than us.</w:t>
      </w:r>
    </w:p>
    <w:p>
      <w:pPr>
        <w:spacing w:after="0" w:line="204" w:lineRule="exact"/>
        <w:rPr>
          <w:sz w:val="20"/>
          <w:szCs w:val="20"/>
          <w:color w:val="auto"/>
        </w:rPr>
      </w:pPr>
    </w:p>
    <w:p>
      <w:pPr>
        <w:jc w:val="both"/>
        <w:ind w:firstLine="209"/>
        <w:spacing w:after="0" w:line="259" w:lineRule="auto"/>
        <w:rPr>
          <w:sz w:val="20"/>
          <w:szCs w:val="20"/>
          <w:color w:val="auto"/>
        </w:rPr>
      </w:pPr>
      <w:r>
        <w:rPr>
          <w:rFonts w:ascii="Arial" w:cs="Arial" w:eastAsia="Arial" w:hAnsi="Arial"/>
          <w:sz w:val="18"/>
          <w:szCs w:val="18"/>
          <w:color w:val="auto"/>
        </w:rPr>
        <w:t>As a result, certain of our stockholders, directors and their respective affiliates are not prohibited from operating or investing in competing businesses. We therefore may find ourselves in competition with certain of our stockholders, directors or their respective affiliates, and we may not know of, or be able to pursue, transactions that could potentially be beneficial to us. Accordingly, we may lose a corporate opportunity or suffer competitive harm, which could negatively affect our business or prospects.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51" w:lineRule="exact"/>
        <w:rPr>
          <w:sz w:val="20"/>
          <w:szCs w:val="20"/>
          <w:color w:val="auto"/>
        </w:rPr>
      </w:pPr>
    </w:p>
    <w:p>
      <w:pPr>
        <w:jc w:val="both"/>
        <w:ind w:firstLine="204"/>
        <w:spacing w:after="0" w:line="239" w:lineRule="auto"/>
        <w:rPr>
          <w:sz w:val="20"/>
          <w:szCs w:val="20"/>
          <w:color w:val="auto"/>
        </w:rPr>
      </w:pPr>
      <w:r>
        <w:rPr>
          <w:rFonts w:ascii="Arial" w:cs="Arial" w:eastAsia="Arial" w:hAnsi="Arial"/>
          <w:sz w:val="18"/>
          <w:szCs w:val="18"/>
          <w:color w:val="auto"/>
        </w:rPr>
        <w:t>Our corporate headquarters is located at 1225 17</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Street, Suite 1000, Denver, CO 80202. We lease this property, which occupies approximately 27,600 square feet. In addition, we lease or otherwise have rights to use office space and storage space in El Segundo, California, Louisville, Colorado, Bentonville metro-area, Arkansas, and Naples, Florida. We also lease three distribution centers, all in Greenfield, Indiana. We utilize over 1.35 million square feet of floor space among our distribution centers.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56" w:lineRule="exact"/>
        <w:rPr>
          <w:sz w:val="20"/>
          <w:szCs w:val="20"/>
          <w:color w:val="auto"/>
        </w:rPr>
      </w:pPr>
    </w:p>
    <w:p>
      <w:pPr>
        <w:jc w:val="both"/>
        <w:ind w:firstLine="269"/>
        <w:spacing w:after="0" w:line="263" w:lineRule="auto"/>
        <w:rPr>
          <w:sz w:val="20"/>
          <w:szCs w:val="20"/>
          <w:color w:val="auto"/>
        </w:rPr>
      </w:pPr>
      <w:r>
        <w:rPr>
          <w:rFonts w:ascii="Arial" w:cs="Arial" w:eastAsia="Arial" w:hAnsi="Arial"/>
          <w:sz w:val="18"/>
          <w:szCs w:val="18"/>
          <w:color w:val="auto"/>
        </w:rPr>
        <w:t>From time to time, we have been and may again become involved in legal proceedings arising in the ordinary course of our business. We are not presently a party to any litigation that we believe to be material and we are not aware of any pending or threatened litigation against us that we believe could have a material adverse effect on our business, operating results, financial condition or cash flows.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and Holders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Our common stock is currently quoted on the Nasdaq Capital Market under the symbol “SMPL.”</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As of October 20, 2021, there were 95,834,960 shares outstanding and 15 record holders of our common stock.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56" w:lineRule="exact"/>
        <w:rPr>
          <w:sz w:val="20"/>
          <w:szCs w:val="20"/>
          <w:color w:val="auto"/>
        </w:rPr>
      </w:pPr>
    </w:p>
    <w:p>
      <w:pPr>
        <w:jc w:val="both"/>
        <w:ind w:firstLine="195"/>
        <w:spacing w:after="0" w:line="257" w:lineRule="auto"/>
        <w:rPr>
          <w:sz w:val="20"/>
          <w:szCs w:val="20"/>
          <w:color w:val="auto"/>
        </w:rPr>
      </w:pPr>
      <w:r>
        <w:rPr>
          <w:rFonts w:ascii="Arial" w:cs="Arial" w:eastAsia="Arial" w:hAnsi="Arial"/>
          <w:sz w:val="18"/>
          <w:szCs w:val="18"/>
          <w:color w:val="auto"/>
        </w:rPr>
        <w:t>We currently do not pay dividends and have not paid any cash dividends on our common stock to date. We currently intend to retain our future earnings to finance the development and expansion of our business and as such, we do not expect to pay any cash dividends on our common stock in the foreseeable future. The payment of future dividends, if any, will be at the discretion of our Board of Directors and will depend on our financial condition, results of operations, capital requirements, restrictions contained in current and/or future financing instruments, provisions of applicable law, and any other factors our Board of Directors deems relevant.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56" w:lineRule="exact"/>
        <w:rPr>
          <w:sz w:val="20"/>
          <w:szCs w:val="20"/>
          <w:color w:val="auto"/>
        </w:rPr>
      </w:pPr>
    </w:p>
    <w:p>
      <w:pPr>
        <w:jc w:val="both"/>
        <w:ind w:firstLine="234"/>
        <w:spacing w:after="0" w:line="255" w:lineRule="auto"/>
        <w:rPr>
          <w:sz w:val="20"/>
          <w:szCs w:val="20"/>
          <w:color w:val="auto"/>
        </w:rPr>
      </w:pPr>
      <w:r>
        <w:rPr>
          <w:rFonts w:ascii="Arial" w:cs="Arial" w:eastAsia="Arial" w:hAnsi="Arial"/>
          <w:sz w:val="18"/>
          <w:szCs w:val="18"/>
          <w:color w:val="auto"/>
        </w:rPr>
        <w:t>On November 13, 2018, the Company announced that its Board of Directors had adopted a $50.0 million stock repurchase program. Under the stock repurchase program, the Company may repurchase shares from time to time in the open market or in privately negotiated transactions. The stock repurchase program does not obligate the Company to acquire any specific number of shares or acquire shares over any specific period of time. The stock repurchase program may be suspended or discontinued at any time by the Company, and does not have an expiration date. During the fifty-two weeks ended August 28, 2021, the Company did not repurchase any shares of common stock. As of August 28, 2021, approximately $47.9 million remained available under the stock repurchase program.</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Performance Graph</w:t>
      </w:r>
    </w:p>
    <w:p>
      <w:pPr>
        <w:spacing w:after="0" w:line="256" w:lineRule="exact"/>
        <w:rPr>
          <w:sz w:val="20"/>
          <w:szCs w:val="20"/>
          <w:color w:val="auto"/>
        </w:rPr>
      </w:pPr>
    </w:p>
    <w:p>
      <w:pPr>
        <w:jc w:val="both"/>
        <w:ind w:firstLine="177"/>
        <w:spacing w:after="0" w:line="259" w:lineRule="auto"/>
        <w:rPr>
          <w:sz w:val="20"/>
          <w:szCs w:val="20"/>
          <w:color w:val="auto"/>
        </w:rPr>
      </w:pPr>
      <w:r>
        <w:rPr>
          <w:rFonts w:ascii="Arial" w:cs="Arial" w:eastAsia="Arial" w:hAnsi="Arial"/>
          <w:sz w:val="18"/>
          <w:szCs w:val="18"/>
          <w:color w:val="auto"/>
        </w:rPr>
        <w:t>The following stock performance graph compares the outstanding stock from issuance of SMPL, July 10, 2017, through August 27, 2021 (the last trading day of our fiscal year ended August 28, 2021), and the cumulative total stockholder return for (i) Company’s common stock, (ii) the Standard &amp; Poor’s 500 Index, and (iii) the Standard &amp; Poor’s 500 Packaged Foods &amp; Meats Index. The graph assumes the value of the investment in our common stock and each index was $100.00 on July 10, 2017 and assumes reinvestment of any dividends.</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stock price performance below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6377940" cy="3566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377940" cy="3566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920" w:type="dxa"/>
        <w:tblCellMar>
          <w:top w:w="0" w:type="dxa"/>
          <w:left w:w="0" w:type="dxa"/>
          <w:bottom w:w="0" w:type="dxa"/>
          <w:right w:w="0" w:type="dxa"/>
        </w:tblCellMar>
      </w:tblPr>
      <w:tr>
        <w:trPr>
          <w:trHeight w:val="188"/>
        </w:trPr>
        <w:tc>
          <w:tcPr>
            <w:tcW w:w="2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color w:val="auto"/>
              </w:rPr>
              <w:t>Annual Return Percentage</w:t>
            </w:r>
          </w:p>
        </w:tc>
        <w:tc>
          <w:tcPr>
            <w:tcW w:w="3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color w:val="auto"/>
              </w:rPr>
              <w:t>Fiscal Years Ending</w:t>
            </w:r>
          </w:p>
        </w:tc>
        <w:tc>
          <w:tcPr>
            <w:tcW w:w="4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Company Name / Index</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93"/>
              </w:rPr>
              <w:t>July 10, 2017</w:t>
            </w:r>
          </w:p>
        </w:tc>
        <w:tc>
          <w:tcPr>
            <w:tcW w:w="14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6"/>
              </w:rPr>
              <w:t>August 26, 2017</w:t>
            </w:r>
          </w:p>
        </w:tc>
        <w:tc>
          <w:tcPr>
            <w:tcW w:w="14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color w:val="auto"/>
                <w:w w:val="96"/>
              </w:rPr>
              <w:t>August 25, 2018</w:t>
            </w:r>
          </w:p>
        </w:tc>
        <w:tc>
          <w:tcPr>
            <w:tcW w:w="12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8"/>
              </w:rPr>
              <w:t>August 31, 2019</w:t>
            </w:r>
          </w:p>
        </w:tc>
        <w:tc>
          <w:tcPr>
            <w:tcW w:w="14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8"/>
              </w:rPr>
              <w:t>August 29, 2020</w:t>
            </w:r>
          </w:p>
        </w:tc>
        <w:tc>
          <w:tcPr>
            <w:tcW w:w="14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color w:val="auto"/>
                <w:w w:val="96"/>
              </w:rPr>
              <w:t>August 28, 2021</w:t>
            </w:r>
          </w:p>
        </w:tc>
        <w:tc>
          <w:tcPr>
            <w:tcW w:w="0" w:type="dxa"/>
            <w:vAlign w:val="bottom"/>
          </w:tcPr>
          <w:p>
            <w:pPr>
              <w:spacing w:after="0"/>
              <w:rPr>
                <w:sz w:val="1"/>
                <w:szCs w:val="1"/>
                <w:color w:val="auto"/>
              </w:rPr>
            </w:pPr>
          </w:p>
        </w:tc>
      </w:tr>
      <w:tr>
        <w:trPr>
          <w:trHeight w:val="256"/>
        </w:trPr>
        <w:tc>
          <w:tcPr>
            <w:tcW w:w="2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The Simply Good Foods Company</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100.0</w:t>
            </w:r>
          </w:p>
        </w:tc>
        <w:tc>
          <w:tcPr>
            <w:tcW w:w="14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99.0</w:t>
            </w: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149.8</w:t>
            </w: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246.9</w:t>
            </w:r>
          </w:p>
        </w:tc>
        <w:tc>
          <w:tcPr>
            <w:tcW w:w="14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211.6</w:t>
            </w:r>
          </w:p>
        </w:tc>
        <w:tc>
          <w:tcPr>
            <w:tcW w:w="14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294.6</w:t>
            </w:r>
          </w:p>
        </w:tc>
        <w:tc>
          <w:tcPr>
            <w:tcW w:w="0" w:type="dxa"/>
            <w:vAlign w:val="bottom"/>
          </w:tcPr>
          <w:p>
            <w:pPr>
              <w:spacing w:after="0"/>
              <w:rPr>
                <w:sz w:val="1"/>
                <w:szCs w:val="1"/>
                <w:color w:val="auto"/>
              </w:rPr>
            </w:pPr>
          </w:p>
        </w:tc>
      </w:tr>
      <w:tr>
        <w:trPr>
          <w:trHeight w:val="264"/>
        </w:trPr>
        <w:tc>
          <w:tcPr>
            <w:tcW w:w="2300" w:type="dxa"/>
            <w:vAlign w:val="bottom"/>
            <w:gridSpan w:val="2"/>
          </w:tcPr>
          <w:p>
            <w:pPr>
              <w:ind w:left="20"/>
              <w:spacing w:after="0"/>
              <w:rPr>
                <w:sz w:val="20"/>
                <w:szCs w:val="20"/>
                <w:color w:val="auto"/>
              </w:rPr>
            </w:pPr>
            <w:r>
              <w:rPr>
                <w:rFonts w:ascii="Arial" w:cs="Arial" w:eastAsia="Arial" w:hAnsi="Arial"/>
                <w:sz w:val="14"/>
                <w:szCs w:val="14"/>
                <w:color w:val="auto"/>
              </w:rPr>
              <w:t>S&amp;P 500 Index</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100.0</w:t>
            </w:r>
          </w:p>
        </w:tc>
        <w:tc>
          <w:tcPr>
            <w:tcW w:w="140" w:type="dxa"/>
            <w:vAlign w:val="bottom"/>
          </w:tcPr>
          <w:p>
            <w:pPr>
              <w:spacing w:after="0"/>
              <w:rPr>
                <w:sz w:val="22"/>
                <w:szCs w:val="22"/>
                <w:color w:val="auto"/>
              </w:rPr>
            </w:pP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100.6</w:t>
            </w:r>
          </w:p>
        </w:tc>
        <w:tc>
          <w:tcPr>
            <w:tcW w:w="140" w:type="dxa"/>
            <w:vAlign w:val="bottom"/>
          </w:tcPr>
          <w:p>
            <w:pPr>
              <w:spacing w:after="0"/>
              <w:rPr>
                <w:sz w:val="22"/>
                <w:szCs w:val="22"/>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118.4</w:t>
            </w:r>
          </w:p>
        </w:tc>
        <w:tc>
          <w:tcPr>
            <w:tcW w:w="120" w:type="dxa"/>
            <w:vAlign w:val="bottom"/>
          </w:tcPr>
          <w:p>
            <w:pPr>
              <w:spacing w:after="0"/>
              <w:rPr>
                <w:sz w:val="22"/>
                <w:szCs w:val="22"/>
                <w:color w:val="auto"/>
              </w:rPr>
            </w:pPr>
          </w:p>
        </w:tc>
        <w:tc>
          <w:tcPr>
            <w:tcW w:w="600" w:type="dxa"/>
            <w:vAlign w:val="bottom"/>
          </w:tcPr>
          <w:p>
            <w:pPr>
              <w:jc w:val="right"/>
              <w:ind w:right="448"/>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120.6</w:t>
            </w:r>
          </w:p>
        </w:tc>
        <w:tc>
          <w:tcPr>
            <w:tcW w:w="140" w:type="dxa"/>
            <w:vAlign w:val="bottom"/>
          </w:tcPr>
          <w:p>
            <w:pPr>
              <w:spacing w:after="0"/>
              <w:rPr>
                <w:sz w:val="22"/>
                <w:szCs w:val="22"/>
                <w:color w:val="auto"/>
              </w:rPr>
            </w:pP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144.5</w:t>
            </w:r>
          </w:p>
        </w:tc>
        <w:tc>
          <w:tcPr>
            <w:tcW w:w="140" w:type="dxa"/>
            <w:vAlign w:val="bottom"/>
          </w:tcPr>
          <w:p>
            <w:pPr>
              <w:spacing w:after="0"/>
              <w:rPr>
                <w:sz w:val="22"/>
                <w:szCs w:val="22"/>
                <w:color w:val="auto"/>
              </w:rPr>
            </w:pP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185.8</w:t>
            </w:r>
          </w:p>
        </w:tc>
        <w:tc>
          <w:tcPr>
            <w:tcW w:w="0" w:type="dxa"/>
            <w:vAlign w:val="bottom"/>
          </w:tcPr>
          <w:p>
            <w:pPr>
              <w:spacing w:after="0"/>
              <w:rPr>
                <w:sz w:val="1"/>
                <w:szCs w:val="1"/>
                <w:color w:val="auto"/>
              </w:rPr>
            </w:pPr>
          </w:p>
        </w:tc>
      </w:tr>
      <w:tr>
        <w:trPr>
          <w:trHeight w:val="141"/>
        </w:trPr>
        <w:tc>
          <w:tcPr>
            <w:tcW w:w="2300" w:type="dxa"/>
            <w:vAlign w:val="bottom"/>
            <w:gridSpan w:val="2"/>
            <w:shd w:val="clear" w:color="auto" w:fill="CCEEFF"/>
          </w:tcPr>
          <w:p>
            <w:pPr>
              <w:ind w:left="20"/>
              <w:spacing w:after="0" w:line="141" w:lineRule="exact"/>
              <w:rPr>
                <w:sz w:val="20"/>
                <w:szCs w:val="20"/>
                <w:color w:val="auto"/>
              </w:rPr>
            </w:pPr>
            <w:r>
              <w:rPr>
                <w:rFonts w:ascii="Arial" w:cs="Arial" w:eastAsia="Arial" w:hAnsi="Arial"/>
                <w:sz w:val="14"/>
                <w:szCs w:val="14"/>
                <w:color w:val="auto"/>
              </w:rPr>
              <w:t>S&amp;P 500 Packaged Foods &amp; Meats</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100.0</w:t>
            </w:r>
          </w:p>
        </w:tc>
        <w:tc>
          <w:tcPr>
            <w:tcW w:w="14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6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99.5</w:t>
            </w:r>
          </w:p>
        </w:tc>
        <w:tc>
          <w:tcPr>
            <w:tcW w:w="14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94.3</w:t>
            </w: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448"/>
              <w:spacing w:after="0"/>
              <w:rPr>
                <w:sz w:val="20"/>
                <w:szCs w:val="20"/>
                <w:color w:val="auto"/>
              </w:rPr>
            </w:pPr>
            <w:r>
              <w:rPr>
                <w:rFonts w:ascii="Arial" w:cs="Arial" w:eastAsia="Arial" w:hAnsi="Arial"/>
                <w:sz w:val="14"/>
                <w:szCs w:val="14"/>
                <w:color w:val="auto"/>
                <w:w w:val="76"/>
              </w:rPr>
              <w:t>$</w:t>
            </w:r>
          </w:p>
        </w:tc>
        <w:tc>
          <w:tcPr>
            <w:tcW w:w="4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101.4</w:t>
            </w:r>
          </w:p>
        </w:tc>
        <w:tc>
          <w:tcPr>
            <w:tcW w:w="14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7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109.8</w:t>
            </w:r>
          </w:p>
        </w:tc>
        <w:tc>
          <w:tcPr>
            <w:tcW w:w="14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7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109.5</w:t>
            </w:r>
          </w:p>
        </w:tc>
        <w:tc>
          <w:tcPr>
            <w:tcW w:w="0" w:type="dxa"/>
            <w:vAlign w:val="bottom"/>
          </w:tcPr>
          <w:p>
            <w:pPr>
              <w:spacing w:after="0"/>
              <w:rPr>
                <w:sz w:val="1"/>
                <w:szCs w:val="1"/>
                <w:color w:val="auto"/>
              </w:rPr>
            </w:pPr>
          </w:p>
        </w:tc>
      </w:tr>
      <w:tr>
        <w:trPr>
          <w:trHeight w:val="189"/>
        </w:trPr>
        <w:tc>
          <w:tcPr>
            <w:tcW w:w="2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Index</w:t>
            </w:r>
          </w:p>
        </w:tc>
        <w:tc>
          <w:tcPr>
            <w:tcW w:w="120" w:type="dxa"/>
            <w:vAlign w:val="bottom"/>
            <w:vMerge w:val="continue"/>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48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56" w:lineRule="exact"/>
        <w:rPr>
          <w:sz w:val="20"/>
          <w:szCs w:val="20"/>
          <w:color w:val="auto"/>
        </w:rPr>
      </w:pPr>
    </w:p>
    <w:p>
      <w:pPr>
        <w:jc w:val="both"/>
        <w:ind w:firstLine="180"/>
        <w:spacing w:after="0" w:line="272"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Consolidated Financial Statements and related notes included in Item 8 of this Report. In addition to historical information, the following discussion contains forward-looking statements, including, but not limited to, statements regarding the Company’s expectation for future performance, liquidity and capital resources that involve risks, uncertainties and assumptions that could cause actual results to differ materially from the Company’s expectations. The Company’s actual results may differ materially from those contained in or implied by any forward-looking statements. Factors that could cause such differences include those identified below and those described in “Cautionary Note Regarding Forward-Looking Statements,” and in Item 1A “Risk Factors” of this Report. The Company assumes no obligation to update any of these forward-looking statements.</w:t>
      </w:r>
    </w:p>
    <w:p>
      <w:pPr>
        <w:spacing w:after="0" w:line="204" w:lineRule="exact"/>
        <w:rPr>
          <w:sz w:val="20"/>
          <w:szCs w:val="20"/>
          <w:color w:val="auto"/>
        </w:rPr>
      </w:pPr>
    </w:p>
    <w:p>
      <w:pPr>
        <w:jc w:val="both"/>
        <w:ind w:firstLine="220"/>
        <w:spacing w:after="0" w:line="257" w:lineRule="auto"/>
        <w:rPr>
          <w:sz w:val="20"/>
          <w:szCs w:val="20"/>
          <w:color w:val="auto"/>
        </w:rPr>
      </w:pPr>
      <w:r>
        <w:rPr>
          <w:rFonts w:ascii="Arial" w:cs="Arial" w:eastAsia="Arial" w:hAnsi="Arial"/>
          <w:sz w:val="18"/>
          <w:szCs w:val="18"/>
          <w:i w:val="1"/>
          <w:iCs w:val="1"/>
          <w:color w:val="auto"/>
        </w:rPr>
        <w:t>Our fiscal year ends the last Saturday in August. Our fiscal years 2021 and 2020 ended August 28, 2021 and August 29, 2020, respectively, and were each fifty-two week periods. Our fiscal year 2019 ended August 31, 2019 was a fifty-three week period. Our fiscal quarters are comprised of thirteen weeks each, except for fifty-three week fiscal periods for the which the fourth quarter is comprised of fourteen weeks, and end on the thirteenth Saturday of each quarter (fourteenth Saturday of the fourth quarter, when applicable). Our fiscal quarters for fiscal 2021 ended on November 28, 2020, February 27, 2021, May 29, 2021 and August 28, 2021.</w:t>
      </w:r>
    </w:p>
    <w:p>
      <w:pPr>
        <w:spacing w:after="0" w:line="215" w:lineRule="exact"/>
        <w:rPr>
          <w:sz w:val="20"/>
          <w:szCs w:val="20"/>
          <w:color w:val="auto"/>
        </w:rPr>
      </w:pPr>
    </w:p>
    <w:p>
      <w:pPr>
        <w:ind w:right="60" w:firstLine="180"/>
        <w:spacing w:after="0" w:line="277" w:lineRule="auto"/>
        <w:rPr>
          <w:sz w:val="20"/>
          <w:szCs w:val="20"/>
          <w:color w:val="auto"/>
        </w:rPr>
      </w:pPr>
      <w:r>
        <w:rPr>
          <w:rFonts w:ascii="Arial" w:cs="Arial" w:eastAsia="Arial" w:hAnsi="Arial"/>
          <w:sz w:val="18"/>
          <w:szCs w:val="18"/>
          <w:i w:val="1"/>
          <w:iCs w:val="1"/>
          <w:color w:val="auto"/>
        </w:rPr>
        <w:t>Unless the context requires otherwise in this Report, the terms “we,” “us,” “our,” the “Company” and “Simply Good Foods” refer to The Simply Good Foods Company and its subsidiaries.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firstLine="189"/>
        <w:spacing w:after="0" w:line="257" w:lineRule="auto"/>
        <w:rPr>
          <w:sz w:val="20"/>
          <w:szCs w:val="20"/>
          <w:color w:val="auto"/>
        </w:rPr>
      </w:pPr>
      <w:r>
        <w:rPr>
          <w:rFonts w:ascii="Arial" w:cs="Arial" w:eastAsia="Arial" w:hAnsi="Arial"/>
          <w:sz w:val="18"/>
          <w:szCs w:val="18"/>
          <w:color w:val="auto"/>
        </w:rPr>
        <w:t>The Simply Good Foods Company is a consumer packaged food and beverage company that aims to lead the nutritious snacking movement with trusted brands that offer a variety of convenient, innovative, great-tasting, better-for-you snacks and meal replacements. The product portfolio we develop, market and sell consists primarily of protein bars, ready-to-drink (“RTD”) shakes, sweet and salty snacks and confectionery products marketed under the Atkins®, Atkins Endulge®, and Quest® brand names. We believe Simply Good Foods is poised to expand its wellness platform through innovation and organic growth along with acquisition opportunities in the nutritional snacking space.</w:t>
      </w:r>
    </w:p>
    <w:p>
      <w:pPr>
        <w:spacing w:after="0" w:line="215" w:lineRule="exact"/>
        <w:rPr>
          <w:sz w:val="20"/>
          <w:szCs w:val="20"/>
          <w:color w:val="auto"/>
        </w:rPr>
      </w:pPr>
    </w:p>
    <w:p>
      <w:pPr>
        <w:jc w:val="both"/>
        <w:ind w:firstLine="215"/>
        <w:spacing w:after="0" w:line="275" w:lineRule="auto"/>
        <w:rPr>
          <w:sz w:val="20"/>
          <w:szCs w:val="20"/>
          <w:color w:val="auto"/>
        </w:rPr>
      </w:pPr>
      <w:r>
        <w:rPr>
          <w:rFonts w:ascii="Arial" w:cs="Arial" w:eastAsia="Arial" w:hAnsi="Arial"/>
          <w:sz w:val="17"/>
          <w:szCs w:val="17"/>
          <w:color w:val="auto"/>
        </w:rPr>
        <w:t>Our nutritious snacking platform consists of brands that specialize in providing products for consumers that follow certain nutritional philosophies and health-and-wellness trends: Atkins® for those following a low-carb lifestyle and Quest® for consumers seeking a variety of protein-rich foods and beverages that also limit sugars and simple carbs. We distribute our products in major retail channels, primarily in North America, including grocery, club, and mass merchandise, as well as through e-commerce, convenience, specialty, and other channels. Our portfolio of nutritious snacking brands gives us a strong platform with which to introduce new products, expand distribution, and attract new consumers to our products.</w:t>
      </w:r>
    </w:p>
    <w:p>
      <w:pPr>
        <w:spacing w:after="0" w:line="203" w:lineRule="exact"/>
        <w:rPr>
          <w:sz w:val="20"/>
          <w:szCs w:val="20"/>
          <w:color w:val="auto"/>
        </w:rPr>
      </w:pPr>
    </w:p>
    <w:p>
      <w:pPr>
        <w:jc w:val="both"/>
        <w:ind w:firstLine="248"/>
        <w:spacing w:after="0" w:line="263" w:lineRule="auto"/>
        <w:rPr>
          <w:sz w:val="20"/>
          <w:szCs w:val="20"/>
          <w:color w:val="auto"/>
        </w:rPr>
      </w:pPr>
      <w:r>
        <w:rPr>
          <w:rFonts w:ascii="Arial" w:cs="Arial" w:eastAsia="Arial" w:hAnsi="Arial"/>
          <w:sz w:val="18"/>
          <w:szCs w:val="18"/>
          <w:color w:val="auto"/>
        </w:rPr>
        <w:t>In November 2019, we completed the acquisition of Quest Nutrition, LLC (“Quest”), a healthy lifestyle food company, for a cash purchase price of approximately $1.0 billion (subject to customary adjustments) (the “Quest Acquisition”). For more information, please see “Liquidity and Capital Resources—Quest Acquisition.”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COVID-19</w:t>
      </w:r>
    </w:p>
    <w:p>
      <w:pPr>
        <w:spacing w:after="0" w:line="256" w:lineRule="exact"/>
        <w:rPr>
          <w:sz w:val="20"/>
          <w:szCs w:val="20"/>
          <w:color w:val="auto"/>
        </w:rPr>
      </w:pPr>
    </w:p>
    <w:p>
      <w:pPr>
        <w:jc w:val="both"/>
        <w:ind w:firstLine="282"/>
        <w:spacing w:after="0" w:line="287" w:lineRule="auto"/>
        <w:rPr>
          <w:sz w:val="20"/>
          <w:szCs w:val="20"/>
          <w:color w:val="auto"/>
        </w:rPr>
      </w:pPr>
      <w:r>
        <w:rPr>
          <w:rFonts w:ascii="Arial" w:cs="Arial" w:eastAsia="Arial" w:hAnsi="Arial"/>
          <w:sz w:val="16"/>
          <w:szCs w:val="16"/>
          <w:color w:val="auto"/>
        </w:rPr>
        <w:t>Our consolidated results of operations for the fiscal year ended August 28, 2021 continued to be affected by the significant changes in consumer shopping and consumption behavior patterns due to COVID-19 which had begun during our third quarter in fiscal 2020. Our business did improve during the course of fiscal year 2021, driven by increasing consumer mobility and improving shopper traffic in brick and mortar retailers versus the prior periods that were pressured by COVID-19 movement restrictions. We believe there is a high correlation of consumer mobility to the consumption of our products. As shopper traffic within brick and mortar retailers improves, particularly in the mass and convenience store channels, and as consumers spend more time away from home, our business, particularly bars, performs well. There is still uncertainty related to the sustainability of improving consumer mobility and shopping trips observed in the second half of fiscal year 2021. While our Quest brand has outperformed its portion of the nutritious snacking segment, the performance of our Atkins brand, which is part of the weight management portion of the market, has improved at a slower rate. However, the Atkins brand performance for the fifty-two weeks ended August 28, 2021 has improved during the course of fiscal year 2021, primarily due to increasing consumer mobility and improving shopper traffic in brick and mortar retailers. During fiscal year 2022, we expect our business performance will continue to be correlated primarily to the level of consumer mobility, which includes the rate at which consumers return to working outside the home.</w:t>
      </w:r>
    </w:p>
    <w:p>
      <w:pPr>
        <w:spacing w:after="0" w:line="199" w:lineRule="exact"/>
        <w:rPr>
          <w:sz w:val="20"/>
          <w:szCs w:val="20"/>
          <w:color w:val="auto"/>
        </w:rPr>
      </w:pPr>
    </w:p>
    <w:p>
      <w:pPr>
        <w:jc w:val="both"/>
        <w:ind w:firstLine="271"/>
        <w:spacing w:after="0" w:line="259" w:lineRule="auto"/>
        <w:rPr>
          <w:sz w:val="20"/>
          <w:szCs w:val="20"/>
          <w:color w:val="auto"/>
        </w:rPr>
      </w:pPr>
      <w:r>
        <w:rPr>
          <w:rFonts w:ascii="Arial" w:cs="Arial" w:eastAsia="Arial" w:hAnsi="Arial"/>
          <w:sz w:val="18"/>
          <w:szCs w:val="18"/>
          <w:color w:val="auto"/>
        </w:rPr>
        <w:t>Beginning in the third quarter of 2020, we actively engaged with the various elements of our value chain, including our retail customers, contract manufacturers, and logistics and transportation providers, to meet demand for our products and to remain informed of any challenges within our value chain. In the fourth quarter of 2020 and continuing into fiscal year 2021, consumer consumption habits became steadier, however inventory levels remain variable. Based on information available to us as of the date of this Report, we believe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7" w:name="page38"/>
    <w:bookmarkEnd w:id="37"/>
    <w:p>
      <w:pPr>
        <w:jc w:val="both"/>
        <w:spacing w:after="0" w:line="279" w:lineRule="auto"/>
        <w:rPr>
          <w:sz w:val="20"/>
          <w:szCs w:val="20"/>
          <w:color w:val="auto"/>
        </w:rPr>
      </w:pPr>
      <w:r>
        <w:rPr>
          <w:rFonts w:ascii="Arial" w:cs="Arial" w:eastAsia="Arial" w:hAnsi="Arial"/>
          <w:sz w:val="17"/>
          <w:szCs w:val="17"/>
          <w:color w:val="auto"/>
        </w:rPr>
        <w:t>we will be able to deliver our products to meet customer orders on a timely basis, and therefore, we expect our products will continue to be available for purchase to meet consumer meal replacement and snacking needs for the foreseeable future. We continue to monitor customer and consumer demand along with our logistics capabilities to deliver products to our retail customers on a timely and consistent basis, and intend to adapt our plans as needed to continue to drive our business and meet our obligations during the continuing and evolving COVID-19 situation.</w:t>
      </w:r>
    </w:p>
    <w:p>
      <w:pPr>
        <w:spacing w:after="0" w:line="198" w:lineRule="exact"/>
        <w:rPr>
          <w:sz w:val="20"/>
          <w:szCs w:val="20"/>
          <w:color w:val="auto"/>
        </w:rPr>
      </w:pPr>
    </w:p>
    <w:p>
      <w:pPr>
        <w:jc w:val="both"/>
        <w:ind w:firstLine="190"/>
        <w:spacing w:after="0" w:line="273" w:lineRule="auto"/>
        <w:rPr>
          <w:sz w:val="20"/>
          <w:szCs w:val="20"/>
          <w:color w:val="auto"/>
        </w:rPr>
      </w:pPr>
      <w:r>
        <w:rPr>
          <w:rFonts w:ascii="Arial" w:cs="Arial" w:eastAsia="Arial" w:hAnsi="Arial"/>
          <w:sz w:val="17"/>
          <w:szCs w:val="17"/>
          <w:color w:val="auto"/>
        </w:rPr>
        <w:t>We remain uncertain of the ultimate effect COVID-19 could have on our business notwithstanding the distribution of several U.S. government approved vaccines and the easing of movement restrictions. This uncertainty stems from the potential for, among other things, (i) the presence of current mutations of COVID-19 which have resulted in increased rates of reported cases for which currently approved vaccines are not as effective along with the possibility of future mutations occurring for which current approved vaccines are less effective, (ii) unexpected supply chain disruptions, including disruptions resulting from labor shortages or other human capital challenges, (iii) changes to customer operations, (iv) a reversal in recently improving consumer purchasing and consumption behavior, and (v) the closure of customer establishments.</w:t>
      </w:r>
    </w:p>
    <w:p>
      <w:pPr>
        <w:spacing w:after="0" w:line="205" w:lineRule="exact"/>
        <w:rPr>
          <w:sz w:val="20"/>
          <w:szCs w:val="20"/>
          <w:color w:val="auto"/>
        </w:rPr>
      </w:pPr>
    </w:p>
    <w:p>
      <w:pPr>
        <w:ind w:left="180"/>
        <w:spacing w:after="0"/>
        <w:rPr>
          <w:sz w:val="20"/>
          <w:szCs w:val="20"/>
          <w:color w:val="auto"/>
        </w:rPr>
      </w:pPr>
      <w:r>
        <w:rPr>
          <w:rFonts w:ascii="Arial" w:cs="Arial" w:eastAsia="Arial" w:hAnsi="Arial"/>
          <w:sz w:val="17"/>
          <w:szCs w:val="17"/>
          <w:color w:val="auto"/>
        </w:rPr>
        <w:t>Please also see the information under Item 1A. “Risk Factors” for additional information regarding the risks of pandemics, such as COVID-19.</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and Related Charges</w:t>
      </w:r>
    </w:p>
    <w:p>
      <w:pPr>
        <w:spacing w:after="0" w:line="256" w:lineRule="exact"/>
        <w:rPr>
          <w:sz w:val="20"/>
          <w:szCs w:val="20"/>
          <w:color w:val="auto"/>
        </w:rPr>
      </w:pPr>
    </w:p>
    <w:p>
      <w:pPr>
        <w:jc w:val="both"/>
        <w:ind w:firstLine="185"/>
        <w:spacing w:after="0" w:line="259" w:lineRule="auto"/>
        <w:rPr>
          <w:sz w:val="20"/>
          <w:szCs w:val="20"/>
          <w:color w:val="auto"/>
        </w:rPr>
      </w:pPr>
      <w:r>
        <w:rPr>
          <w:rFonts w:ascii="Arial" w:cs="Arial" w:eastAsia="Arial" w:hAnsi="Arial"/>
          <w:sz w:val="18"/>
          <w:szCs w:val="18"/>
          <w:color w:val="auto"/>
        </w:rPr>
        <w:t>In May 2020, we announced certain restructuring activities in conjunction with the implementation of our future-state organization design, which created a fully integrated organization with our completed Quest Acquisition. The new organization design became effective on August 31, 2020. These restructuring plans primarily include workforce reductions, changes in management structure, and the relocation of business activities from one location to another.</w:t>
      </w:r>
    </w:p>
    <w:p>
      <w:pPr>
        <w:spacing w:after="0" w:line="214" w:lineRule="exact"/>
        <w:rPr>
          <w:sz w:val="20"/>
          <w:szCs w:val="20"/>
          <w:color w:val="auto"/>
        </w:rPr>
      </w:pPr>
    </w:p>
    <w:p>
      <w:pPr>
        <w:jc w:val="both"/>
        <w:ind w:firstLine="301"/>
        <w:spacing w:after="0" w:line="254" w:lineRule="auto"/>
        <w:rPr>
          <w:sz w:val="20"/>
          <w:szCs w:val="20"/>
          <w:color w:val="auto"/>
        </w:rPr>
      </w:pPr>
      <w:r>
        <w:rPr>
          <w:rFonts w:ascii="Arial" w:cs="Arial" w:eastAsia="Arial" w:hAnsi="Arial"/>
          <w:sz w:val="18"/>
          <w:szCs w:val="18"/>
          <w:color w:val="auto"/>
        </w:rPr>
        <w:t xml:space="preserve">For the fifty-two weeks ended August 28, 2021 and August 29, 2020, we incurred a total of $4.3 million and $5.5 million in restructuring and restructuring-related costs, respectively, which have been included within </w:t>
      </w:r>
      <w:r>
        <w:rPr>
          <w:rFonts w:ascii="Arial" w:cs="Arial" w:eastAsia="Arial" w:hAnsi="Arial"/>
          <w:sz w:val="18"/>
          <w:szCs w:val="18"/>
          <w:i w:val="1"/>
          <w:iCs w:val="1"/>
          <w:color w:val="auto"/>
        </w:rPr>
        <w:t>General and administrative</w:t>
      </w:r>
      <w:r>
        <w:rPr>
          <w:rFonts w:ascii="Arial" w:cs="Arial" w:eastAsia="Arial" w:hAnsi="Arial"/>
          <w:sz w:val="18"/>
          <w:szCs w:val="18"/>
          <w:color w:val="auto"/>
        </w:rPr>
        <w:t xml:space="preserve"> on the Consolidated Statements of Operations and Comprehensive Income (Loss). Since the restructuring activities were announced in May 2020, we have incurred aggregate restructuring and restructuring-related costs of $9.8 million. Overall, we expect to incur a total of approximately $10.1 million in restructuring and restructuring-related costs, including the $9.8 million previously incurred, and the balance of which will be paid through the second quarter of fiscal year 2022. As of August 28, 2021, the outstanding restructuring liability was $0.9 million. Refer to Note 17, Restructuring and Related Charges, of our Consolidated Financial Statements included herein for additional information regarding restructuring activities.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SimplyProtein Sale</w:t>
      </w:r>
    </w:p>
    <w:p>
      <w:pPr>
        <w:spacing w:after="0" w:line="256" w:lineRule="exact"/>
        <w:rPr>
          <w:sz w:val="20"/>
          <w:szCs w:val="20"/>
          <w:color w:val="auto"/>
        </w:rPr>
      </w:pPr>
    </w:p>
    <w:p>
      <w:pPr>
        <w:jc w:val="both"/>
        <w:ind w:firstLine="290"/>
        <w:spacing w:after="0" w:line="255" w:lineRule="auto"/>
        <w:rPr>
          <w:sz w:val="20"/>
          <w:szCs w:val="20"/>
          <w:color w:val="auto"/>
        </w:rPr>
      </w:pPr>
      <w:r>
        <w:rPr>
          <w:rFonts w:ascii="Arial" w:cs="Arial" w:eastAsia="Arial" w:hAnsi="Arial"/>
          <w:sz w:val="18"/>
          <w:szCs w:val="18"/>
          <w:color w:val="auto"/>
        </w:rPr>
        <w:t>Effective September 24, 2020, we sold the assets exclusively related to our SimplyProtein® brand of products for approximately $8.8 million of consideration, including cash of $5.8 million and a note receivable for $3.0 million, to a newly formed entity led by the Company’s former Canadian-based management team who had been responsible for this brand prior to the sale transaction (the “SimplyProtein Sale”). In addition to purchasing these assets, the buyer assumed certain liabilities related to the SimplyProtein® brand’s business. There was no gain or loss recognized as a result of the SimplyProtein Sale. The transaction has enabled our management to focus its full time and resources on our core Atkins® and Quest® branded businesses and other strategic initiatives.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Supply Chain</w:t>
      </w:r>
    </w:p>
    <w:p>
      <w:pPr>
        <w:spacing w:after="0" w:line="256" w:lineRule="exact"/>
        <w:rPr>
          <w:sz w:val="20"/>
          <w:szCs w:val="20"/>
          <w:color w:val="auto"/>
        </w:rPr>
      </w:pPr>
    </w:p>
    <w:p>
      <w:pPr>
        <w:jc w:val="both"/>
        <w:ind w:firstLine="218"/>
        <w:spacing w:after="0" w:line="263" w:lineRule="auto"/>
        <w:rPr>
          <w:sz w:val="20"/>
          <w:szCs w:val="20"/>
          <w:color w:val="auto"/>
        </w:rPr>
      </w:pPr>
      <w:r>
        <w:rPr>
          <w:rFonts w:ascii="Arial" w:cs="Arial" w:eastAsia="Arial" w:hAnsi="Arial"/>
          <w:sz w:val="18"/>
          <w:szCs w:val="18"/>
          <w:color w:val="auto"/>
        </w:rPr>
        <w:t>We expect higher raw material and freight costs in fiscal year 2022. In June 2021, management notified our customers of our plans to institute a price increase effective in September 2021, the first month of our fiscal year 2022. Management believes the price increase and productivity initiatives will enable us to continue to invest in projects that drive growth.</w:t>
      </w:r>
    </w:p>
    <w:p>
      <w:pPr>
        <w:spacing w:after="0" w:line="197" w:lineRule="exact"/>
        <w:rPr>
          <w:sz w:val="20"/>
          <w:szCs w:val="20"/>
          <w:color w:val="auto"/>
        </w:rPr>
      </w:pPr>
    </w:p>
    <w:p>
      <w:pPr>
        <w:jc w:val="both"/>
        <w:ind w:firstLine="205"/>
        <w:spacing w:after="0" w:line="228" w:lineRule="auto"/>
        <w:rPr>
          <w:sz w:val="20"/>
          <w:szCs w:val="20"/>
          <w:color w:val="auto"/>
        </w:rPr>
      </w:pPr>
      <w:r>
        <w:rPr>
          <w:rFonts w:ascii="Arial" w:cs="Arial" w:eastAsia="Arial" w:hAnsi="Arial"/>
          <w:sz w:val="18"/>
          <w:szCs w:val="18"/>
          <w:color w:val="auto"/>
        </w:rPr>
        <w:t>We have begun to see logistics challenges, which we believe have contributed to lower retail and e-commerce sales of our products due to out-of-stock situations, delayed recognition of sales and higher than historical inventory levels. In addition, we could experience additional lost sale opportunities at our retail and e-commerce customers if our products are not available for purchase as a result of disruptions in our supply chain relating to an inability to obtain ingredients or packaging, labor challenges at our logistics providers or our contract manufacturers, or if our customers experience delays in stocking our products.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Reportable Segment</w:t>
      </w:r>
    </w:p>
    <w:p>
      <w:pPr>
        <w:spacing w:after="0" w:line="256" w:lineRule="exact"/>
        <w:rPr>
          <w:sz w:val="20"/>
          <w:szCs w:val="20"/>
          <w:color w:val="auto"/>
        </w:rPr>
      </w:pPr>
    </w:p>
    <w:p>
      <w:pPr>
        <w:jc w:val="both"/>
        <w:ind w:firstLine="209"/>
        <w:spacing w:after="0" w:line="259" w:lineRule="auto"/>
        <w:rPr>
          <w:sz w:val="20"/>
          <w:szCs w:val="20"/>
          <w:color w:val="auto"/>
        </w:rPr>
      </w:pPr>
      <w:r>
        <w:rPr>
          <w:rFonts w:ascii="Arial" w:cs="Arial" w:eastAsia="Arial" w:hAnsi="Arial"/>
          <w:sz w:val="18"/>
          <w:szCs w:val="18"/>
          <w:color w:val="auto"/>
        </w:rPr>
        <w:t>Following the Quest Acquisition, our operations are organized into two operating segments, Atkins and Quest, which are aggregated into one reporting segment, due to similar financial, economic and operating characteristics. The operating segments are also similar in the following areas: (a) the nature of the products; (b) the nature of the production processes; (c) the methods used to distribute products to customers, (d) the type of customer for the products, and (e) the nature of the regulatory environment.</w:t>
      </w:r>
    </w:p>
    <w:p>
      <w:pPr>
        <w:sectPr>
          <w:pgSz w:w="11900" w:h="16838" w:orient="portrait"/>
          <w:cols w:equalWidth="0" w:num="1">
            <w:col w:w="11240"/>
          </w:cols>
          <w:pgMar w:left="320" w:top="692"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Key Financial Definitions</w:t>
      </w:r>
    </w:p>
    <w:p>
      <w:pPr>
        <w:spacing w:after="0" w:line="252" w:lineRule="exact"/>
        <w:rPr>
          <w:sz w:val="20"/>
          <w:szCs w:val="20"/>
          <w:color w:val="auto"/>
        </w:rPr>
      </w:pPr>
    </w:p>
    <w:p>
      <w:pPr>
        <w:jc w:val="both"/>
        <w:ind w:firstLine="261"/>
        <w:spacing w:after="0" w:line="282" w:lineRule="auto"/>
        <w:rPr>
          <w:sz w:val="20"/>
          <w:szCs w:val="20"/>
          <w:color w:val="auto"/>
        </w:rPr>
      </w:pPr>
      <w:r>
        <w:rPr>
          <w:rFonts w:ascii="Arial" w:cs="Arial" w:eastAsia="Arial" w:hAnsi="Arial"/>
          <w:sz w:val="18"/>
          <w:szCs w:val="18"/>
          <w:b w:val="1"/>
          <w:bCs w:val="1"/>
          <w:color w:val="auto"/>
        </w:rPr>
        <w:t xml:space="preserve">Net sales. </w:t>
      </w:r>
      <w:r>
        <w:rPr>
          <w:rFonts w:ascii="Arial" w:cs="Arial" w:eastAsia="Arial" w:hAnsi="Arial"/>
          <w:sz w:val="18"/>
          <w:szCs w:val="18"/>
          <w:color w:val="auto"/>
        </w:rPr>
        <w:t>Net sales consist primarily of product sales less the cost of promotional activities, slotting fees and other sales credits and adjustments,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product returns.</w:t>
      </w:r>
    </w:p>
    <w:p>
      <w:pPr>
        <w:spacing w:after="0" w:line="189" w:lineRule="exact"/>
        <w:rPr>
          <w:sz w:val="20"/>
          <w:szCs w:val="20"/>
          <w:color w:val="auto"/>
        </w:rPr>
      </w:pPr>
    </w:p>
    <w:p>
      <w:pPr>
        <w:jc w:val="both"/>
        <w:ind w:firstLine="180"/>
        <w:spacing w:after="0" w:line="261" w:lineRule="auto"/>
        <w:rPr>
          <w:sz w:val="20"/>
          <w:szCs w:val="20"/>
          <w:color w:val="auto"/>
        </w:rPr>
      </w:pPr>
      <w:r>
        <w:rPr>
          <w:rFonts w:ascii="Arial" w:cs="Arial" w:eastAsia="Arial" w:hAnsi="Arial"/>
          <w:sz w:val="18"/>
          <w:szCs w:val="18"/>
          <w:b w:val="1"/>
          <w:bCs w:val="1"/>
          <w:color w:val="auto"/>
        </w:rPr>
        <w:t xml:space="preserve">Cost of goods sold. </w:t>
      </w:r>
      <w:r>
        <w:rPr>
          <w:rFonts w:ascii="Arial" w:cs="Arial" w:eastAsia="Arial" w:hAnsi="Arial"/>
          <w:sz w:val="18"/>
          <w:szCs w:val="18"/>
          <w:color w:val="auto"/>
        </w:rPr>
        <w:t>Cost of goods sold consists primarily of the costs we pay to our contract manufacturing partners to produce the products sold. These</w:t>
      </w:r>
      <w:r>
        <w:rPr>
          <w:rFonts w:ascii="Arial" w:cs="Arial" w:eastAsia="Arial" w:hAnsi="Arial"/>
          <w:sz w:val="18"/>
          <w:szCs w:val="18"/>
          <w:b w:val="1"/>
          <w:bCs w:val="1"/>
          <w:color w:val="auto"/>
        </w:rPr>
        <w:t xml:space="preserve"> </w:t>
      </w:r>
      <w:r>
        <w:rPr>
          <w:rFonts w:ascii="Arial" w:cs="Arial" w:eastAsia="Arial" w:hAnsi="Arial"/>
          <w:sz w:val="18"/>
          <w:szCs w:val="18"/>
          <w:color w:val="auto"/>
        </w:rPr>
        <w:t>costs include the purchase of raw ingredients, packaging, shipping and handling, warehousing, depreciation of warehouse equipment, and a tolling charge for the contract manufacturer. Cost of goods sold includes products provided at no charge as part of promotions and the non-food materials provided with customer orders.</w:t>
      </w:r>
    </w:p>
    <w:p>
      <w:pPr>
        <w:spacing w:after="0" w:line="207" w:lineRule="exact"/>
        <w:rPr>
          <w:sz w:val="20"/>
          <w:szCs w:val="20"/>
          <w:color w:val="auto"/>
        </w:rPr>
      </w:pPr>
    </w:p>
    <w:p>
      <w:pPr>
        <w:jc w:val="both"/>
        <w:ind w:firstLine="247"/>
        <w:spacing w:after="0" w:line="282" w:lineRule="auto"/>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Operating expenses consist primarily of selling and marketing, general and administrative, depreciation and amortization,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transaction costs. The following is a brief description of the components of operating expenses:</w:t>
      </w:r>
    </w:p>
    <w:p>
      <w:pPr>
        <w:spacing w:after="0" w:line="193"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Selling and marketing. </w:t>
      </w:r>
      <w:r>
        <w:rPr>
          <w:rFonts w:ascii="Arial" w:cs="Arial" w:eastAsia="Arial" w:hAnsi="Arial"/>
          <w:sz w:val="16"/>
          <w:szCs w:val="16"/>
          <w:color w:val="auto"/>
        </w:rPr>
        <w:t>Selling and marketing expenses comprise broker commissions, customer marketing, media and other marketing costs.</w:t>
      </w:r>
    </w:p>
    <w:p>
      <w:pPr>
        <w:spacing w:after="0" w:line="140" w:lineRule="exact"/>
        <w:rPr>
          <w:rFonts w:ascii="Arial" w:cs="Arial" w:eastAsia="Arial" w:hAnsi="Arial"/>
          <w:sz w:val="16"/>
          <w:szCs w:val="16"/>
          <w:color w:val="auto"/>
        </w:rPr>
      </w:pPr>
    </w:p>
    <w:p>
      <w:pPr>
        <w:jc w:val="both"/>
        <w:ind w:left="660" w:hanging="328"/>
        <w:spacing w:after="0" w:line="263"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comprise expenses associated with corporate and administrative functions that</w:t>
      </w:r>
      <w:r>
        <w:rPr>
          <w:rFonts w:ascii="Arial" w:cs="Arial" w:eastAsia="Arial" w:hAnsi="Arial"/>
          <w:sz w:val="18"/>
          <w:szCs w:val="18"/>
          <w:i w:val="1"/>
          <w:iCs w:val="1"/>
          <w:color w:val="auto"/>
        </w:rPr>
        <w:t xml:space="preserve"> </w:t>
      </w:r>
      <w:r>
        <w:rPr>
          <w:rFonts w:ascii="Arial" w:cs="Arial" w:eastAsia="Arial" w:hAnsi="Arial"/>
          <w:sz w:val="18"/>
          <w:szCs w:val="18"/>
          <w:color w:val="auto"/>
        </w:rPr>
        <w:t>support our business, including employee compensation, stock-based compensation, professional services, integration costs, restructuring costs, insurance and other general corporate expenses.</w:t>
      </w:r>
    </w:p>
    <w:p>
      <w:pPr>
        <w:spacing w:after="0" w:line="7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costs consist of costs associated with the depreciation of fixed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capitalized leasehold improvements and amortization of intangible assets.</w:t>
      </w:r>
    </w:p>
    <w:p>
      <w:pPr>
        <w:spacing w:after="0" w:line="62" w:lineRule="exact"/>
        <w:rPr>
          <w:rFonts w:ascii="Arial" w:cs="Arial" w:eastAsia="Arial" w:hAnsi="Arial"/>
          <w:sz w:val="18"/>
          <w:szCs w:val="18"/>
          <w:i w:val="1"/>
          <w:iCs w:val="1"/>
          <w:color w:val="auto"/>
        </w:rPr>
      </w:pPr>
    </w:p>
    <w:p>
      <w:pPr>
        <w:ind w:left="660" w:hanging="328"/>
        <w:spacing w:after="0" w:line="277" w:lineRule="auto"/>
        <w:tabs>
          <w:tab w:leader="none" w:pos="655"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Business transaction costs. </w:t>
      </w:r>
      <w:r>
        <w:rPr>
          <w:rFonts w:ascii="Arial" w:cs="Arial" w:eastAsia="Arial" w:hAnsi="Arial"/>
          <w:sz w:val="18"/>
          <w:szCs w:val="18"/>
          <w:color w:val="auto"/>
        </w:rPr>
        <w:t>Business transaction costs comprise legal, due diligence, consulting and accounting firm expenses associated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process of actively pursuing potential and completed business combinations, including the Quest Acquisition.</w:t>
      </w:r>
    </w:p>
    <w:p>
      <w:pPr>
        <w:spacing w:after="0" w:line="62" w:lineRule="exact"/>
        <w:rPr>
          <w:rFonts w:ascii="Arial" w:cs="Arial" w:eastAsia="Arial" w:hAnsi="Arial"/>
          <w:sz w:val="18"/>
          <w:szCs w:val="18"/>
          <w:i w:val="1"/>
          <w:iCs w:val="1"/>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Loss on impairment</w:t>
      </w:r>
      <w:r>
        <w:rPr>
          <w:rFonts w:ascii="Arial" w:cs="Arial" w:eastAsia="Arial" w:hAnsi="Arial"/>
          <w:sz w:val="18"/>
          <w:szCs w:val="18"/>
          <w:color w:val="auto"/>
        </w:rPr>
        <w:t>. Loss on impairment consists of impairment charges related to our brand intangible asset.</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ind w:firstLine="238"/>
        <w:spacing w:after="0" w:line="273" w:lineRule="auto"/>
        <w:rPr>
          <w:sz w:val="20"/>
          <w:szCs w:val="20"/>
          <w:color w:val="auto"/>
        </w:rPr>
      </w:pPr>
      <w:r>
        <w:rPr>
          <w:rFonts w:ascii="Arial" w:cs="Arial" w:eastAsia="Arial" w:hAnsi="Arial"/>
          <w:sz w:val="17"/>
          <w:szCs w:val="17"/>
          <w:color w:val="auto"/>
        </w:rPr>
        <w:t>Sales and earnings growth improved during fiscal year 2021 as compared to fiscal year 2020 primarily as a result of increased consumer mobility in fiscal year 2021 as compared to the prior fiscal year, which experienced stricter COVID-19 movement restrictions, performance of new products and product forms released during fiscal year 2021 as well as Quest’s full-year inclusion in our results of operations in fiscal year 2021 as compared to Quest’s partial inclusion in our results of operations in the prior fiscal year due to the timing of the Quest Acquisition closing. As consumer foot traffic within brick and mortar retailers improved during fiscal year 2021, particularly in the mass and convenience store channels, our business did well. Strong sales growth and cost controls around general and administrative costs more than offset higher marketing and employee-related costs.</w:t>
      </w:r>
    </w:p>
    <w:p>
      <w:pPr>
        <w:spacing w:after="0" w:line="205" w:lineRule="exact"/>
        <w:rPr>
          <w:sz w:val="20"/>
          <w:szCs w:val="20"/>
          <w:color w:val="auto"/>
        </w:rPr>
      </w:pPr>
    </w:p>
    <w:p>
      <w:pPr>
        <w:jc w:val="both"/>
        <w:ind w:firstLine="259"/>
        <w:spacing w:after="0" w:line="259" w:lineRule="auto"/>
        <w:rPr>
          <w:sz w:val="20"/>
          <w:szCs w:val="20"/>
          <w:color w:val="auto"/>
        </w:rPr>
      </w:pPr>
      <w:r>
        <w:rPr>
          <w:rFonts w:ascii="Arial" w:cs="Arial" w:eastAsia="Arial" w:hAnsi="Arial"/>
          <w:sz w:val="18"/>
          <w:szCs w:val="18"/>
          <w:color w:val="auto"/>
        </w:rPr>
        <w:t>In assessing the performance of our business, we consider a number of key performance indicators used by management and typically used by our competitors, including the non-GAAP measure of Adjusted EBITDA. Because not all companies use identical calculations, this presentation of Adjusted EBITDA may not be comparable to other similarly titled measures of other companies. See “Reconciliation of EBITDA and Adjusted EBITDA” below for a reconciliation of Adjusted EBITDA to net income for each applicable period.</w:t>
      </w:r>
    </w:p>
    <w:p>
      <w:pPr>
        <w:spacing w:after="0" w:line="214" w:lineRule="exact"/>
        <w:rPr>
          <w:sz w:val="20"/>
          <w:szCs w:val="20"/>
          <w:color w:val="auto"/>
        </w:rPr>
      </w:pPr>
    </w:p>
    <w:p>
      <w:pPr>
        <w:jc w:val="both"/>
        <w:ind w:firstLine="187"/>
        <w:spacing w:after="0" w:line="259" w:lineRule="auto"/>
        <w:rPr>
          <w:sz w:val="20"/>
          <w:szCs w:val="20"/>
          <w:color w:val="auto"/>
        </w:rPr>
      </w:pPr>
      <w:r>
        <w:rPr>
          <w:rFonts w:ascii="Arial" w:cs="Arial" w:eastAsia="Arial" w:hAnsi="Arial"/>
          <w:sz w:val="18"/>
          <w:szCs w:val="18"/>
          <w:color w:val="auto"/>
        </w:rPr>
        <w:t>A discussion regarding our financial condition and results of operations for the fifty-two weeks ended August 28, 2021 compared to the fifty-two weeks ended August 29, 2020 is presented below. A discussion regarding our financial condition and results of operations for the fifty-two weeks ended August 29, 2020 compared to the fifty-three weeks ended August 31, 2019 can be found under Item 7 of our Annual Report on Form 10-K/A for the fiscal year ended August 29, 2020, filed with the SEC on June 30, 2021.</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Comparison of Results for the Fifty-Two Weeks Ended August 28, 2021 and the Fifty-Two Weeks Ended August 29, 2020</w:t>
      </w:r>
    </w:p>
    <w:p>
      <w:pPr>
        <w:spacing w:after="0" w:line="252" w:lineRule="exact"/>
        <w:rPr>
          <w:sz w:val="20"/>
          <w:szCs w:val="20"/>
          <w:color w:val="auto"/>
        </w:rPr>
      </w:pPr>
    </w:p>
    <w:p>
      <w:pPr>
        <w:ind w:right="20" w:firstLine="184"/>
        <w:spacing w:after="0" w:line="277" w:lineRule="auto"/>
        <w:rPr>
          <w:sz w:val="20"/>
          <w:szCs w:val="20"/>
          <w:color w:val="auto"/>
        </w:rPr>
      </w:pPr>
      <w:r>
        <w:rPr>
          <w:rFonts w:ascii="Arial" w:cs="Arial" w:eastAsia="Arial" w:hAnsi="Arial"/>
          <w:sz w:val="18"/>
          <w:szCs w:val="18"/>
          <w:color w:val="auto"/>
        </w:rPr>
        <w:t>The following table presents, for the periods indicated, selected information from our consolidated financial results, including information presented as a percentage of net sales:</w:t>
      </w:r>
    </w:p>
    <w:p>
      <w:pPr>
        <w:spacing w:after="0" w:line="148" w:lineRule="exact"/>
        <w:rPr>
          <w:sz w:val="20"/>
          <w:szCs w:val="20"/>
          <w:color w:val="auto"/>
        </w:rPr>
      </w:pPr>
    </w:p>
    <w:tbl>
      <w:tblPr>
        <w:tblLayout w:type="fixed"/>
        <w:tblInd w:w="620" w:type="dxa"/>
        <w:tblCellMar>
          <w:top w:w="0" w:type="dxa"/>
          <w:left w:w="0" w:type="dxa"/>
          <w:bottom w:w="0" w:type="dxa"/>
          <w:right w:w="0" w:type="dxa"/>
        </w:tblCellMar>
      </w:tblPr>
      <w:tr>
        <w:trPr>
          <w:trHeight w:val="203"/>
        </w:trPr>
        <w:tc>
          <w:tcPr>
            <w:tcW w:w="4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ind w:left="40"/>
              <w:spacing w:after="0"/>
              <w:rPr>
                <w:sz w:val="20"/>
                <w:szCs w:val="20"/>
                <w:color w:val="auto"/>
              </w:rPr>
            </w:pPr>
            <w:r>
              <w:rPr>
                <w:rFonts w:ascii="Arial" w:cs="Arial" w:eastAsia="Arial" w:hAnsi="Arial"/>
                <w:sz w:val="16"/>
                <w:szCs w:val="16"/>
                <w:color w:val="auto"/>
              </w:rPr>
              <w:t>52-Weeks Ended</w:t>
            </w:r>
          </w:p>
        </w:tc>
        <w:tc>
          <w:tcPr>
            <w:tcW w:w="1000" w:type="dxa"/>
            <w:vAlign w:val="bottom"/>
            <w:gridSpan w:val="2"/>
          </w:tcPr>
          <w:p>
            <w:pPr>
              <w:jc w:val="center"/>
              <w:ind w:right="140"/>
              <w:spacing w:after="0"/>
              <w:rPr>
                <w:sz w:val="20"/>
                <w:szCs w:val="20"/>
                <w:color w:val="auto"/>
              </w:rPr>
            </w:pPr>
            <w:r>
              <w:rPr>
                <w:rFonts w:ascii="Arial" w:cs="Arial" w:eastAsia="Arial" w:hAnsi="Arial"/>
                <w:sz w:val="16"/>
                <w:szCs w:val="16"/>
                <w:color w:val="auto"/>
                <w:w w:val="94"/>
              </w:rPr>
              <w:t>% of Net</w:t>
            </w:r>
          </w:p>
        </w:tc>
        <w:tc>
          <w:tcPr>
            <w:tcW w:w="140" w:type="dxa"/>
            <w:vAlign w:val="bottom"/>
          </w:tcPr>
          <w:p>
            <w:pPr>
              <w:spacing w:after="0"/>
              <w:rPr>
                <w:sz w:val="17"/>
                <w:szCs w:val="17"/>
                <w:color w:val="auto"/>
              </w:rPr>
            </w:pPr>
          </w:p>
        </w:tc>
        <w:tc>
          <w:tcPr>
            <w:tcW w:w="1460" w:type="dxa"/>
            <w:vAlign w:val="bottom"/>
            <w:gridSpan w:val="2"/>
          </w:tcPr>
          <w:p>
            <w:pPr>
              <w:ind w:left="40"/>
              <w:spacing w:after="0"/>
              <w:rPr>
                <w:sz w:val="20"/>
                <w:szCs w:val="20"/>
                <w:color w:val="auto"/>
              </w:rPr>
            </w:pPr>
            <w:r>
              <w:rPr>
                <w:rFonts w:ascii="Arial" w:cs="Arial" w:eastAsia="Arial" w:hAnsi="Arial"/>
                <w:sz w:val="16"/>
                <w:szCs w:val="16"/>
                <w:color w:val="auto"/>
              </w:rPr>
              <w:t>52-Weeks Ended</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 of Net</w:t>
            </w:r>
          </w:p>
        </w:tc>
        <w:tc>
          <w:tcPr>
            <w:tcW w:w="0" w:type="dxa"/>
            <w:vAlign w:val="bottom"/>
          </w:tcPr>
          <w:p>
            <w:pPr>
              <w:spacing w:after="0"/>
              <w:rPr>
                <w:sz w:val="1"/>
                <w:szCs w:val="1"/>
                <w:color w:val="auto"/>
              </w:rPr>
            </w:pPr>
          </w:p>
        </w:tc>
      </w:tr>
      <w:tr>
        <w:trPr>
          <w:trHeight w:val="206"/>
        </w:trPr>
        <w:tc>
          <w:tcPr>
            <w:tcW w:w="48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vMerge w:val="restart"/>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vMerge w:val="restart"/>
          </w:tcPr>
          <w:p>
            <w:pPr>
              <w:jc w:val="right"/>
              <w:ind w:right="99"/>
              <w:spacing w:after="0"/>
              <w:rPr>
                <w:sz w:val="20"/>
                <w:szCs w:val="20"/>
                <w:color w:val="auto"/>
              </w:rPr>
            </w:pPr>
            <w:r>
              <w:rPr>
                <w:rFonts w:ascii="Arial" w:cs="Arial" w:eastAsia="Arial" w:hAnsi="Arial"/>
                <w:sz w:val="16"/>
                <w:szCs w:val="16"/>
                <w:color w:val="auto"/>
                <w:w w:val="96"/>
              </w:rPr>
              <w:t>August 28, 2021</w:t>
            </w:r>
          </w:p>
        </w:tc>
        <w:tc>
          <w:tcPr>
            <w:tcW w:w="140" w:type="dxa"/>
            <w:vAlign w:val="bottom"/>
            <w:vMerge w:val="restart"/>
          </w:tcPr>
          <w:p>
            <w:pPr>
              <w:spacing w:after="0"/>
              <w:rPr>
                <w:sz w:val="17"/>
                <w:szCs w:val="17"/>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6"/>
                <w:szCs w:val="16"/>
                <w:color w:val="auto"/>
                <w:w w:val="84"/>
              </w:rPr>
              <w:t>Sales</w:t>
            </w:r>
          </w:p>
        </w:tc>
        <w:tc>
          <w:tcPr>
            <w:tcW w:w="140" w:type="dxa"/>
            <w:vAlign w:val="bottom"/>
          </w:tcPr>
          <w:p>
            <w:pPr>
              <w:spacing w:after="0"/>
              <w:rPr>
                <w:sz w:val="17"/>
                <w:szCs w:val="17"/>
                <w:color w:val="auto"/>
              </w:rPr>
            </w:pPr>
          </w:p>
        </w:tc>
        <w:tc>
          <w:tcPr>
            <w:tcW w:w="1320" w:type="dxa"/>
            <w:vAlign w:val="bottom"/>
            <w:vMerge w:val="restart"/>
          </w:tcPr>
          <w:p>
            <w:pPr>
              <w:jc w:val="right"/>
              <w:ind w:right="119"/>
              <w:spacing w:after="0"/>
              <w:rPr>
                <w:sz w:val="20"/>
                <w:szCs w:val="20"/>
                <w:color w:val="auto"/>
              </w:rPr>
            </w:pPr>
            <w:r>
              <w:rPr>
                <w:rFonts w:ascii="Arial" w:cs="Arial" w:eastAsia="Arial" w:hAnsi="Arial"/>
                <w:sz w:val="16"/>
                <w:szCs w:val="16"/>
                <w:color w:val="auto"/>
                <w:w w:val="94"/>
              </w:rPr>
              <w:t>August 29, 2020</w:t>
            </w:r>
          </w:p>
        </w:tc>
        <w:tc>
          <w:tcPr>
            <w:tcW w:w="140" w:type="dxa"/>
            <w:vAlign w:val="bottom"/>
            <w:vMerge w:val="restart"/>
          </w:tcPr>
          <w:p>
            <w:pPr>
              <w:spacing w:after="0"/>
              <w:rPr>
                <w:sz w:val="17"/>
                <w:szCs w:val="17"/>
                <w:color w:val="auto"/>
              </w:rPr>
            </w:pPr>
          </w:p>
        </w:tc>
        <w:tc>
          <w:tcPr>
            <w:tcW w:w="860" w:type="dxa"/>
            <w:vAlign w:val="bottom"/>
          </w:tcPr>
          <w:p>
            <w:pPr>
              <w:jc w:val="right"/>
              <w:ind w:right="179"/>
              <w:spacing w:after="0"/>
              <w:rPr>
                <w:sz w:val="20"/>
                <w:szCs w:val="20"/>
                <w:color w:val="auto"/>
              </w:rPr>
            </w:pPr>
            <w:r>
              <w:rPr>
                <w:rFonts w:ascii="Arial" w:cs="Arial" w:eastAsia="Arial" w:hAnsi="Arial"/>
                <w:sz w:val="16"/>
                <w:szCs w:val="16"/>
                <w:color w:val="auto"/>
              </w:rPr>
              <w:t>Sales</w:t>
            </w:r>
          </w:p>
        </w:tc>
        <w:tc>
          <w:tcPr>
            <w:tcW w:w="0" w:type="dxa"/>
            <w:vAlign w:val="bottom"/>
          </w:tcPr>
          <w:p>
            <w:pPr>
              <w:spacing w:after="0"/>
              <w:rPr>
                <w:sz w:val="1"/>
                <w:szCs w:val="1"/>
                <w:color w:val="auto"/>
              </w:rPr>
            </w:pPr>
          </w:p>
        </w:tc>
      </w:tr>
      <w:tr>
        <w:trPr>
          <w:trHeight w:val="70"/>
        </w:trPr>
        <w:tc>
          <w:tcPr>
            <w:tcW w:w="480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CCEEFF"/>
            </w:tcBorders>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CCEEFF"/>
            </w:tcBorders>
            <w:vMerge w:val="continue"/>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CCEEFF"/>
            </w:tcBorders>
            <w:vMerge w:val="continue"/>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1,005,613</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816,641</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54"/>
        </w:trPr>
        <w:tc>
          <w:tcPr>
            <w:tcW w:w="49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Cost of goods sold</w:t>
            </w: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595,847</w:t>
            </w:r>
          </w:p>
        </w:tc>
        <w:tc>
          <w:tcPr>
            <w:tcW w:w="14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59.3 %</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492,313</w:t>
            </w:r>
          </w:p>
        </w:tc>
        <w:tc>
          <w:tcPr>
            <w:tcW w:w="14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60.3 %</w:t>
            </w:r>
          </w:p>
        </w:tc>
        <w:tc>
          <w:tcPr>
            <w:tcW w:w="0" w:type="dxa"/>
            <w:vAlign w:val="bottom"/>
          </w:tcPr>
          <w:p>
            <w:pPr>
              <w:spacing w:after="0"/>
              <w:rPr>
                <w:sz w:val="1"/>
                <w:szCs w:val="1"/>
                <w:color w:val="auto"/>
              </w:rPr>
            </w:pPr>
          </w:p>
        </w:tc>
      </w:tr>
      <w:tr>
        <w:trPr>
          <w:trHeight w:val="239"/>
        </w:trPr>
        <w:tc>
          <w:tcPr>
            <w:tcW w:w="49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Gross profit</w:t>
            </w: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409,766</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40.7 %</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324,328</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39.7 %</w:t>
            </w:r>
          </w:p>
        </w:tc>
        <w:tc>
          <w:tcPr>
            <w:tcW w:w="0" w:type="dxa"/>
            <w:vAlign w:val="bottom"/>
          </w:tcPr>
          <w:p>
            <w:pPr>
              <w:spacing w:after="0"/>
              <w:rPr>
                <w:sz w:val="1"/>
                <w:szCs w:val="1"/>
                <w:color w:val="auto"/>
              </w:rPr>
            </w:pPr>
          </w:p>
        </w:tc>
      </w:tr>
      <w:tr>
        <w:trPr>
          <w:trHeight w:val="257"/>
        </w:trPr>
        <w:tc>
          <w:tcPr>
            <w:tcW w:w="4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4940" w:type="dxa"/>
            <w:vAlign w:val="bottom"/>
            <w:gridSpan w:val="2"/>
          </w:tcPr>
          <w:p>
            <w:pPr>
              <w:ind w:left="140"/>
              <w:spacing w:after="0"/>
              <w:rPr>
                <w:sz w:val="20"/>
                <w:szCs w:val="20"/>
                <w:color w:val="auto"/>
              </w:rPr>
            </w:pPr>
            <w:r>
              <w:rPr>
                <w:rFonts w:ascii="Arial" w:cs="Arial" w:eastAsia="Arial" w:hAnsi="Arial"/>
                <w:sz w:val="16"/>
                <w:szCs w:val="16"/>
                <w:color w:val="auto"/>
              </w:rPr>
              <w:t>Selling and marketing</w:t>
            </w: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112,928</w:t>
            </w: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11.2 %</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94,469</w:t>
            </w: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11.6 %</w:t>
            </w:r>
          </w:p>
        </w:tc>
        <w:tc>
          <w:tcPr>
            <w:tcW w:w="0" w:type="dxa"/>
            <w:vAlign w:val="bottom"/>
          </w:tcPr>
          <w:p>
            <w:pPr>
              <w:spacing w:after="0"/>
              <w:rPr>
                <w:sz w:val="1"/>
                <w:szCs w:val="1"/>
                <w:color w:val="auto"/>
              </w:rPr>
            </w:pPr>
          </w:p>
        </w:tc>
      </w:tr>
      <w:tr>
        <w:trPr>
          <w:trHeight w:val="260"/>
        </w:trPr>
        <w:tc>
          <w:tcPr>
            <w:tcW w:w="49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General and administrative</w:t>
            </w: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106,181</w:t>
            </w: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10.6 %</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106,251</w:t>
            </w: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13.0 %</w:t>
            </w:r>
          </w:p>
        </w:tc>
        <w:tc>
          <w:tcPr>
            <w:tcW w:w="0" w:type="dxa"/>
            <w:vAlign w:val="bottom"/>
          </w:tcPr>
          <w:p>
            <w:pPr>
              <w:spacing w:after="0"/>
              <w:rPr>
                <w:sz w:val="1"/>
                <w:szCs w:val="1"/>
                <w:color w:val="auto"/>
              </w:rPr>
            </w:pPr>
          </w:p>
        </w:tc>
      </w:tr>
      <w:tr>
        <w:trPr>
          <w:trHeight w:val="253"/>
        </w:trPr>
        <w:tc>
          <w:tcPr>
            <w:tcW w:w="4940" w:type="dxa"/>
            <w:vAlign w:val="bottom"/>
            <w:gridSpan w:val="2"/>
          </w:tcPr>
          <w:p>
            <w:pPr>
              <w:ind w:left="14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16,982</w:t>
            </w: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1.7 %</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15,259</w:t>
            </w: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1.9 %</w:t>
            </w:r>
          </w:p>
        </w:tc>
        <w:tc>
          <w:tcPr>
            <w:tcW w:w="0" w:type="dxa"/>
            <w:vAlign w:val="bottom"/>
          </w:tcPr>
          <w:p>
            <w:pPr>
              <w:spacing w:after="0"/>
              <w:rPr>
                <w:sz w:val="1"/>
                <w:szCs w:val="1"/>
                <w:color w:val="auto"/>
              </w:rPr>
            </w:pPr>
          </w:p>
        </w:tc>
      </w:tr>
      <w:tr>
        <w:trPr>
          <w:trHeight w:val="260"/>
        </w:trPr>
        <w:tc>
          <w:tcPr>
            <w:tcW w:w="49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Business transaction costs</w:t>
            </w:r>
          </w:p>
        </w:tc>
        <w:tc>
          <w:tcPr>
            <w:tcW w:w="1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 %</w:t>
            </w: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27,125</w:t>
            </w: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3.3 %</w:t>
            </w:r>
          </w:p>
        </w:tc>
        <w:tc>
          <w:tcPr>
            <w:tcW w:w="0" w:type="dxa"/>
            <w:vAlign w:val="bottom"/>
          </w:tcPr>
          <w:p>
            <w:pPr>
              <w:spacing w:after="0"/>
              <w:rPr>
                <w:sz w:val="1"/>
                <w:szCs w:val="1"/>
                <w:color w:val="auto"/>
              </w:rPr>
            </w:pPr>
          </w:p>
        </w:tc>
      </w:tr>
      <w:tr>
        <w:trPr>
          <w:trHeight w:val="253"/>
        </w:trPr>
        <w:tc>
          <w:tcPr>
            <w:tcW w:w="4940" w:type="dxa"/>
            <w:vAlign w:val="bottom"/>
            <w:gridSpan w:val="2"/>
          </w:tcPr>
          <w:p>
            <w:pPr>
              <w:ind w:left="140"/>
              <w:spacing w:after="0"/>
              <w:rPr>
                <w:sz w:val="20"/>
                <w:szCs w:val="20"/>
                <w:color w:val="auto"/>
              </w:rPr>
            </w:pPr>
            <w:r>
              <w:rPr>
                <w:rFonts w:ascii="Arial" w:cs="Arial" w:eastAsia="Arial" w:hAnsi="Arial"/>
                <w:sz w:val="16"/>
                <w:szCs w:val="16"/>
                <w:color w:val="auto"/>
              </w:rPr>
              <w:t>Loss on impairment</w:t>
            </w:r>
          </w:p>
        </w:tc>
        <w:tc>
          <w:tcPr>
            <w:tcW w:w="140" w:type="dxa"/>
            <w:vAlign w:val="bottom"/>
          </w:tcPr>
          <w:p>
            <w:pPr>
              <w:spacing w:after="0"/>
              <w:rPr>
                <w:sz w:val="22"/>
                <w:szCs w:val="22"/>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 %</w:t>
            </w: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3,000</w:t>
            </w: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0.4 %</w:t>
            </w:r>
          </w:p>
        </w:tc>
        <w:tc>
          <w:tcPr>
            <w:tcW w:w="0" w:type="dxa"/>
            <w:vAlign w:val="bottom"/>
          </w:tcPr>
          <w:p>
            <w:pPr>
              <w:spacing w:after="0"/>
              <w:rPr>
                <w:sz w:val="1"/>
                <w:szCs w:val="1"/>
                <w:color w:val="auto"/>
              </w:rPr>
            </w:pPr>
          </w:p>
        </w:tc>
      </w:tr>
      <w:tr>
        <w:trPr>
          <w:trHeight w:val="239"/>
        </w:trPr>
        <w:tc>
          <w:tcPr>
            <w:tcW w:w="494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Total operating expenses</w:t>
            </w:r>
          </w:p>
        </w:tc>
        <w:tc>
          <w:tcPr>
            <w:tcW w:w="140" w:type="dxa"/>
            <w:vAlign w:val="bottom"/>
            <w:tcBorders>
              <w:top w:val="single" w:sz="8" w:color="auto"/>
            </w:tcBorders>
            <w:shd w:val="clear" w:color="auto" w:fill="CCEEFF"/>
          </w:tcPr>
          <w:p>
            <w:pPr>
              <w:spacing w:after="0"/>
              <w:rPr>
                <w:sz w:val="20"/>
                <w:szCs w:val="20"/>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236,091</w:t>
            </w:r>
          </w:p>
        </w:tc>
        <w:tc>
          <w:tcPr>
            <w:tcW w:w="140" w:type="dxa"/>
            <w:vAlign w:val="bottom"/>
            <w:tcBorders>
              <w:top w:val="single" w:sz="8" w:color="CCEEFF"/>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23.5 %</w:t>
            </w:r>
          </w:p>
        </w:tc>
        <w:tc>
          <w:tcPr>
            <w:tcW w:w="14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246,104</w:t>
            </w:r>
          </w:p>
        </w:tc>
        <w:tc>
          <w:tcPr>
            <w:tcW w:w="140" w:type="dxa"/>
            <w:vAlign w:val="bottom"/>
            <w:tcBorders>
              <w:top w:val="single" w:sz="8" w:color="CCEEFF"/>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30.1 %</w:t>
            </w:r>
          </w:p>
        </w:tc>
        <w:tc>
          <w:tcPr>
            <w:tcW w:w="0" w:type="dxa"/>
            <w:vAlign w:val="bottom"/>
          </w:tcPr>
          <w:p>
            <w:pPr>
              <w:spacing w:after="0"/>
              <w:rPr>
                <w:sz w:val="1"/>
                <w:szCs w:val="1"/>
                <w:color w:val="auto"/>
              </w:rPr>
            </w:pPr>
          </w:p>
        </w:tc>
      </w:tr>
      <w:tr>
        <w:trPr>
          <w:trHeight w:val="257"/>
        </w:trPr>
        <w:tc>
          <w:tcPr>
            <w:tcW w:w="4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173,675</w:t>
            </w: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17.3 %</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78,224</w:t>
            </w: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9.6 %</w:t>
            </w:r>
          </w:p>
        </w:tc>
        <w:tc>
          <w:tcPr>
            <w:tcW w:w="0" w:type="dxa"/>
            <w:vAlign w:val="bottom"/>
          </w:tcPr>
          <w:p>
            <w:pPr>
              <w:spacing w:after="0"/>
              <w:rPr>
                <w:sz w:val="1"/>
                <w:szCs w:val="1"/>
                <w:color w:val="auto"/>
              </w:rPr>
            </w:pPr>
          </w:p>
        </w:tc>
      </w:tr>
      <w:tr>
        <w:trPr>
          <w:trHeight w:val="256"/>
        </w:trPr>
        <w:tc>
          <w:tcPr>
            <w:tcW w:w="4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4940" w:type="dxa"/>
            <w:vAlign w:val="bottom"/>
            <w:gridSpan w:val="2"/>
          </w:tcPr>
          <w:p>
            <w:pPr>
              <w:ind w:left="140"/>
              <w:spacing w:after="0"/>
              <w:rPr>
                <w:sz w:val="20"/>
                <w:szCs w:val="20"/>
                <w:color w:val="auto"/>
              </w:rPr>
            </w:pPr>
            <w:r>
              <w:rPr>
                <w:rFonts w:ascii="Arial" w:cs="Arial" w:eastAsia="Arial" w:hAnsi="Arial"/>
                <w:sz w:val="16"/>
                <w:szCs w:val="16"/>
                <w:color w:val="auto"/>
              </w:rPr>
              <w:t>Interest income</w:t>
            </w: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84</w:t>
            </w:r>
          </w:p>
        </w:tc>
        <w:tc>
          <w:tcPr>
            <w:tcW w:w="14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 %</w:t>
            </w: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1,516</w:t>
            </w: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0.2 %</w:t>
            </w:r>
          </w:p>
        </w:tc>
        <w:tc>
          <w:tcPr>
            <w:tcW w:w="0" w:type="dxa"/>
            <w:vAlign w:val="bottom"/>
          </w:tcPr>
          <w:p>
            <w:pPr>
              <w:spacing w:after="0"/>
              <w:rPr>
                <w:sz w:val="1"/>
                <w:szCs w:val="1"/>
                <w:color w:val="auto"/>
              </w:rPr>
            </w:pPr>
          </w:p>
        </w:tc>
      </w:tr>
      <w:tr>
        <w:trPr>
          <w:trHeight w:val="260"/>
        </w:trPr>
        <w:tc>
          <w:tcPr>
            <w:tcW w:w="49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Interest expense</w:t>
            </w: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(31,557)</w:t>
            </w: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(32,813)</w:t>
            </w: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54"/>
        </w:trPr>
        <w:tc>
          <w:tcPr>
            <w:tcW w:w="4940" w:type="dxa"/>
            <w:vAlign w:val="bottom"/>
            <w:gridSpan w:val="2"/>
          </w:tcPr>
          <w:p>
            <w:pPr>
              <w:ind w:left="140"/>
              <w:spacing w:after="0"/>
              <w:rPr>
                <w:sz w:val="20"/>
                <w:szCs w:val="20"/>
                <w:color w:val="auto"/>
              </w:rPr>
            </w:pPr>
            <w:r>
              <w:rPr>
                <w:rFonts w:ascii="Arial" w:cs="Arial" w:eastAsia="Arial" w:hAnsi="Arial"/>
                <w:sz w:val="16"/>
                <w:szCs w:val="16"/>
                <w:color w:val="auto"/>
              </w:rPr>
              <w:t>(Loss) gain in fair value change of warrant liability</w:t>
            </w: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(66,197)</w:t>
            </w: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(6.6)%</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30,938</w:t>
            </w: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3.8 %</w:t>
            </w:r>
          </w:p>
        </w:tc>
        <w:tc>
          <w:tcPr>
            <w:tcW w:w="0" w:type="dxa"/>
            <w:vAlign w:val="bottom"/>
          </w:tcPr>
          <w:p>
            <w:pPr>
              <w:spacing w:after="0"/>
              <w:rPr>
                <w:sz w:val="1"/>
                <w:szCs w:val="1"/>
                <w:color w:val="auto"/>
              </w:rPr>
            </w:pPr>
          </w:p>
        </w:tc>
      </w:tr>
      <w:tr>
        <w:trPr>
          <w:trHeight w:val="260"/>
        </w:trPr>
        <w:tc>
          <w:tcPr>
            <w:tcW w:w="49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Gain on legal settlement</w:t>
            </w: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0.5 %</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53"/>
        </w:trPr>
        <w:tc>
          <w:tcPr>
            <w:tcW w:w="4940" w:type="dxa"/>
            <w:vAlign w:val="bottom"/>
            <w:gridSpan w:val="2"/>
          </w:tcPr>
          <w:p>
            <w:pPr>
              <w:ind w:left="140"/>
              <w:spacing w:after="0"/>
              <w:rPr>
                <w:sz w:val="20"/>
                <w:szCs w:val="20"/>
                <w:color w:val="auto"/>
              </w:rPr>
            </w:pPr>
            <w:r>
              <w:rPr>
                <w:rFonts w:ascii="Arial" w:cs="Arial" w:eastAsia="Arial" w:hAnsi="Arial"/>
                <w:sz w:val="16"/>
                <w:szCs w:val="16"/>
                <w:color w:val="auto"/>
              </w:rPr>
              <w:t>(Loss) gain on foreign currency transactions</w:t>
            </w: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w:t>
            </w:r>
          </w:p>
        </w:tc>
        <w:tc>
          <w:tcPr>
            <w:tcW w:w="14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 %</w:t>
            </w: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658</w:t>
            </w: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0.1 %</w:t>
            </w:r>
          </w:p>
        </w:tc>
        <w:tc>
          <w:tcPr>
            <w:tcW w:w="0" w:type="dxa"/>
            <w:vAlign w:val="bottom"/>
          </w:tcPr>
          <w:p>
            <w:pPr>
              <w:spacing w:after="0"/>
              <w:rPr>
                <w:sz w:val="1"/>
                <w:szCs w:val="1"/>
                <w:color w:val="auto"/>
              </w:rPr>
            </w:pPr>
          </w:p>
        </w:tc>
      </w:tr>
      <w:tr>
        <w:trPr>
          <w:trHeight w:val="256"/>
        </w:trPr>
        <w:tc>
          <w:tcPr>
            <w:tcW w:w="49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Other (expense) income</w:t>
            </w: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 %</w:t>
            </w: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w:t>
            </w: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0" w:type="dxa"/>
            <w:vAlign w:val="bottom"/>
          </w:tcPr>
          <w:p>
            <w:pPr>
              <w:spacing w:after="0"/>
              <w:rPr>
                <w:sz w:val="1"/>
                <w:szCs w:val="1"/>
                <w:color w:val="auto"/>
              </w:rPr>
            </w:pPr>
          </w:p>
        </w:tc>
      </w:tr>
      <w:tr>
        <w:trPr>
          <w:trHeight w:val="237"/>
        </w:trPr>
        <w:tc>
          <w:tcPr>
            <w:tcW w:w="4940" w:type="dxa"/>
            <w:vAlign w:val="bottom"/>
            <w:gridSpan w:val="2"/>
          </w:tcPr>
          <w:p>
            <w:pPr>
              <w:ind w:left="20"/>
              <w:spacing w:after="0"/>
              <w:rPr>
                <w:sz w:val="20"/>
                <w:szCs w:val="20"/>
                <w:color w:val="auto"/>
              </w:rPr>
            </w:pPr>
            <w:r>
              <w:rPr>
                <w:rFonts w:ascii="Arial" w:cs="Arial" w:eastAsia="Arial" w:hAnsi="Arial"/>
                <w:sz w:val="16"/>
                <w:szCs w:val="16"/>
                <w:color w:val="auto"/>
              </w:rPr>
              <w:t>Total other (expense) income</w:t>
            </w: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(92,815)</w:t>
            </w:r>
          </w:p>
        </w:tc>
        <w:tc>
          <w:tcPr>
            <w:tcW w:w="140" w:type="dxa"/>
            <w:vAlign w:val="bottom"/>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1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740</w:t>
            </w:r>
          </w:p>
        </w:tc>
        <w:tc>
          <w:tcPr>
            <w:tcW w:w="140" w:type="dxa"/>
            <w:vAlign w:val="bottom"/>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0.1 %</w:t>
            </w:r>
          </w:p>
        </w:tc>
        <w:tc>
          <w:tcPr>
            <w:tcW w:w="0" w:type="dxa"/>
            <w:vAlign w:val="bottom"/>
          </w:tcPr>
          <w:p>
            <w:pPr>
              <w:spacing w:after="0"/>
              <w:rPr>
                <w:sz w:val="1"/>
                <w:szCs w:val="1"/>
                <w:color w:val="auto"/>
              </w:rPr>
            </w:pPr>
          </w:p>
        </w:tc>
      </w:tr>
      <w:tr>
        <w:trPr>
          <w:trHeight w:val="260"/>
        </w:trPr>
        <w:tc>
          <w:tcPr>
            <w:tcW w:w="48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4940" w:type="dxa"/>
            <w:vAlign w:val="bottom"/>
            <w:gridSpan w:val="2"/>
          </w:tcPr>
          <w:p>
            <w:pPr>
              <w:ind w:left="20"/>
              <w:spacing w:after="0"/>
              <w:rPr>
                <w:sz w:val="20"/>
                <w:szCs w:val="20"/>
                <w:color w:val="auto"/>
              </w:rPr>
            </w:pPr>
            <w:r>
              <w:rPr>
                <w:rFonts w:ascii="Arial" w:cs="Arial" w:eastAsia="Arial" w:hAnsi="Arial"/>
                <w:sz w:val="16"/>
                <w:szCs w:val="16"/>
                <w:color w:val="auto"/>
              </w:rPr>
              <w:t>Income before income taxes</w:t>
            </w: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80,860</w:t>
            </w: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8.0 %</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78,964</w:t>
            </w: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9.7 %</w:t>
            </w:r>
          </w:p>
        </w:tc>
        <w:tc>
          <w:tcPr>
            <w:tcW w:w="0" w:type="dxa"/>
            <w:vAlign w:val="bottom"/>
          </w:tcPr>
          <w:p>
            <w:pPr>
              <w:spacing w:after="0"/>
              <w:rPr>
                <w:sz w:val="1"/>
                <w:szCs w:val="1"/>
                <w:color w:val="auto"/>
              </w:rPr>
            </w:pPr>
          </w:p>
        </w:tc>
      </w:tr>
      <w:tr>
        <w:trPr>
          <w:trHeight w:val="256"/>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39,980</w:t>
            </w:r>
          </w:p>
        </w:tc>
        <w:tc>
          <w:tcPr>
            <w:tcW w:w="140" w:type="dxa"/>
            <w:vAlign w:val="bottom"/>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4.0 %</w:t>
            </w:r>
          </w:p>
        </w:tc>
        <w:tc>
          <w:tcPr>
            <w:tcW w:w="14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13,326</w:t>
            </w:r>
          </w:p>
        </w:tc>
        <w:tc>
          <w:tcPr>
            <w:tcW w:w="140" w:type="dxa"/>
            <w:vAlign w:val="bottom"/>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0" w:type="dxa"/>
            <w:vAlign w:val="bottom"/>
          </w:tcPr>
          <w:p>
            <w:pPr>
              <w:spacing w:after="0"/>
              <w:rPr>
                <w:sz w:val="1"/>
                <w:szCs w:val="1"/>
                <w:color w:val="auto"/>
              </w:rPr>
            </w:pPr>
          </w:p>
        </w:tc>
      </w:tr>
      <w:tr>
        <w:trPr>
          <w:trHeight w:val="213"/>
        </w:trPr>
        <w:tc>
          <w:tcPr>
            <w:tcW w:w="4940" w:type="dxa"/>
            <w:vAlign w:val="bottom"/>
            <w:gridSpan w:val="2"/>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40,880</w:t>
            </w:r>
          </w:p>
        </w:tc>
        <w:tc>
          <w:tcPr>
            <w:tcW w:w="14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4.1 %</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65,638</w:t>
            </w:r>
          </w:p>
        </w:tc>
        <w:tc>
          <w:tcPr>
            <w:tcW w:w="14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8.0 %</w:t>
            </w:r>
          </w:p>
        </w:tc>
        <w:tc>
          <w:tcPr>
            <w:tcW w:w="0" w:type="dxa"/>
            <w:vAlign w:val="bottom"/>
          </w:tcPr>
          <w:p>
            <w:pPr>
              <w:spacing w:after="0"/>
              <w:rPr>
                <w:sz w:val="1"/>
                <w:szCs w:val="1"/>
                <w:color w:val="auto"/>
              </w:rPr>
            </w:pP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4940" w:type="dxa"/>
            <w:vAlign w:val="bottom"/>
            <w:gridSpan w:val="2"/>
          </w:tcPr>
          <w:p>
            <w:pPr>
              <w:ind w:left="20"/>
              <w:spacing w:after="0"/>
              <w:rPr>
                <w:sz w:val="20"/>
                <w:szCs w:val="20"/>
                <w:color w:val="auto"/>
              </w:rPr>
            </w:pPr>
            <w:r>
              <w:rPr>
                <w:rFonts w:ascii="Arial" w:cs="Arial" w:eastAsia="Arial" w:hAnsi="Arial"/>
                <w:sz w:val="16"/>
                <w:szCs w:val="16"/>
                <w:color w:val="auto"/>
              </w:rPr>
              <w:t>Other financial data:</w:t>
            </w: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940" w:type="dxa"/>
            <w:vAlign w:val="bottom"/>
            <w:tcBorders>
              <w:bottom w:val="single" w:sz="8" w:color="CCEEFF"/>
            </w:tcBorders>
            <w:gridSpan w:val="2"/>
            <w:shd w:val="clear" w:color="auto" w:fill="CCEEFF"/>
          </w:tcPr>
          <w:p>
            <w:pPr>
              <w:ind w:left="180"/>
              <w:spacing w:after="0" w:line="233" w:lineRule="exact"/>
              <w:rPr>
                <w:sz w:val="20"/>
                <w:szCs w:val="20"/>
                <w:color w:val="auto"/>
              </w:rPr>
            </w:pPr>
            <w:r>
              <w:rPr>
                <w:rFonts w:ascii="Arial" w:cs="Arial" w:eastAsia="Arial" w:hAnsi="Arial"/>
                <w:sz w:val="16"/>
                <w:szCs w:val="16"/>
                <w:color w:val="auto"/>
              </w:rPr>
              <w:t xml:space="preserve">Adjusted EBITDA </w:t>
            </w:r>
            <w:r>
              <w:rPr>
                <w:rFonts w:ascii="Arial" w:cs="Arial" w:eastAsia="Arial" w:hAnsi="Arial"/>
                <w:sz w:val="21"/>
                <w:szCs w:val="21"/>
                <w:color w:val="auto"/>
                <w:vertAlign w:val="superscript"/>
              </w:rPr>
              <w:t>(1)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207,273</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20.6 %</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153,912</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18.8 %</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ind w:left="500" w:hanging="330"/>
        <w:spacing w:after="0" w:line="223" w:lineRule="auto"/>
        <w:tabs>
          <w:tab w:leader="none" w:pos="472"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Adjusted EBITDA is a non-GAAP financial metric. See “Reconciliation of EBITDA and Adjusted EBITDA” below for a reconciliation of Adjusted EBITDA to net income for each applicable period.</w:t>
      </w:r>
    </w:p>
    <w:p>
      <w:pPr>
        <w:spacing w:after="0" w:line="221" w:lineRule="exact"/>
        <w:rPr>
          <w:sz w:val="20"/>
          <w:szCs w:val="20"/>
          <w:color w:val="auto"/>
        </w:rPr>
      </w:pPr>
    </w:p>
    <w:p>
      <w:pPr>
        <w:jc w:val="both"/>
        <w:ind w:firstLine="180"/>
        <w:spacing w:after="0" w:line="254"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Net sales of $1,005.6 million represented an increase of $189.0 million, or 23.1%, for the fifty-two weeks ended August 28, 2021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fifty-two weeks ended August 29, 2020. This increase was primarily attributable to the Quest brand, which increased our North America net sales by 20.4% due to Quest’s full-year inclusion in our results of operations in fiscal year 2021 as compared to Quest’s partial inclusion in our results of operations in the prior fiscal year due to the timing of the Quest Acquisition closing as well as post-acquisition Quest brand sales volume growth. The remaining increase in net sales was attributed to sales volume growth in our Atkins brand, which was driven by increased consumer mobility in fiscal year 2021 as compared to the prior fiscal year 2020 related to COVID-19 movement restrictions, and international sales. The increase in net sales was partially offset by decreased sales volume of approximately 1.5% related to the SimplyProtein Sale and the restructuring-related business activities in Europe in fiscal year 2021.</w:t>
      </w:r>
    </w:p>
    <w:p>
      <w:pPr>
        <w:spacing w:after="0" w:line="219" w:lineRule="exact"/>
        <w:rPr>
          <w:sz w:val="20"/>
          <w:szCs w:val="20"/>
          <w:color w:val="auto"/>
        </w:rPr>
      </w:pPr>
    </w:p>
    <w:p>
      <w:pPr>
        <w:jc w:val="both"/>
        <w:ind w:firstLine="220"/>
        <w:spacing w:after="0" w:line="273" w:lineRule="auto"/>
        <w:rPr>
          <w:sz w:val="20"/>
          <w:szCs w:val="20"/>
          <w:color w:val="auto"/>
        </w:rPr>
      </w:pPr>
      <w:r>
        <w:rPr>
          <w:rFonts w:ascii="Arial" w:cs="Arial" w:eastAsia="Arial" w:hAnsi="Arial"/>
          <w:sz w:val="17"/>
          <w:szCs w:val="17"/>
          <w:b w:val="1"/>
          <w:bCs w:val="1"/>
          <w:i w:val="1"/>
          <w:iCs w:val="1"/>
          <w:color w:val="auto"/>
        </w:rPr>
        <w:t xml:space="preserve">Cost of goods sold. </w:t>
      </w:r>
      <w:r>
        <w:rPr>
          <w:rFonts w:ascii="Arial" w:cs="Arial" w:eastAsia="Arial" w:hAnsi="Arial"/>
          <w:sz w:val="17"/>
          <w:szCs w:val="17"/>
          <w:color w:val="auto"/>
        </w:rPr>
        <w:t>Cost of goods sold increased $103.5 million, or 21.0%, for the fifty-two weeks ended August 28, 2021 compared to the fifty-two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weeks ended August 29, 2020. The increase in cost of goods sold was driven by sales volume growth primarily attributable to the Quest brand as discussed above, partially offset by the effect of the $7.5 million non-cash inventory step-up related to the Quest Acquisition recorded in fiscal year 2020. As previously discussed above in “Supply Chain,” we expect to have higher raw material and freight costs in fiscal year 2022, and as such management notified our customers in June 2021 of our plans to institute a price increase effective in September 2021, the first month of our fiscal year 2022. Management believes the price increase and productivity initiatives will enable us to continue to invest in projects that drive growth.</w:t>
      </w:r>
    </w:p>
    <w:p>
      <w:pPr>
        <w:sectPr>
          <w:pgSz w:w="11900" w:h="16838" w:orient="portrait"/>
          <w:cols w:equalWidth="0" w:num="1">
            <w:col w:w="11240"/>
          </w:cols>
          <w:pgMar w:left="320" w:top="692" w:right="339" w:bottom="1440" w:gutter="0" w:footer="0" w:header="0"/>
        </w:sect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40" w:name="page41"/>
    <w:bookmarkEnd w:id="40"/>
    <w:p>
      <w:pPr>
        <w:jc w:val="both"/>
        <w:ind w:firstLine="234"/>
        <w:spacing w:after="0" w:line="275" w:lineRule="auto"/>
        <w:rPr>
          <w:sz w:val="20"/>
          <w:szCs w:val="20"/>
          <w:color w:val="auto"/>
        </w:rPr>
      </w:pPr>
      <w:r>
        <w:rPr>
          <w:rFonts w:ascii="Arial" w:cs="Arial" w:eastAsia="Arial" w:hAnsi="Arial"/>
          <w:sz w:val="17"/>
          <w:szCs w:val="17"/>
          <w:b w:val="1"/>
          <w:bCs w:val="1"/>
          <w:i w:val="1"/>
          <w:iCs w:val="1"/>
          <w:color w:val="auto"/>
        </w:rPr>
        <w:t xml:space="preserve">Gross profit. </w:t>
      </w:r>
      <w:r>
        <w:rPr>
          <w:rFonts w:ascii="Arial" w:cs="Arial" w:eastAsia="Arial" w:hAnsi="Arial"/>
          <w:sz w:val="17"/>
          <w:szCs w:val="17"/>
          <w:color w:val="auto"/>
        </w:rPr>
        <w:t>Gross profit increased $85.4 million, or 26.3%, for the fifty-two weeks ended August 28, 2021 compared to the fifty-two weeks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August 29, 2020, which was primarily driven by the sales volume growth attributable to the Quest brand as discussed above and the $7.5 million non-cash inventory step-up related to the Quest Acquisition in fiscal year 2020. Gross profit of $409.8 million, or 40.7% of net sales, for fiscal year 2021 increased 100 basis points from gross profit of $324.3 million, or 39.7% of net sales, for fiscal year 2020. The increase in gross profit as a percentage of net sales was primarily the result of the $7.5 million non-cash inventory step-up related to the Quest Acquisition in fiscal year 2020.</w:t>
      </w:r>
    </w:p>
    <w:p>
      <w:pPr>
        <w:spacing w:after="0" w:line="203" w:lineRule="exact"/>
        <w:rPr>
          <w:sz w:val="20"/>
          <w:szCs w:val="20"/>
          <w:color w:val="auto"/>
        </w:rPr>
      </w:pPr>
    </w:p>
    <w:p>
      <w:pPr>
        <w:jc w:val="both"/>
        <w:ind w:firstLine="220"/>
        <w:spacing w:after="0" w:line="277" w:lineRule="auto"/>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Operating expenses decreased $10.0 million, or 4.1%, for the fifty-two weeks ended August 28, 2021 compared to the fifty-two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weeks ended August 29, 2020 due to the following:</w:t>
      </w:r>
    </w:p>
    <w:p>
      <w:pPr>
        <w:spacing w:after="0" w:line="197" w:lineRule="exact"/>
        <w:rPr>
          <w:sz w:val="20"/>
          <w:szCs w:val="20"/>
          <w:color w:val="auto"/>
        </w:rPr>
      </w:pPr>
    </w:p>
    <w:p>
      <w:pPr>
        <w:jc w:val="both"/>
        <w:ind w:left="660" w:hanging="328"/>
        <w:spacing w:after="0" w:line="255" w:lineRule="auto"/>
        <w:tabs>
          <w:tab w:leader="none" w:pos="655"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Selling and marketing</w:t>
      </w:r>
      <w:r>
        <w:rPr>
          <w:rFonts w:ascii="Arial" w:cs="Arial" w:eastAsia="Arial" w:hAnsi="Arial"/>
          <w:sz w:val="18"/>
          <w:szCs w:val="18"/>
          <w:color w:val="auto"/>
        </w:rPr>
        <w:t>. Selling and marketing expenses increased $18.5 million, or 19.5%, for the fifty-two weeks ended August 28,</w:t>
      </w:r>
      <w:r>
        <w:rPr>
          <w:rFonts w:ascii="Arial" w:cs="Arial" w:eastAsia="Arial" w:hAnsi="Arial"/>
          <w:sz w:val="18"/>
          <w:szCs w:val="18"/>
          <w:i w:val="1"/>
          <w:iCs w:val="1"/>
          <w:color w:val="auto"/>
        </w:rPr>
        <w:t xml:space="preserve"> </w:t>
      </w:r>
      <w:r>
        <w:rPr>
          <w:rFonts w:ascii="Arial" w:cs="Arial" w:eastAsia="Arial" w:hAnsi="Arial"/>
          <w:sz w:val="18"/>
          <w:szCs w:val="18"/>
          <w:color w:val="auto"/>
        </w:rPr>
        <w:t>2021 compared to the fifty-two weeks ended August 29, 2020. The increase was primarily related to Quest’s full-year inclusion in our results of operations in fiscal year 2021 as compared to Quest’s partial inclusion in the prior fiscal year due to the timing of the Quest Acquisition closing. Furthermore, there was higher selling and marketing spend related to additional brand building initiatives which occurred in fiscal year 2021 as compared to fiscal year 2020. These increases were partially offset by decreased selling and marketing expenses related to the SimplyProtein Sale and the restructuring-related business activities in Europe.</w:t>
      </w:r>
    </w:p>
    <w:p>
      <w:pPr>
        <w:spacing w:after="0" w:line="84" w:lineRule="exact"/>
        <w:rPr>
          <w:rFonts w:ascii="Arial" w:cs="Arial" w:eastAsia="Arial" w:hAnsi="Arial"/>
          <w:sz w:val="18"/>
          <w:szCs w:val="18"/>
          <w:b w:val="1"/>
          <w:bCs w:val="1"/>
          <w:i w:val="1"/>
          <w:iCs w:val="1"/>
          <w:color w:val="auto"/>
        </w:rPr>
      </w:pPr>
    </w:p>
    <w:p>
      <w:pPr>
        <w:jc w:val="both"/>
        <w:ind w:left="660" w:hanging="328"/>
        <w:spacing w:after="0" w:line="296" w:lineRule="auto"/>
        <w:tabs>
          <w:tab w:leader="none" w:pos="655" w:val="left"/>
        </w:tabs>
        <w:numPr>
          <w:ilvl w:val="0"/>
          <w:numId w:val="17"/>
        </w:numPr>
        <w:rPr>
          <w:rFonts w:ascii="Arial" w:cs="Arial" w:eastAsia="Arial" w:hAnsi="Arial"/>
          <w:sz w:val="16"/>
          <w:szCs w:val="16"/>
          <w:b w:val="1"/>
          <w:bCs w:val="1"/>
          <w:i w:val="1"/>
          <w:iCs w:val="1"/>
          <w:color w:val="auto"/>
        </w:rPr>
      </w:pPr>
      <w:r>
        <w:rPr>
          <w:rFonts w:ascii="Arial" w:cs="Arial" w:eastAsia="Arial" w:hAnsi="Arial"/>
          <w:sz w:val="16"/>
          <w:szCs w:val="16"/>
          <w:i w:val="1"/>
          <w:iCs w:val="1"/>
          <w:color w:val="auto"/>
        </w:rPr>
        <w:t>General and administrative</w:t>
      </w:r>
      <w:r>
        <w:rPr>
          <w:rFonts w:ascii="Arial" w:cs="Arial" w:eastAsia="Arial" w:hAnsi="Arial"/>
          <w:sz w:val="16"/>
          <w:szCs w:val="16"/>
          <w:color w:val="auto"/>
        </w:rPr>
        <w:t>. General and administrative expenses decreased $0.1 million, or 0.1%, for the fifty-two weeks ended August 28,</w:t>
      </w:r>
      <w:r>
        <w:rPr>
          <w:rFonts w:ascii="Arial" w:cs="Arial" w:eastAsia="Arial" w:hAnsi="Arial"/>
          <w:sz w:val="16"/>
          <w:szCs w:val="16"/>
          <w:i w:val="1"/>
          <w:iCs w:val="1"/>
          <w:color w:val="auto"/>
        </w:rPr>
        <w:t xml:space="preserve"> </w:t>
      </w:r>
      <w:r>
        <w:rPr>
          <w:rFonts w:ascii="Arial" w:cs="Arial" w:eastAsia="Arial" w:hAnsi="Arial"/>
          <w:sz w:val="16"/>
          <w:szCs w:val="16"/>
          <w:color w:val="auto"/>
        </w:rPr>
        <w:t>2021 compared to the fifty-two weeks ended August 29, 2020. The decrease was primarily attributable to reductions in costs related to the integration of Quest of $7.8 million and restructuring charges of $1.2 million. These decreases were offset by increased general and administrative expenses primarily related to Quest’s full-year inclusion in our results of operations in fiscal year 2021 as compared to Quest’s partial inclusion in the prior fiscal year due to the timing of the Quest Acquisition closing as well as increased stock-based compensation expense of $0.6 million.</w:t>
      </w:r>
    </w:p>
    <w:p>
      <w:pPr>
        <w:spacing w:after="0" w:line="53" w:lineRule="exact"/>
        <w:rPr>
          <w:rFonts w:ascii="Arial" w:cs="Arial" w:eastAsia="Arial" w:hAnsi="Arial"/>
          <w:sz w:val="16"/>
          <w:szCs w:val="16"/>
          <w:b w:val="1"/>
          <w:bCs w:val="1"/>
          <w:i w:val="1"/>
          <w:iCs w:val="1"/>
          <w:color w:val="auto"/>
        </w:rPr>
      </w:pPr>
    </w:p>
    <w:p>
      <w:pPr>
        <w:jc w:val="both"/>
        <w:ind w:left="660" w:hanging="328"/>
        <w:spacing w:after="0" w:line="259" w:lineRule="auto"/>
        <w:tabs>
          <w:tab w:leader="none" w:pos="655"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Depreciation and amortization expenses increased $1.7 million, or 11.3%, for the fifty-two weeks ended August</w:t>
      </w:r>
      <w:r>
        <w:rPr>
          <w:rFonts w:ascii="Arial" w:cs="Arial" w:eastAsia="Arial" w:hAnsi="Arial"/>
          <w:sz w:val="18"/>
          <w:szCs w:val="18"/>
          <w:i w:val="1"/>
          <w:iCs w:val="1"/>
          <w:color w:val="auto"/>
        </w:rPr>
        <w:t xml:space="preserve"> </w:t>
      </w:r>
      <w:r>
        <w:rPr>
          <w:rFonts w:ascii="Arial" w:cs="Arial" w:eastAsia="Arial" w:hAnsi="Arial"/>
          <w:sz w:val="18"/>
          <w:szCs w:val="18"/>
          <w:color w:val="auto"/>
        </w:rPr>
        <w:t>28, 2021 compared to the fifty-two weeks ended August 29, 2020. The increase was primarily due to Quest’s full-year inclusion of amortization expense in fiscal year 2021 related to intangible assets recognized as part of the Quest Acquisition as compared to its partial inclusion in the prior fiscal year 2020.</w:t>
      </w:r>
    </w:p>
    <w:p>
      <w:pPr>
        <w:spacing w:after="0" w:line="78" w:lineRule="exact"/>
        <w:rPr>
          <w:rFonts w:ascii="Arial" w:cs="Arial" w:eastAsia="Arial" w:hAnsi="Arial"/>
          <w:sz w:val="18"/>
          <w:szCs w:val="18"/>
          <w:b w:val="1"/>
          <w:bCs w:val="1"/>
          <w:i w:val="1"/>
          <w:iCs w:val="1"/>
          <w:color w:val="auto"/>
        </w:rPr>
      </w:pPr>
    </w:p>
    <w:p>
      <w:pPr>
        <w:ind w:left="660" w:hanging="328"/>
        <w:spacing w:after="0" w:line="308" w:lineRule="auto"/>
        <w:tabs>
          <w:tab w:leader="none" w:pos="655" w:val="left"/>
        </w:tabs>
        <w:numPr>
          <w:ilvl w:val="0"/>
          <w:numId w:val="17"/>
        </w:numPr>
        <w:rPr>
          <w:rFonts w:ascii="Arial" w:cs="Arial" w:eastAsia="Arial" w:hAnsi="Arial"/>
          <w:sz w:val="17"/>
          <w:szCs w:val="17"/>
          <w:b w:val="1"/>
          <w:bCs w:val="1"/>
          <w:i w:val="1"/>
          <w:iCs w:val="1"/>
          <w:color w:val="auto"/>
        </w:rPr>
      </w:pPr>
      <w:r>
        <w:rPr>
          <w:rFonts w:ascii="Arial" w:cs="Arial" w:eastAsia="Arial" w:hAnsi="Arial"/>
          <w:sz w:val="17"/>
          <w:szCs w:val="17"/>
          <w:i w:val="1"/>
          <w:iCs w:val="1"/>
          <w:color w:val="auto"/>
        </w:rPr>
        <w:t>Business transaction costs</w:t>
      </w:r>
      <w:r>
        <w:rPr>
          <w:rFonts w:ascii="Arial" w:cs="Arial" w:eastAsia="Arial" w:hAnsi="Arial"/>
          <w:sz w:val="17"/>
          <w:szCs w:val="17"/>
          <w:color w:val="auto"/>
        </w:rPr>
        <w:t>. There were no business transaction costs for the fifty-two weeks ended August 28, 2021. Business transaction costs</w:t>
      </w:r>
      <w:r>
        <w:rPr>
          <w:rFonts w:ascii="Arial" w:cs="Arial" w:eastAsia="Arial" w:hAnsi="Arial"/>
          <w:sz w:val="17"/>
          <w:szCs w:val="17"/>
          <w:i w:val="1"/>
          <w:iCs w:val="1"/>
          <w:color w:val="auto"/>
        </w:rPr>
        <w:t xml:space="preserve"> </w:t>
      </w:r>
      <w:r>
        <w:rPr>
          <w:rFonts w:ascii="Arial" w:cs="Arial" w:eastAsia="Arial" w:hAnsi="Arial"/>
          <w:sz w:val="17"/>
          <w:szCs w:val="17"/>
          <w:color w:val="auto"/>
        </w:rPr>
        <w:t>were $27.1 million for the fifty-two weeks ended August 29, 2020 and comprised expenses related to the Quest Acquisition.</w:t>
      </w:r>
    </w:p>
    <w:p>
      <w:pPr>
        <w:spacing w:after="0" w:line="38" w:lineRule="exact"/>
        <w:rPr>
          <w:rFonts w:ascii="Arial" w:cs="Arial" w:eastAsia="Arial" w:hAnsi="Arial"/>
          <w:sz w:val="17"/>
          <w:szCs w:val="17"/>
          <w:b w:val="1"/>
          <w:bCs w:val="1"/>
          <w:i w:val="1"/>
          <w:iCs w:val="1"/>
          <w:color w:val="auto"/>
        </w:rPr>
      </w:pPr>
    </w:p>
    <w:p>
      <w:pPr>
        <w:ind w:left="660" w:hanging="328"/>
        <w:spacing w:after="0" w:line="277" w:lineRule="auto"/>
        <w:tabs>
          <w:tab w:leader="none" w:pos="655"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Loss on impairment</w:t>
      </w:r>
      <w:r>
        <w:rPr>
          <w:rFonts w:ascii="Arial" w:cs="Arial" w:eastAsia="Arial" w:hAnsi="Arial"/>
          <w:sz w:val="18"/>
          <w:szCs w:val="18"/>
          <w:color w:val="auto"/>
        </w:rPr>
        <w:t>. There was no loss on impairment for the fifty-two weeks ended August 28, 2021. Loss on impairment was $3.0 million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fifty-two weeks ended August 29, 2020 and related to the impairment of the SimplyProtein brand intangible asset.</w:t>
      </w:r>
    </w:p>
    <w:p>
      <w:pPr>
        <w:spacing w:after="0" w:line="197" w:lineRule="exact"/>
        <w:rPr>
          <w:sz w:val="20"/>
          <w:szCs w:val="20"/>
          <w:color w:val="auto"/>
        </w:rPr>
      </w:pPr>
    </w:p>
    <w:p>
      <w:pPr>
        <w:jc w:val="both"/>
        <w:ind w:firstLine="207"/>
        <w:spacing w:after="0" w:line="263" w:lineRule="auto"/>
        <w:rPr>
          <w:sz w:val="20"/>
          <w:szCs w:val="20"/>
          <w:color w:val="auto"/>
        </w:rPr>
      </w:pPr>
      <w:r>
        <w:rPr>
          <w:rFonts w:ascii="Arial" w:cs="Arial" w:eastAsia="Arial" w:hAnsi="Arial"/>
          <w:sz w:val="18"/>
          <w:szCs w:val="18"/>
          <w:b w:val="1"/>
          <w:bCs w:val="1"/>
          <w:i w:val="1"/>
          <w:iCs w:val="1"/>
          <w:color w:val="auto"/>
        </w:rPr>
        <w:t xml:space="preserve">Interest income. </w:t>
      </w:r>
      <w:r>
        <w:rPr>
          <w:rFonts w:ascii="Arial" w:cs="Arial" w:eastAsia="Arial" w:hAnsi="Arial"/>
          <w:sz w:val="18"/>
          <w:szCs w:val="18"/>
          <w:color w:val="auto"/>
        </w:rPr>
        <w:t>Interest income decreased $1.4 million for the fifty-two weeks ended August 28, 2021 compared to the fifty-two weeks ended August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29, 2020 primarily due to $195.3 million of cash on hand being utilized for the Quest Acquisition in the first quarter of fiscal year 2020 and lower market rates.</w:t>
      </w:r>
    </w:p>
    <w:p>
      <w:pPr>
        <w:spacing w:after="0" w:line="211" w:lineRule="exact"/>
        <w:rPr>
          <w:sz w:val="20"/>
          <w:szCs w:val="20"/>
          <w:color w:val="auto"/>
        </w:rPr>
      </w:pPr>
    </w:p>
    <w:p>
      <w:pPr>
        <w:jc w:val="both"/>
        <w:ind w:firstLine="180"/>
        <w:spacing w:after="0" w:line="273" w:lineRule="auto"/>
        <w:rPr>
          <w:sz w:val="20"/>
          <w:szCs w:val="20"/>
          <w:color w:val="auto"/>
        </w:rPr>
      </w:pPr>
      <w:r>
        <w:rPr>
          <w:rFonts w:ascii="Arial" w:cs="Arial" w:eastAsia="Arial" w:hAnsi="Arial"/>
          <w:sz w:val="17"/>
          <w:szCs w:val="17"/>
          <w:b w:val="1"/>
          <w:bCs w:val="1"/>
          <w:i w:val="1"/>
          <w:iCs w:val="1"/>
          <w:color w:val="auto"/>
        </w:rPr>
        <w:t xml:space="preserve">Interest expense. </w:t>
      </w:r>
      <w:r>
        <w:rPr>
          <w:rFonts w:ascii="Arial" w:cs="Arial" w:eastAsia="Arial" w:hAnsi="Arial"/>
          <w:sz w:val="17"/>
          <w:szCs w:val="17"/>
          <w:color w:val="auto"/>
        </w:rPr>
        <w:t>Interest expense decreased $1.3 million for the fifty-two weeks ended August 28, 2021 compared to the fifty-two weeks ended August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29, 2020 primarily due to principal payments reducing the outstanding balance of the Term Facility (as defined below). We funded the Term Facility in the amount of $460.0 million to partially finance the Quest Acquisition in the first quarter of fiscal 2020, and we made principal repayments of $50.0 million during fiscal year 2020. In fiscal year 2021, we made additional principal payments of $150.0 million. The decrease in interest expense was partially offset by a $1.1 million increase in amortization of deferred financing costs and debt discount, which was $4.6 million for the fifty-two weeks ended August 28, 2021 compared to $3.5 million for the fifty-two weeks ended August 29, 2020.</w:t>
      </w:r>
    </w:p>
    <w:p>
      <w:pPr>
        <w:spacing w:after="0" w:line="205" w:lineRule="exact"/>
        <w:rPr>
          <w:sz w:val="20"/>
          <w:szCs w:val="20"/>
          <w:color w:val="auto"/>
        </w:rPr>
      </w:pPr>
    </w:p>
    <w:p>
      <w:pPr>
        <w:jc w:val="both"/>
        <w:ind w:firstLine="234"/>
        <w:spacing w:after="0" w:line="259" w:lineRule="auto"/>
        <w:rPr>
          <w:sz w:val="20"/>
          <w:szCs w:val="20"/>
          <w:color w:val="auto"/>
        </w:rPr>
      </w:pPr>
      <w:r>
        <w:rPr>
          <w:rFonts w:ascii="Arial" w:cs="Arial" w:eastAsia="Arial" w:hAnsi="Arial"/>
          <w:sz w:val="18"/>
          <w:szCs w:val="18"/>
          <w:b w:val="1"/>
          <w:bCs w:val="1"/>
          <w:i w:val="1"/>
          <w:iCs w:val="1"/>
          <w:color w:val="auto"/>
        </w:rPr>
        <w:t>(Loss) gain in fair value change of warrant liability</w:t>
      </w:r>
      <w:r>
        <w:rPr>
          <w:rFonts w:ascii="Arial" w:cs="Arial" w:eastAsia="Arial" w:hAnsi="Arial"/>
          <w:sz w:val="18"/>
          <w:szCs w:val="18"/>
          <w:color w:val="auto"/>
        </w:rPr>
        <w:t>. During the fifty-two weeks ended August 28, 2021 and the fifty-two weeks ended August 29,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we recorded a non-cash loss of $66.2 million and a non-cash gain of $30.9 million, respectively, related to changes in valuation of our liability-classified warrants issued through a private placement (“Private Warrants”), which is primarily driven by movements in our stock price and volatility measurements.</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 xml:space="preserve">Gain on legal settlement. </w:t>
      </w:r>
      <w:r>
        <w:rPr>
          <w:rFonts w:ascii="Arial" w:cs="Arial" w:eastAsia="Arial" w:hAnsi="Arial"/>
          <w:sz w:val="17"/>
          <w:szCs w:val="17"/>
          <w:color w:val="auto"/>
        </w:rPr>
        <w:t>The Company recorded a $5.0 million gain on a legal settlement during the fifty-two weeks ended August 28, 2021.</w:t>
      </w:r>
    </w:p>
    <w:p>
      <w:pPr>
        <w:spacing w:after="0" w:line="264" w:lineRule="exact"/>
        <w:rPr>
          <w:sz w:val="20"/>
          <w:szCs w:val="20"/>
          <w:color w:val="auto"/>
        </w:rPr>
      </w:pPr>
    </w:p>
    <w:p>
      <w:pPr>
        <w:jc w:val="both"/>
        <w:ind w:firstLine="207"/>
        <w:spacing w:after="0" w:line="263" w:lineRule="auto"/>
        <w:rPr>
          <w:sz w:val="20"/>
          <w:szCs w:val="20"/>
          <w:color w:val="auto"/>
        </w:rPr>
      </w:pPr>
      <w:r>
        <w:rPr>
          <w:rFonts w:ascii="Arial" w:cs="Arial" w:eastAsia="Arial" w:hAnsi="Arial"/>
          <w:sz w:val="18"/>
          <w:szCs w:val="18"/>
          <w:b w:val="1"/>
          <w:bCs w:val="1"/>
          <w:i w:val="1"/>
          <w:iCs w:val="1"/>
          <w:color w:val="auto"/>
        </w:rPr>
        <w:t xml:space="preserve">(Loss) gain on foreign currency transactions. </w:t>
      </w:r>
      <w:r>
        <w:rPr>
          <w:rFonts w:ascii="Arial" w:cs="Arial" w:eastAsia="Arial" w:hAnsi="Arial"/>
          <w:sz w:val="18"/>
          <w:szCs w:val="18"/>
          <w:color w:val="auto"/>
        </w:rPr>
        <w:t>An immaterial loss on foreign currency transactions was recorded for the fifty-two weeks ended August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28, 2021 compared to a foreign currency gain of $0.7 million for the fifty-two weeks ended August 29, 2020. The variance primarily relates to changes in foreign currency rates related to our international operations.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41" w:name="page42"/>
    <w:bookmarkEnd w:id="41"/>
    <w:p>
      <w:pPr>
        <w:jc w:val="both"/>
        <w:ind w:firstLine="180"/>
        <w:spacing w:after="0" w:line="263"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Income tax expense increased $26.7 million for the fifty-two weeks ended August 28, 2021 compared to the fifty-two weeks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August 29, 2020. The increase in our income tax expense is primarily driven by higher income from operations, partially offset by changes in permanent differences.</w:t>
      </w:r>
    </w:p>
    <w:p>
      <w:pPr>
        <w:spacing w:after="0" w:line="211" w:lineRule="exact"/>
        <w:rPr>
          <w:sz w:val="20"/>
          <w:szCs w:val="20"/>
          <w:color w:val="auto"/>
        </w:rPr>
      </w:pPr>
    </w:p>
    <w:p>
      <w:pPr>
        <w:jc w:val="both"/>
        <w:ind w:firstLine="180"/>
        <w:spacing w:after="0" w:line="257" w:lineRule="auto"/>
        <w:rPr>
          <w:sz w:val="20"/>
          <w:szCs w:val="20"/>
          <w:color w:val="auto"/>
        </w:rPr>
      </w:pPr>
      <w:r>
        <w:rPr>
          <w:rFonts w:ascii="Arial" w:cs="Arial" w:eastAsia="Arial" w:hAnsi="Arial"/>
          <w:sz w:val="18"/>
          <w:szCs w:val="18"/>
          <w:b w:val="1"/>
          <w:bCs w:val="1"/>
          <w:i w:val="1"/>
          <w:iCs w:val="1"/>
          <w:color w:val="auto"/>
        </w:rPr>
        <w:t xml:space="preserve">Net income (loss). </w:t>
      </w:r>
      <w:r>
        <w:rPr>
          <w:rFonts w:ascii="Arial" w:cs="Arial" w:eastAsia="Arial" w:hAnsi="Arial"/>
          <w:sz w:val="18"/>
          <w:szCs w:val="18"/>
          <w:color w:val="auto"/>
        </w:rPr>
        <w:t>Net income was $40.9 million for the fifty-two weeks ended August 28, 2021, a decrease of $24.8 million, compared to net income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$65.6 million for the fifty-two weeks ended August 29, 2020. The decrease in net income was primarily driven by the non-cash fair value loss in the current period compared to a fair value gain in the prior period related to the measurement of our liability-classified Private Warrants, and also the increase to our income tax expense for the fiscal year 2021 as compared to the fiscal year 2020, which was partially offset by increased income from operations as discussed above.</w:t>
      </w:r>
    </w:p>
    <w:p>
      <w:pPr>
        <w:spacing w:after="0" w:line="215" w:lineRule="exact"/>
        <w:rPr>
          <w:sz w:val="20"/>
          <w:szCs w:val="20"/>
          <w:color w:val="auto"/>
        </w:rPr>
      </w:pPr>
    </w:p>
    <w:p>
      <w:pPr>
        <w:jc w:val="both"/>
        <w:ind w:firstLine="247"/>
        <w:spacing w:after="0" w:line="259"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Adjusted EBITDA increased $53.4 million, or 34.7%, for the fifty-two weeks ended August 28, 2021 compared to the fifty-two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weeks ended August 29, 2020, driven primarily by sales volume growth for both brands and Quest’s full-year inclusion in our results of operations in fiscal year 2021 as compared to Quest’s partial inclusion in fiscal year 2020 as discussed above. For a reconciliation of Adjusted EBITDA to its most directly comparable GAAP measure, see “Reconciliation of EBITDA and Adjusted EBITDA” below.</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EBITDA and Adjusted EBITDA</w:t>
      </w:r>
    </w:p>
    <w:p>
      <w:pPr>
        <w:spacing w:after="0" w:line="252" w:lineRule="exact"/>
        <w:rPr>
          <w:sz w:val="20"/>
          <w:szCs w:val="20"/>
          <w:color w:val="auto"/>
        </w:rPr>
      </w:pPr>
    </w:p>
    <w:p>
      <w:pPr>
        <w:jc w:val="both"/>
        <w:ind w:firstLine="225"/>
        <w:spacing w:after="0" w:line="287" w:lineRule="auto"/>
        <w:rPr>
          <w:sz w:val="20"/>
          <w:szCs w:val="20"/>
          <w:color w:val="auto"/>
        </w:rPr>
      </w:pPr>
      <w:r>
        <w:rPr>
          <w:rFonts w:ascii="Arial" w:cs="Arial" w:eastAsia="Arial" w:hAnsi="Arial"/>
          <w:sz w:val="16"/>
          <w:szCs w:val="16"/>
          <w:color w:val="auto"/>
        </w:rPr>
        <w:t>EBITDA and Adjusted EBITDA are non-GAAP financial measures commonly used in our industry and should not be construed as alternatives to net income as an indicator of operating performance or as alternatives to cash flow provided by operating activities as a measure of liquidity (each as determined in accordance with GAAP). Simply Good Foods defines EBITDA as net income or loss before interest income, interest expense, income tax expense, depreciation and amortization, and Adjusted EBITDA as further adjusted to exclude the following items: business transaction costs, stock-based compensation expense, inventory step-up, integration costs, restructuring costs, non-core legal costs, gain or loss in fair value change of warrant liability, gain or loss due to legal settlements, and other non-core expenses. The Company believes that EBITDA and Adjusted EBITDA, when used in conjunction with net income, are useful to provide additional information to investors. Management of the Company uses EBITDA and Adjusted EBITDA to supplement net income because these measures reflect operating results of the on-going operations, eliminate items that are not directly attributable to the Company’s underlying operating performance, enhance the overall understanding of past financial performance and future prospects, and allow for greater transparency with respect to the key metrics the Company’s management uses in its financial and operational decision making. The Company also believes that Adjusted EBITDA is frequently used by securities analysts, investors and other interested parties in the evaluation of companies in its industry. Adjusted EBITDA may not be comparable to other similarly titled captions of other companies due to differences in the non-GAAP calculation.</w:t>
      </w:r>
    </w:p>
    <w:p>
      <w:pPr>
        <w:spacing w:after="0" w:line="195" w:lineRule="exact"/>
        <w:rPr>
          <w:sz w:val="20"/>
          <w:szCs w:val="20"/>
          <w:color w:val="auto"/>
        </w:rPr>
      </w:pPr>
    </w:p>
    <w:p>
      <w:pPr>
        <w:jc w:val="both"/>
        <w:ind w:firstLine="183"/>
        <w:spacing w:after="0" w:line="277" w:lineRule="auto"/>
        <w:rPr>
          <w:sz w:val="20"/>
          <w:szCs w:val="20"/>
          <w:color w:val="auto"/>
        </w:rPr>
      </w:pPr>
      <w:r>
        <w:rPr>
          <w:rFonts w:ascii="Arial" w:cs="Arial" w:eastAsia="Arial" w:hAnsi="Arial"/>
          <w:sz w:val="18"/>
          <w:szCs w:val="18"/>
          <w:color w:val="auto"/>
        </w:rPr>
        <w:t>The following unaudited table provides a reconciliation of EBITDA and Adjusted EBITDA to its most directly comparable GAAP measure, which is net income, for the fifty-two weeks ended August 28, 2021 and the fifty-two weeks ended August 29, 2020:</w:t>
      </w:r>
    </w:p>
    <w:p>
      <w:pPr>
        <w:spacing w:after="0" w:line="121" w:lineRule="exact"/>
        <w:rPr>
          <w:sz w:val="20"/>
          <w:szCs w:val="20"/>
          <w:color w:val="auto"/>
        </w:rPr>
      </w:pPr>
    </w:p>
    <w:tbl>
      <w:tblPr>
        <w:tblLayout w:type="fixed"/>
        <w:tblInd w:w="1420" w:type="dxa"/>
        <w:tblCellMar>
          <w:top w:w="0" w:type="dxa"/>
          <w:left w:w="0" w:type="dxa"/>
          <w:bottom w:w="0" w:type="dxa"/>
          <w:right w:w="0" w:type="dxa"/>
        </w:tblCellMar>
      </w:tblPr>
      <w:tr>
        <w:trPr>
          <w:trHeight w:val="206"/>
        </w:trPr>
        <w:tc>
          <w:tcPr>
            <w:tcW w:w="5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ind w:left="60"/>
              <w:spacing w:after="0"/>
              <w:rPr>
                <w:sz w:val="20"/>
                <w:szCs w:val="20"/>
                <w:color w:val="auto"/>
              </w:rPr>
            </w:pPr>
            <w:r>
              <w:rPr>
                <w:rFonts w:ascii="Arial" w:cs="Arial" w:eastAsia="Arial" w:hAnsi="Arial"/>
                <w:sz w:val="16"/>
                <w:szCs w:val="16"/>
                <w:color w:val="auto"/>
              </w:rPr>
              <w:t>52-Weeks Ended</w:t>
            </w:r>
          </w:p>
        </w:tc>
        <w:tc>
          <w:tcPr>
            <w:tcW w:w="140" w:type="dxa"/>
            <w:vAlign w:val="bottom"/>
          </w:tcPr>
          <w:p>
            <w:pPr>
              <w:spacing w:after="0"/>
              <w:rPr>
                <w:sz w:val="17"/>
                <w:szCs w:val="17"/>
                <w:color w:val="auto"/>
              </w:rPr>
            </w:pPr>
          </w:p>
        </w:tc>
        <w:tc>
          <w:tcPr>
            <w:tcW w:w="1380" w:type="dxa"/>
            <w:vAlign w:val="bottom"/>
          </w:tcPr>
          <w:p>
            <w:pPr>
              <w:jc w:val="right"/>
              <w:ind w:right="139"/>
              <w:spacing w:after="0"/>
              <w:rPr>
                <w:sz w:val="20"/>
                <w:szCs w:val="20"/>
                <w:color w:val="auto"/>
              </w:rPr>
            </w:pPr>
            <w:r>
              <w:rPr>
                <w:rFonts w:ascii="Arial" w:cs="Arial" w:eastAsia="Arial" w:hAnsi="Arial"/>
                <w:sz w:val="16"/>
                <w:szCs w:val="16"/>
                <w:color w:val="auto"/>
                <w:w w:val="92"/>
              </w:rPr>
              <w:t>52-Weeks Ended</w:t>
            </w:r>
          </w:p>
        </w:tc>
      </w:tr>
      <w:tr>
        <w:trPr>
          <w:trHeight w:val="300"/>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96"/>
              </w:rPr>
              <w:t>August 28, 2021</w:t>
            </w:r>
          </w:p>
        </w:tc>
        <w:tc>
          <w:tcPr>
            <w:tcW w:w="1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97"/>
              </w:rPr>
              <w:t>August 29, 2020</w:t>
            </w:r>
          </w:p>
        </w:tc>
      </w:tr>
      <w:tr>
        <w:trPr>
          <w:trHeight w:val="253"/>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40,880</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65,638</w:t>
            </w:r>
          </w:p>
        </w:tc>
      </w:tr>
      <w:tr>
        <w:trPr>
          <w:trHeight w:val="267"/>
        </w:trPr>
        <w:tc>
          <w:tcPr>
            <w:tcW w:w="5240" w:type="dxa"/>
            <w:vAlign w:val="bottom"/>
            <w:gridSpan w:val="2"/>
          </w:tcPr>
          <w:p>
            <w:pPr>
              <w:ind w:left="20"/>
              <w:spacing w:after="0"/>
              <w:rPr>
                <w:sz w:val="20"/>
                <w:szCs w:val="20"/>
                <w:color w:val="auto"/>
              </w:rPr>
            </w:pPr>
            <w:r>
              <w:rPr>
                <w:rFonts w:ascii="Arial" w:cs="Arial" w:eastAsia="Arial" w:hAnsi="Arial"/>
                <w:sz w:val="16"/>
                <w:szCs w:val="16"/>
                <w:color w:val="auto"/>
              </w:rPr>
              <w:t>Interest income</w:t>
            </w:r>
          </w:p>
        </w:tc>
        <w:tc>
          <w:tcPr>
            <w:tcW w:w="1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(84)</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(1,516)</w:t>
            </w:r>
          </w:p>
        </w:tc>
      </w:tr>
      <w:tr>
        <w:trPr>
          <w:trHeight w:val="273"/>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6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31,557</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32,813</w:t>
            </w:r>
          </w:p>
        </w:tc>
      </w:tr>
      <w:tr>
        <w:trPr>
          <w:trHeight w:val="267"/>
        </w:trPr>
        <w:tc>
          <w:tcPr>
            <w:tcW w:w="5240" w:type="dxa"/>
            <w:vAlign w:val="bottom"/>
            <w:gridSpan w:val="2"/>
          </w:tcPr>
          <w:p>
            <w:pPr>
              <w:ind w:left="20"/>
              <w:spacing w:after="0"/>
              <w:rPr>
                <w:sz w:val="20"/>
                <w:szCs w:val="20"/>
                <w:color w:val="auto"/>
              </w:rPr>
            </w:pPr>
            <w:r>
              <w:rPr>
                <w:rFonts w:ascii="Arial" w:cs="Arial" w:eastAsia="Arial" w:hAnsi="Arial"/>
                <w:sz w:val="16"/>
                <w:szCs w:val="16"/>
                <w:color w:val="auto"/>
              </w:rPr>
              <w:t>Income tax expense</w:t>
            </w:r>
          </w:p>
        </w:tc>
        <w:tc>
          <w:tcPr>
            <w:tcW w:w="1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39,980</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13,326</w:t>
            </w:r>
          </w:p>
        </w:tc>
      </w:tr>
      <w:tr>
        <w:trPr>
          <w:trHeight w:val="270"/>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16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18,174</w:t>
            </w:r>
          </w:p>
        </w:tc>
        <w:tc>
          <w:tcPr>
            <w:tcW w:w="14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16,007</w:t>
            </w:r>
          </w:p>
        </w:tc>
      </w:tr>
      <w:tr>
        <w:trPr>
          <w:trHeight w:val="250"/>
        </w:trPr>
        <w:tc>
          <w:tcPr>
            <w:tcW w:w="5240" w:type="dxa"/>
            <w:vAlign w:val="bottom"/>
            <w:gridSpan w:val="2"/>
          </w:tcPr>
          <w:p>
            <w:pPr>
              <w:ind w:left="20"/>
              <w:spacing w:after="0"/>
              <w:rPr>
                <w:sz w:val="20"/>
                <w:szCs w:val="20"/>
                <w:color w:val="auto"/>
              </w:rPr>
            </w:pPr>
            <w:r>
              <w:rPr>
                <w:rFonts w:ascii="Arial" w:cs="Arial" w:eastAsia="Arial" w:hAnsi="Arial"/>
                <w:sz w:val="16"/>
                <w:szCs w:val="16"/>
                <w:color w:val="auto"/>
              </w:rPr>
              <w:t>EBITDA</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130,507</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126,268</w:t>
            </w:r>
          </w:p>
        </w:tc>
      </w:tr>
      <w:tr>
        <w:trPr>
          <w:trHeight w:val="273"/>
        </w:trPr>
        <w:tc>
          <w:tcPr>
            <w:tcW w:w="52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Business transaction costs</w:t>
            </w:r>
          </w:p>
        </w:tc>
        <w:tc>
          <w:tcPr>
            <w:tcW w:w="160" w:type="dxa"/>
            <w:vAlign w:val="bottom"/>
            <w:shd w:val="clear" w:color="auto" w:fill="CCEEFF"/>
          </w:tcPr>
          <w:p>
            <w:pPr>
              <w:spacing w:after="0"/>
              <w:rPr>
                <w:sz w:val="23"/>
                <w:szCs w:val="23"/>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27,125</w:t>
            </w:r>
          </w:p>
        </w:tc>
      </w:tr>
      <w:tr>
        <w:trPr>
          <w:trHeight w:val="267"/>
        </w:trPr>
        <w:tc>
          <w:tcPr>
            <w:tcW w:w="5240" w:type="dxa"/>
            <w:vAlign w:val="bottom"/>
            <w:gridSpan w:val="2"/>
          </w:tcPr>
          <w:p>
            <w:pPr>
              <w:ind w:left="140"/>
              <w:spacing w:after="0"/>
              <w:rPr>
                <w:sz w:val="20"/>
                <w:szCs w:val="20"/>
                <w:color w:val="auto"/>
              </w:rPr>
            </w:pPr>
            <w:r>
              <w:rPr>
                <w:rFonts w:ascii="Arial" w:cs="Arial" w:eastAsia="Arial" w:hAnsi="Arial"/>
                <w:sz w:val="16"/>
                <w:szCs w:val="16"/>
                <w:color w:val="auto"/>
              </w:rPr>
              <w:t>Stock-based compensation expense</w:t>
            </w:r>
          </w:p>
        </w:tc>
        <w:tc>
          <w:tcPr>
            <w:tcW w:w="1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8,265</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7,636</w:t>
            </w:r>
          </w:p>
        </w:tc>
      </w:tr>
      <w:tr>
        <w:trPr>
          <w:trHeight w:val="273"/>
        </w:trPr>
        <w:tc>
          <w:tcPr>
            <w:tcW w:w="52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Inventory step-up</w:t>
            </w:r>
          </w:p>
        </w:tc>
        <w:tc>
          <w:tcPr>
            <w:tcW w:w="160" w:type="dxa"/>
            <w:vAlign w:val="bottom"/>
            <w:shd w:val="clear" w:color="auto" w:fill="CCEEFF"/>
          </w:tcPr>
          <w:p>
            <w:pPr>
              <w:spacing w:after="0"/>
              <w:rPr>
                <w:sz w:val="23"/>
                <w:szCs w:val="23"/>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7,522</w:t>
            </w:r>
          </w:p>
        </w:tc>
      </w:tr>
      <w:tr>
        <w:trPr>
          <w:trHeight w:val="267"/>
        </w:trPr>
        <w:tc>
          <w:tcPr>
            <w:tcW w:w="5240" w:type="dxa"/>
            <w:vAlign w:val="bottom"/>
            <w:gridSpan w:val="2"/>
          </w:tcPr>
          <w:p>
            <w:pPr>
              <w:ind w:left="140"/>
              <w:spacing w:after="0"/>
              <w:rPr>
                <w:sz w:val="20"/>
                <w:szCs w:val="20"/>
                <w:color w:val="auto"/>
              </w:rPr>
            </w:pPr>
            <w:r>
              <w:rPr>
                <w:rFonts w:ascii="Arial" w:cs="Arial" w:eastAsia="Arial" w:hAnsi="Arial"/>
                <w:sz w:val="16"/>
                <w:szCs w:val="16"/>
                <w:color w:val="auto"/>
              </w:rPr>
              <w:t>Integration of Quest</w:t>
            </w:r>
          </w:p>
        </w:tc>
        <w:tc>
          <w:tcPr>
            <w:tcW w:w="1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2,928</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10,742</w:t>
            </w:r>
          </w:p>
        </w:tc>
      </w:tr>
      <w:tr>
        <w:trPr>
          <w:trHeight w:val="273"/>
        </w:trPr>
        <w:tc>
          <w:tcPr>
            <w:tcW w:w="52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Restructuring</w:t>
            </w:r>
          </w:p>
        </w:tc>
        <w:tc>
          <w:tcPr>
            <w:tcW w:w="16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4,324</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5,527</w:t>
            </w:r>
          </w:p>
        </w:tc>
      </w:tr>
      <w:tr>
        <w:trPr>
          <w:trHeight w:val="267"/>
        </w:trPr>
        <w:tc>
          <w:tcPr>
            <w:tcW w:w="5240" w:type="dxa"/>
            <w:vAlign w:val="bottom"/>
            <w:gridSpan w:val="2"/>
          </w:tcPr>
          <w:p>
            <w:pPr>
              <w:ind w:left="140"/>
              <w:spacing w:after="0"/>
              <w:rPr>
                <w:sz w:val="20"/>
                <w:szCs w:val="20"/>
                <w:color w:val="auto"/>
              </w:rPr>
            </w:pPr>
            <w:r>
              <w:rPr>
                <w:rFonts w:ascii="Arial" w:cs="Arial" w:eastAsia="Arial" w:hAnsi="Arial"/>
                <w:sz w:val="16"/>
                <w:szCs w:val="16"/>
                <w:color w:val="auto"/>
              </w:rPr>
              <w:t>Non-core legal costs</w:t>
            </w:r>
          </w:p>
        </w:tc>
        <w:tc>
          <w:tcPr>
            <w:tcW w:w="160" w:type="dxa"/>
            <w:vAlign w:val="bottom"/>
          </w:tcPr>
          <w:p>
            <w:pPr>
              <w:spacing w:after="0"/>
              <w:rPr>
                <w:sz w:val="23"/>
                <w:szCs w:val="23"/>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718</w:t>
            </w:r>
          </w:p>
        </w:tc>
      </w:tr>
      <w:tr>
        <w:trPr>
          <w:trHeight w:val="273"/>
        </w:trPr>
        <w:tc>
          <w:tcPr>
            <w:tcW w:w="5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Loss (gain) in fair value change of warrant liability</w:t>
            </w:r>
          </w:p>
        </w:tc>
        <w:tc>
          <w:tcPr>
            <w:tcW w:w="16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66,197</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(30,938)</w:t>
            </w:r>
          </w:p>
        </w:tc>
      </w:tr>
      <w:tr>
        <w:trPr>
          <w:trHeight w:val="267"/>
        </w:trPr>
        <w:tc>
          <w:tcPr>
            <w:tcW w:w="5240" w:type="dxa"/>
            <w:vAlign w:val="bottom"/>
            <w:gridSpan w:val="2"/>
          </w:tcPr>
          <w:p>
            <w:pPr>
              <w:ind w:left="140"/>
              <w:spacing w:after="0"/>
              <w:rPr>
                <w:sz w:val="20"/>
                <w:szCs w:val="20"/>
                <w:color w:val="auto"/>
              </w:rPr>
            </w:pPr>
            <w:r>
              <w:rPr>
                <w:rFonts w:ascii="Arial" w:cs="Arial" w:eastAsia="Arial" w:hAnsi="Arial"/>
                <w:sz w:val="16"/>
                <w:szCs w:val="16"/>
                <w:color w:val="auto"/>
              </w:rPr>
              <w:t>Gain on legal settlement</w:t>
            </w:r>
          </w:p>
        </w:tc>
        <w:tc>
          <w:tcPr>
            <w:tcW w:w="1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(5,000)</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3"/>
        </w:trPr>
        <w:tc>
          <w:tcPr>
            <w:tcW w:w="52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16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4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(688)</w:t>
            </w:r>
          </w:p>
        </w:tc>
      </w:tr>
      <w:tr>
        <w:trPr>
          <w:trHeight w:val="223"/>
        </w:trPr>
        <w:tc>
          <w:tcPr>
            <w:tcW w:w="5240" w:type="dxa"/>
            <w:vAlign w:val="bottom"/>
            <w:gridSpan w:val="2"/>
          </w:tcPr>
          <w:p>
            <w:pPr>
              <w:ind w:left="20"/>
              <w:spacing w:after="0"/>
              <w:rPr>
                <w:sz w:val="20"/>
                <w:szCs w:val="20"/>
                <w:color w:val="auto"/>
              </w:rPr>
            </w:pPr>
            <w:r>
              <w:rPr>
                <w:rFonts w:ascii="Arial" w:cs="Arial" w:eastAsia="Arial" w:hAnsi="Arial"/>
                <w:sz w:val="16"/>
                <w:szCs w:val="16"/>
                <w:color w:val="auto"/>
              </w:rPr>
              <w:t>Adjusted EBITDA</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207,273</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153,912</w:t>
            </w:r>
          </w:p>
        </w:tc>
      </w:tr>
      <w:tr>
        <w:trPr>
          <w:trHeight w:val="20"/>
        </w:trPr>
        <w:tc>
          <w:tcPr>
            <w:tcW w:w="5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6" w:lineRule="exact"/>
        <w:rPr>
          <w:sz w:val="20"/>
          <w:szCs w:val="20"/>
          <w:color w:val="auto"/>
        </w:rPr>
      </w:pPr>
    </w:p>
    <w:p>
      <w:pPr>
        <w:ind w:left="400" w:hanging="230"/>
        <w:spacing w:after="0"/>
        <w:tabs>
          <w:tab w:leader="none" w:pos="400" w:val="left"/>
        </w:tabs>
        <w:numPr>
          <w:ilvl w:val="0"/>
          <w:numId w:val="18"/>
        </w:numPr>
        <w:rPr>
          <w:rFonts w:ascii="Arial" w:cs="Arial" w:eastAsia="Arial" w:hAnsi="Arial"/>
          <w:sz w:val="21"/>
          <w:szCs w:val="21"/>
          <w:color w:val="auto"/>
          <w:vertAlign w:val="superscript"/>
        </w:rPr>
      </w:pPr>
      <w:r>
        <w:rPr>
          <w:rFonts w:ascii="Arial" w:cs="Arial" w:eastAsia="Arial" w:hAnsi="Arial"/>
          <w:sz w:val="16"/>
          <w:szCs w:val="16"/>
          <w:color w:val="auto"/>
        </w:rPr>
        <w:t>Other items consist principally of exchange impact of foreign currency transactions and other expenses.</w:t>
      </w:r>
    </w:p>
    <w:p>
      <w:pPr>
        <w:sectPr>
          <w:pgSz w:w="11900" w:h="16838" w:orient="portrait"/>
          <w:cols w:equalWidth="0" w:num="1">
            <w:col w:w="11240"/>
          </w:cols>
          <w:pgMar w:left="320" w:top="935" w:right="339" w:bottom="1440" w:gutter="0" w:footer="0" w:header="0"/>
        </w:sect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52" w:lineRule="exact"/>
        <w:rPr>
          <w:sz w:val="20"/>
          <w:szCs w:val="20"/>
          <w:color w:val="auto"/>
        </w:rPr>
      </w:pPr>
    </w:p>
    <w:p>
      <w:pPr>
        <w:jc w:val="both"/>
        <w:ind w:firstLine="198"/>
        <w:spacing w:after="0" w:line="277" w:lineRule="auto"/>
        <w:rPr>
          <w:sz w:val="20"/>
          <w:szCs w:val="20"/>
          <w:color w:val="auto"/>
        </w:rPr>
      </w:pPr>
      <w:r>
        <w:rPr>
          <w:rFonts w:ascii="Arial" w:cs="Arial" w:eastAsia="Arial" w:hAnsi="Arial"/>
          <w:sz w:val="18"/>
          <w:szCs w:val="18"/>
          <w:color w:val="auto"/>
        </w:rPr>
        <w:t>We have historically funded our operations with cash flow from operations and, when needed, with borrowings under our credit facilities. Our principal uses of cash have been working capital, debt service, and the Quest Acquisition.</w:t>
      </w:r>
    </w:p>
    <w:p>
      <w:pPr>
        <w:spacing w:after="0" w:line="197" w:lineRule="exact"/>
        <w:rPr>
          <w:sz w:val="20"/>
          <w:szCs w:val="20"/>
          <w:color w:val="auto"/>
        </w:rPr>
      </w:pPr>
    </w:p>
    <w:p>
      <w:pPr>
        <w:jc w:val="both"/>
        <w:ind w:firstLine="290"/>
        <w:spacing w:after="0" w:line="259" w:lineRule="auto"/>
        <w:rPr>
          <w:sz w:val="20"/>
          <w:szCs w:val="20"/>
          <w:color w:val="auto"/>
        </w:rPr>
      </w:pPr>
      <w:r>
        <w:rPr>
          <w:rFonts w:ascii="Arial" w:cs="Arial" w:eastAsia="Arial" w:hAnsi="Arial"/>
          <w:sz w:val="18"/>
          <w:szCs w:val="18"/>
          <w:color w:val="auto"/>
        </w:rPr>
        <w:t>We had $75.3 million in cash as of August 28, 2021. We believe our sources of liquidity and capital will be sufficient to finance our continued operations, growth strategy and additional expenses we expect to incur for at least the next twelve months. As circumstances warrant, we may issue debt and/or equity securities from time to time on an opportunistic basis, dependent upon market conditions and available pricing. We make no assurance that we can issue and sell such securities on acceptable terms or at all.</w:t>
      </w:r>
    </w:p>
    <w:p>
      <w:pPr>
        <w:spacing w:after="0" w:line="214" w:lineRule="exact"/>
        <w:rPr>
          <w:sz w:val="20"/>
          <w:szCs w:val="20"/>
          <w:color w:val="auto"/>
        </w:rPr>
      </w:pPr>
    </w:p>
    <w:p>
      <w:pPr>
        <w:jc w:val="both"/>
        <w:ind w:firstLine="283"/>
        <w:spacing w:after="0" w:line="259" w:lineRule="auto"/>
        <w:rPr>
          <w:sz w:val="20"/>
          <w:szCs w:val="20"/>
          <w:color w:val="auto"/>
        </w:rPr>
      </w:pPr>
      <w:r>
        <w:rPr>
          <w:rFonts w:ascii="Arial" w:cs="Arial" w:eastAsia="Arial" w:hAnsi="Arial"/>
          <w:sz w:val="18"/>
          <w:szCs w:val="18"/>
          <w:color w:val="auto"/>
        </w:rPr>
        <w:t>Our material future cash requirements from contractual and other obligations relate primarily to our principal and interest payments for our Term Facility, as discussed below, and our operating and finance leases. Refer to Note 7, Long-Term Debt and Line of Credit, and Note 10, Leases, of the Consolidated Financial Statements included in Item 8 of this Report for additional information related to the expected timing and amount of payments related to our contractual and other obligations.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and Credit Facilities</w:t>
      </w:r>
    </w:p>
    <w:p>
      <w:pPr>
        <w:spacing w:after="0" w:line="252" w:lineRule="exact"/>
        <w:rPr>
          <w:sz w:val="20"/>
          <w:szCs w:val="20"/>
          <w:color w:val="auto"/>
        </w:rPr>
      </w:pPr>
    </w:p>
    <w:p>
      <w:pPr>
        <w:jc w:val="both"/>
        <w:ind w:firstLine="184"/>
        <w:spacing w:after="0" w:line="286" w:lineRule="auto"/>
        <w:rPr>
          <w:sz w:val="20"/>
          <w:szCs w:val="20"/>
          <w:color w:val="auto"/>
        </w:rPr>
      </w:pPr>
      <w:r>
        <w:rPr>
          <w:rFonts w:ascii="Arial" w:cs="Arial" w:eastAsia="Arial" w:hAnsi="Arial"/>
          <w:sz w:val="16"/>
          <w:szCs w:val="16"/>
          <w:color w:val="auto"/>
        </w:rPr>
        <w:t>On July 7, 2017, we entered into a credit agreement with Barclays Bank PLC and other parties (as amended to date, the “Credit Agreement”). The Credit Agreement at that time provided for (i) a term facility of $200.0 million (“Term Facility”) with a seven-year maturity and (ii) a revolving credit facility of up to $75.0 million (the “Revolving Credit Facility”) with a five-year maturity. Substantially concurrent with the consummation of the Business Combination, the full $200.0 million of the Term Facility (the “Term Loan”) was drawn. The interest rate per annum is based on either: (i) a base rate equaling the higher of (a) the “prime rate,” (b) the federal funds effective rate plus 0.50%, or (c) the Euro-currency rate applicable for an interest period of one month plus 1.00% plus (x) 3.00% margin for the Term Loan or (y) 2.00% margin for the Revolving Credit Facility, or (ii) London Interbank Offered Rate (“LIBOR”) adjusted for statutory reserve requirements plus (x) 4.00% margin for the Term Loan subject to a floor of 1.00% or (y) 3.00% margin for the Revolving Credit Facility. The Simply Good Foods Company is not a borrower under the Credit Agreement and has not provided a guarantee of the Credit Agreement. Simply Good Foods USA, Inc., is the administrative borrower and certain other subsidiary holding companies are co-borrowers under the Credit Agreement. Each of our domestic subsidiaries that is not a named borrower under the Credit Agreement has provided a guarantee on a secured basis. As security for the payment or performance of the debt under the Credit Agreement, the borrowers and the guarantors have pledged certain equity interests in their respective subsidiaries and granted the lenders a security interest in substantially all of their domestic assets. All guarantors other than Quest Nutrition, LLC are holding companies with no assets other than their investments in their respective subsidiaries.</w:t>
      </w:r>
    </w:p>
    <w:p>
      <w:pPr>
        <w:spacing w:after="0" w:line="201" w:lineRule="exact"/>
        <w:rPr>
          <w:sz w:val="20"/>
          <w:szCs w:val="20"/>
          <w:color w:val="auto"/>
        </w:rPr>
      </w:pPr>
    </w:p>
    <w:p>
      <w:pPr>
        <w:jc w:val="both"/>
        <w:ind w:firstLine="200"/>
        <w:spacing w:after="0" w:line="272" w:lineRule="auto"/>
        <w:rPr>
          <w:sz w:val="20"/>
          <w:szCs w:val="20"/>
          <w:color w:val="auto"/>
        </w:rPr>
      </w:pPr>
      <w:r>
        <w:rPr>
          <w:rFonts w:ascii="Arial" w:cs="Arial" w:eastAsia="Arial" w:hAnsi="Arial"/>
          <w:sz w:val="17"/>
          <w:szCs w:val="17"/>
          <w:color w:val="auto"/>
        </w:rPr>
        <w:t>On March 16, 2018 (the “Amendment Date”), we entered into an amendment (the “Repricing Amendment”) to the Credit Agreement. As a result of the Repricing Amendment, the interest rate on the Term Loan was reduced and, as of the Amendment Date, such loans had an interest rate equal to, at our option, either LIBOR plus an applicable margin of 3.50% or a base rate plus an applicable margin of 2.50%. The Repricing Amendment did not change the interest rate on the Revolving Credit Facility. The Revolving Credit Facility continued to bear interest based upon our consolidated net leverage ratio as of the last financial statements delivered to the administrative agent. No additional debt was incurred or any proceeds received by us in connection with the Repricing Amendment. The incremental fees paid to the administrative agent are reflected as additional debt discount and are amortized over the terms of the long-term financing agreements using the effective-interest method.</w:t>
      </w:r>
    </w:p>
    <w:p>
      <w:pPr>
        <w:spacing w:after="0" w:line="204" w:lineRule="exact"/>
        <w:rPr>
          <w:sz w:val="20"/>
          <w:szCs w:val="20"/>
          <w:color w:val="auto"/>
        </w:rPr>
      </w:pPr>
    </w:p>
    <w:p>
      <w:pPr>
        <w:jc w:val="both"/>
        <w:ind w:firstLine="204"/>
        <w:spacing w:after="0" w:line="255" w:lineRule="auto"/>
        <w:rPr>
          <w:sz w:val="20"/>
          <w:szCs w:val="20"/>
          <w:color w:val="auto"/>
        </w:rPr>
      </w:pPr>
      <w:r>
        <w:rPr>
          <w:rFonts w:ascii="Arial" w:cs="Arial" w:eastAsia="Arial" w:hAnsi="Arial"/>
          <w:sz w:val="18"/>
          <w:szCs w:val="18"/>
          <w:color w:val="auto"/>
        </w:rPr>
        <w:t>On November 7, 2019, we entered into a second amendment (the “Incremental Facility Amendment”) to the Credit Agreement to increase the principal borrowed on the Term Facility by $460.0 million. The Term Facility together with the incremental borrowing make up the Initial Term Loans (as defined in the Incremental Facility Amendment) and as of the Amendment No. 2 Effective Date (as defined in the Incremental Facility Amendment), the Initial Term Loans bear interest at a rate equal to, at our option, either LIBOR plus an applicable margin of 3.75% or a base rate plus an applicable margin of 2.75%. The Incremental Facility Amendment was executed to partially finance the Quest Acquisition. No amounts under the Term Facility were repaid as a result of the execution of the Incremental Facility Amendment.</w:t>
      </w:r>
    </w:p>
    <w:p>
      <w:pPr>
        <w:spacing w:after="0" w:line="219" w:lineRule="exact"/>
        <w:rPr>
          <w:sz w:val="20"/>
          <w:szCs w:val="20"/>
          <w:color w:val="auto"/>
        </w:rPr>
      </w:pPr>
    </w:p>
    <w:p>
      <w:pPr>
        <w:jc w:val="both"/>
        <w:ind w:right="20" w:firstLine="184"/>
        <w:spacing w:after="0" w:line="286" w:lineRule="auto"/>
        <w:rPr>
          <w:sz w:val="20"/>
          <w:szCs w:val="20"/>
          <w:color w:val="auto"/>
        </w:rPr>
      </w:pPr>
      <w:r>
        <w:rPr>
          <w:rFonts w:ascii="Arial" w:cs="Arial" w:eastAsia="Arial" w:hAnsi="Arial"/>
          <w:sz w:val="17"/>
          <w:szCs w:val="17"/>
          <w:color w:val="auto"/>
        </w:rPr>
        <w:t>The Applicable Rate per annum applicable to the loans under the Credit Agreement Amendment is, with respect to any Initial Term Loan that is an ABR Loan (as defined in the Credit Agreement), 2.75% per annum, and with respect to any Initial Term Loan that is a Eurodollar Loan, 3.75% per annum. The incremental term loans will mature on the maturity date applicable to the Initial Term Loans, which is July 7, 2024.</w:t>
      </w:r>
    </w:p>
    <w:p>
      <w:pPr>
        <w:spacing w:after="0" w:line="192" w:lineRule="exact"/>
        <w:rPr>
          <w:sz w:val="20"/>
          <w:szCs w:val="20"/>
          <w:color w:val="auto"/>
        </w:rPr>
      </w:pPr>
    </w:p>
    <w:p>
      <w:pPr>
        <w:jc w:val="both"/>
        <w:ind w:firstLine="195"/>
        <w:spacing w:after="0" w:line="263" w:lineRule="auto"/>
        <w:rPr>
          <w:sz w:val="20"/>
          <w:szCs w:val="20"/>
          <w:color w:val="auto"/>
        </w:rPr>
      </w:pPr>
      <w:r>
        <w:rPr>
          <w:rFonts w:ascii="Arial" w:cs="Arial" w:eastAsia="Arial" w:hAnsi="Arial"/>
          <w:sz w:val="18"/>
          <w:szCs w:val="18"/>
          <w:color w:val="auto"/>
        </w:rPr>
        <w:t>The Credit Agreement contains certain financial and other covenants that limit our ability to, among other things, incur and/or undertake asset sales and other dispositions, liens, indebtedness, certain acquisitions and investments, consolidations, mergers, reorganizations and other fundamental changes, payment of dividends and other distributions to equity and warrant holders, and</w:t>
      </w:r>
    </w:p>
    <w:p>
      <w:pPr>
        <w:sectPr>
          <w:pgSz w:w="11900" w:h="16838" w:orient="portrait"/>
          <w:cols w:equalWidth="0" w:num="1">
            <w:col w:w="11240"/>
          </w:cols>
          <w:pgMar w:left="320" w:top="931" w:right="339" w:bottom="1440" w:gutter="0" w:footer="0" w:header="0"/>
        </w:sect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43" w:name="page44"/>
    <w:bookmarkEnd w:id="43"/>
    <w:p>
      <w:pPr>
        <w:jc w:val="both"/>
        <w:spacing w:after="0" w:line="279" w:lineRule="auto"/>
        <w:rPr>
          <w:sz w:val="20"/>
          <w:szCs w:val="20"/>
          <w:color w:val="auto"/>
        </w:rPr>
      </w:pPr>
      <w:r>
        <w:rPr>
          <w:rFonts w:ascii="Arial" w:cs="Arial" w:eastAsia="Arial" w:hAnsi="Arial"/>
          <w:sz w:val="17"/>
          <w:szCs w:val="17"/>
          <w:color w:val="auto"/>
        </w:rPr>
        <w:t>prepayments of material subordinated debt, in each case, subject to customary exceptions materially consistent with credit facilities of such type and size. The Revolving Credit Facility has a maximum total net leverage ratio equal to or less than 6.00:1.00 contingent on credit extensions in excess of 30% of the total amount of commitments available under the Revolving Credit Facility. Any failure to comply with the restrictions of the credit facilities may result in an event of default. We were in compliance with all financial covenants as of August 28, 2021 and August 29, 2020, respectively.</w:t>
      </w:r>
    </w:p>
    <w:p>
      <w:pPr>
        <w:spacing w:after="0" w:line="198" w:lineRule="exact"/>
        <w:rPr>
          <w:sz w:val="20"/>
          <w:szCs w:val="20"/>
          <w:color w:val="auto"/>
        </w:rPr>
      </w:pPr>
    </w:p>
    <w:p>
      <w:pPr>
        <w:jc w:val="both"/>
        <w:ind w:firstLine="207"/>
        <w:spacing w:after="0" w:line="263" w:lineRule="auto"/>
        <w:rPr>
          <w:sz w:val="20"/>
          <w:szCs w:val="20"/>
          <w:color w:val="auto"/>
        </w:rPr>
      </w:pPr>
      <w:r>
        <w:rPr>
          <w:rFonts w:ascii="Arial" w:cs="Arial" w:eastAsia="Arial" w:hAnsi="Arial"/>
          <w:sz w:val="18"/>
          <w:szCs w:val="18"/>
          <w:color w:val="auto"/>
        </w:rPr>
        <w:t>As of August 28, 2021, the outstanding balance of the Term Facility was $456.5 million. We are not required to make principal payments on the Term Facility over the twelve months following the period ended August 28, 2021. The outstanding balance of the Term Facility is due upon its maturity in July 2024. As of August 28, 2021, there were no amounts drawn against the Revolving Credit Facility.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Equity Offering</w:t>
      </w:r>
    </w:p>
    <w:p>
      <w:pPr>
        <w:spacing w:after="0" w:line="252" w:lineRule="exact"/>
        <w:rPr>
          <w:sz w:val="20"/>
          <w:szCs w:val="20"/>
          <w:color w:val="auto"/>
        </w:rPr>
      </w:pPr>
    </w:p>
    <w:p>
      <w:pPr>
        <w:jc w:val="both"/>
        <w:ind w:firstLine="241"/>
        <w:spacing w:after="0" w:line="259" w:lineRule="auto"/>
        <w:rPr>
          <w:sz w:val="20"/>
          <w:szCs w:val="20"/>
          <w:color w:val="auto"/>
        </w:rPr>
      </w:pPr>
      <w:r>
        <w:rPr>
          <w:rFonts w:ascii="Arial" w:cs="Arial" w:eastAsia="Arial" w:hAnsi="Arial"/>
          <w:sz w:val="18"/>
          <w:szCs w:val="18"/>
          <w:color w:val="auto"/>
        </w:rPr>
        <w:t>On October 9, 2019, we completed an underwritten public offering of 13,379,205 shares of our common stock at a price to the public of $26.35 per share. We paid underwriting discounts and commissions of $0.19 per share resulting in net proceeds to us of $26.16 per share, or approximately $350.0 million (the “Offering”). We paid $0.8 million for legal, accounting and registrations fees related to the Offering. The net proceeds were used to pay a portion of the purchase price and related fees and expenses for the Quest Acquisition.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Quest Acquisition</w:t>
      </w:r>
    </w:p>
    <w:p>
      <w:pPr>
        <w:spacing w:after="0" w:line="252" w:lineRule="exact"/>
        <w:rPr>
          <w:sz w:val="20"/>
          <w:szCs w:val="20"/>
          <w:color w:val="auto"/>
        </w:rPr>
      </w:pPr>
    </w:p>
    <w:p>
      <w:pPr>
        <w:jc w:val="both"/>
        <w:ind w:firstLine="211"/>
        <w:spacing w:after="0" w:line="257" w:lineRule="auto"/>
        <w:rPr>
          <w:sz w:val="20"/>
          <w:szCs w:val="20"/>
          <w:color w:val="auto"/>
        </w:rPr>
      </w:pPr>
      <w:r>
        <w:rPr>
          <w:rFonts w:ascii="Arial" w:cs="Arial" w:eastAsia="Arial" w:hAnsi="Arial"/>
          <w:sz w:val="18"/>
          <w:szCs w:val="18"/>
          <w:color w:val="auto"/>
        </w:rPr>
        <w:t>On August 21, 2019, our wholly-owned subsidiary Simply Good Foods USA, Inc., formerly known as Atkins Nutritionals, Inc. (“Simply Good USA”) entered into a Stock and Unit Purchase Agreement (the “Purchase Agreement”) with VMG Voyage Holdings, LLC, VMG Tax-Exempt II, L.P., Voyage Employee Holdings, LLC, and other sellers, as defined in the Purchase Agreement, to acquire Quest, a healthy lifestyle food company. On November 7, 2019, pursuant to the Purchase Agreement, Simply Good USA completed the Quest Acquisition, for a cash purchase price of approximately $1.0 billion, subject to customary post-closing adjustments.</w:t>
      </w:r>
    </w:p>
    <w:p>
      <w:pPr>
        <w:spacing w:after="0" w:line="215" w:lineRule="exact"/>
        <w:rPr>
          <w:sz w:val="20"/>
          <w:szCs w:val="20"/>
          <w:color w:val="auto"/>
        </w:rPr>
      </w:pPr>
    </w:p>
    <w:p>
      <w:pPr>
        <w:jc w:val="both"/>
        <w:ind w:firstLine="222"/>
        <w:spacing w:after="0" w:line="254" w:lineRule="auto"/>
        <w:rPr>
          <w:sz w:val="20"/>
          <w:szCs w:val="20"/>
          <w:color w:val="auto"/>
        </w:rPr>
      </w:pPr>
      <w:r>
        <w:rPr>
          <w:rFonts w:ascii="Arial" w:cs="Arial" w:eastAsia="Arial" w:hAnsi="Arial"/>
          <w:sz w:val="18"/>
          <w:szCs w:val="18"/>
          <w:color w:val="auto"/>
        </w:rPr>
        <w:t xml:space="preserve">The Quest Acquisition was funded through a combination of cash, equity and debt financing. Total consideration paid on the closing date was $988.9 million. Cash sources of funding included $195.3 million of cash on hand, net proceeds of approximately $350.0 million from an underwritten public offering of common stock, and $443.6 million in new term loan debt. In the third fiscal quarter of 2020, we received a post-closing release from escrow of approximately $2.1 million related to net working capital adjustments, resulting in a total net consideration paid of $986.8 million. </w:t>
      </w:r>
      <w:r>
        <w:rPr>
          <w:rFonts w:ascii="Arial" w:cs="Arial" w:eastAsia="Arial" w:hAnsi="Arial"/>
          <w:sz w:val="18"/>
          <w:szCs w:val="18"/>
          <w:i w:val="1"/>
          <w:iCs w:val="1"/>
          <w:color w:val="auto"/>
        </w:rPr>
        <w:t>Business transaction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costs </w:t>
      </w:r>
      <w:r>
        <w:rPr>
          <w:rFonts w:ascii="Arial" w:cs="Arial" w:eastAsia="Arial" w:hAnsi="Arial"/>
          <w:sz w:val="18"/>
          <w:szCs w:val="18"/>
          <w:color w:val="auto"/>
        </w:rPr>
        <w:t>within the Consolidated Statements of Operations and Comprehensive Income (Loss) for the fifty-two weeks ended August 29, 2020 was $27.1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which included $14.5 million of transaction advisory fees related to the Quest Acquisition, $3.2 million of banker commitment fees, $6.1 million of non-deferrable debt issuance costs related to the incremental term loan, and $3.3 million of other costs, including legal, due diligence, and accounting fees.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to Purchase Common Stock</w:t>
      </w:r>
    </w:p>
    <w:p>
      <w:pPr>
        <w:spacing w:after="0" w:line="252" w:lineRule="exact"/>
        <w:rPr>
          <w:sz w:val="20"/>
          <w:szCs w:val="20"/>
          <w:color w:val="auto"/>
        </w:rPr>
      </w:pPr>
    </w:p>
    <w:p>
      <w:pPr>
        <w:jc w:val="both"/>
        <w:ind w:firstLine="233"/>
        <w:spacing w:after="0" w:line="263" w:lineRule="auto"/>
        <w:rPr>
          <w:sz w:val="20"/>
          <w:szCs w:val="20"/>
          <w:color w:val="auto"/>
        </w:rPr>
      </w:pPr>
      <w:r>
        <w:rPr>
          <w:rFonts w:ascii="Arial" w:cs="Arial" w:eastAsia="Arial" w:hAnsi="Arial"/>
          <w:sz w:val="18"/>
          <w:szCs w:val="18"/>
          <w:color w:val="auto"/>
        </w:rPr>
        <w:t>As a result of the Business Combination with Conyers Park Sponsor, LLC, we assumed 13,416,667 public warrants and 6,700,000 Private Warrants, exercisable for common stock of Simply Good Foods. Refer to Note 12, Stockholders’ Equity of the Consolidated Financial Statements included in Item 8 of this Report for additional details regarding our public and Private Warrants.</w:t>
      </w:r>
    </w:p>
    <w:p>
      <w:pPr>
        <w:spacing w:after="0" w:line="211" w:lineRule="exact"/>
        <w:rPr>
          <w:sz w:val="20"/>
          <w:szCs w:val="20"/>
          <w:color w:val="auto"/>
        </w:rPr>
      </w:pPr>
    </w:p>
    <w:p>
      <w:pPr>
        <w:jc w:val="both"/>
        <w:ind w:firstLine="234"/>
        <w:spacing w:after="0" w:line="263" w:lineRule="auto"/>
        <w:rPr>
          <w:sz w:val="20"/>
          <w:szCs w:val="20"/>
          <w:color w:val="auto"/>
        </w:rPr>
      </w:pPr>
      <w:r>
        <w:rPr>
          <w:rFonts w:ascii="Arial" w:cs="Arial" w:eastAsia="Arial" w:hAnsi="Arial"/>
          <w:sz w:val="18"/>
          <w:szCs w:val="18"/>
          <w:color w:val="auto"/>
        </w:rPr>
        <w:t>As of August 28, 2021, our Private Warrants to purchase 6,700,000 shares of common stock remain outstanding, are held by Conyers Park Sponsor, LLC, a related party, and remain liability-classified. If all Private Warrants are exercised at the $11.50 exercise price per warrant, our cash would increase by $77.1 million.</w:t>
      </w:r>
    </w:p>
    <w:p>
      <w:pPr>
        <w:spacing w:after="0" w:line="211" w:lineRule="exact"/>
        <w:rPr>
          <w:sz w:val="20"/>
          <w:szCs w:val="20"/>
          <w:color w:val="auto"/>
        </w:rPr>
      </w:pPr>
    </w:p>
    <w:p>
      <w:pPr>
        <w:jc w:val="both"/>
        <w:ind w:firstLine="192"/>
        <w:spacing w:after="0" w:line="273" w:lineRule="auto"/>
        <w:rPr>
          <w:sz w:val="20"/>
          <w:szCs w:val="20"/>
          <w:color w:val="auto"/>
        </w:rPr>
      </w:pPr>
      <w:r>
        <w:rPr>
          <w:rFonts w:ascii="Arial" w:cs="Arial" w:eastAsia="Arial" w:hAnsi="Arial"/>
          <w:sz w:val="17"/>
          <w:szCs w:val="17"/>
          <w:color w:val="auto"/>
        </w:rPr>
        <w:t>From August 26, 2018 through October 5, 2018, public warrants to purchase an aggregate of 9,866,451 shares of common stock were exercised for cash at an exercise price of $11.50 per share, resulting in aggregate gross proceeds of $113.5 million. On October 4, 2018, we delivered a notice for the redemption (the “Redemption Notice”) of all of our public warrants that remained unexercised immediately after November 5, 2018. Exercises of public warrants following the Redemption Notice were required to be done on a cashless basis. Following the Redemption Notice, 3,499,639 public warrants were exercised on a cashless basis. An aggregate of 1,333,848 shares of common stock were issued in connection with these exercises of the public warrants. All remaining public warrants were redeemed as of November 5, 2018 for an immaterial amount.</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52" w:lineRule="exact"/>
        <w:rPr>
          <w:sz w:val="20"/>
          <w:szCs w:val="20"/>
          <w:color w:val="auto"/>
        </w:rPr>
      </w:pPr>
    </w:p>
    <w:p>
      <w:pPr>
        <w:ind w:right="200" w:firstLine="177"/>
        <w:spacing w:after="0" w:line="286" w:lineRule="auto"/>
        <w:rPr>
          <w:sz w:val="20"/>
          <w:szCs w:val="20"/>
          <w:color w:val="auto"/>
        </w:rPr>
      </w:pPr>
      <w:r>
        <w:rPr>
          <w:rFonts w:ascii="Arial" w:cs="Arial" w:eastAsia="Arial" w:hAnsi="Arial"/>
          <w:sz w:val="17"/>
          <w:szCs w:val="17"/>
          <w:color w:val="auto"/>
        </w:rPr>
        <w:t>The following table sets forth the major sources and uses of cash for the fifty-two weeks ended August 28, 2021 and the fifty-two weeks ended August 29, 2020. A discussion regarding the major sources and uses of cash for the fifty-three weeks ended August 31, 2019 can be found under Item 7 of our Annual Report on Form 10-K/A for the fiscal year ended August 29, 2020, filed with the SEC on June 30, 2021.</w:t>
      </w:r>
    </w:p>
    <w:p>
      <w:pPr>
        <w:spacing w:after="0" w:line="21" w:lineRule="exact"/>
        <w:rPr>
          <w:sz w:val="20"/>
          <w:szCs w:val="20"/>
          <w:color w:val="auto"/>
        </w:rPr>
      </w:pPr>
    </w:p>
    <w:tbl>
      <w:tblPr>
        <w:tblLayout w:type="fixed"/>
        <w:tblInd w:w="1420" w:type="dxa"/>
        <w:tblCellMar>
          <w:top w:w="0" w:type="dxa"/>
          <w:left w:w="0" w:type="dxa"/>
          <w:bottom w:w="0" w:type="dxa"/>
          <w:right w:w="0" w:type="dxa"/>
        </w:tblCellMar>
      </w:tblPr>
      <w:tr>
        <w:trPr>
          <w:trHeight w:val="206"/>
        </w:trPr>
        <w:tc>
          <w:tcPr>
            <w:tcW w:w="5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ind w:left="60"/>
              <w:spacing w:after="0"/>
              <w:rPr>
                <w:sz w:val="20"/>
                <w:szCs w:val="20"/>
                <w:color w:val="auto"/>
              </w:rPr>
            </w:pPr>
            <w:r>
              <w:rPr>
                <w:rFonts w:ascii="Arial" w:cs="Arial" w:eastAsia="Arial" w:hAnsi="Arial"/>
                <w:sz w:val="16"/>
                <w:szCs w:val="16"/>
                <w:color w:val="auto"/>
              </w:rPr>
              <w:t>52-Weeks Ended</w:t>
            </w:r>
          </w:p>
        </w:tc>
        <w:tc>
          <w:tcPr>
            <w:tcW w:w="140" w:type="dxa"/>
            <w:vAlign w:val="bottom"/>
          </w:tcPr>
          <w:p>
            <w:pPr>
              <w:spacing w:after="0"/>
              <w:rPr>
                <w:sz w:val="17"/>
                <w:szCs w:val="17"/>
                <w:color w:val="auto"/>
              </w:rPr>
            </w:pPr>
          </w:p>
        </w:tc>
        <w:tc>
          <w:tcPr>
            <w:tcW w:w="1380" w:type="dxa"/>
            <w:vAlign w:val="bottom"/>
          </w:tcPr>
          <w:p>
            <w:pPr>
              <w:jc w:val="right"/>
              <w:ind w:right="139"/>
              <w:spacing w:after="0"/>
              <w:rPr>
                <w:sz w:val="20"/>
                <w:szCs w:val="20"/>
                <w:color w:val="auto"/>
              </w:rPr>
            </w:pPr>
            <w:r>
              <w:rPr>
                <w:rFonts w:ascii="Arial" w:cs="Arial" w:eastAsia="Arial" w:hAnsi="Arial"/>
                <w:sz w:val="16"/>
                <w:szCs w:val="16"/>
                <w:color w:val="auto"/>
                <w:w w:val="92"/>
              </w:rPr>
              <w:t>52-Weeks Ended</w:t>
            </w:r>
          </w:p>
        </w:tc>
      </w:tr>
      <w:tr>
        <w:trPr>
          <w:trHeight w:val="300"/>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97"/>
              </w:rPr>
              <w:t>August 28, 2021</w:t>
            </w:r>
          </w:p>
        </w:tc>
        <w:tc>
          <w:tcPr>
            <w:tcW w:w="1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97"/>
              </w:rPr>
              <w:t>August 29, 2020</w:t>
            </w:r>
          </w:p>
        </w:tc>
      </w:tr>
      <w:tr>
        <w:trPr>
          <w:trHeight w:val="253"/>
        </w:trPr>
        <w:tc>
          <w:tcPr>
            <w:tcW w:w="52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Net cash provided by operating activities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132,089</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58,921</w:t>
            </w:r>
          </w:p>
        </w:tc>
      </w:tr>
      <w:tr>
        <w:trPr>
          <w:trHeight w:val="267"/>
        </w:trPr>
        <w:tc>
          <w:tcPr>
            <w:tcW w:w="5220" w:type="dxa"/>
            <w:vAlign w:val="bottom"/>
            <w:gridSpan w:val="2"/>
          </w:tcPr>
          <w:p>
            <w:pPr>
              <w:ind w:left="180"/>
              <w:spacing w:after="0"/>
              <w:rPr>
                <w:sz w:val="20"/>
                <w:szCs w:val="20"/>
                <w:color w:val="auto"/>
              </w:rPr>
            </w:pPr>
            <w:r>
              <w:rPr>
                <w:rFonts w:ascii="Arial" w:cs="Arial" w:eastAsia="Arial" w:hAnsi="Arial"/>
                <w:sz w:val="16"/>
                <w:szCs w:val="16"/>
                <w:color w:val="auto"/>
              </w:rPr>
              <w:t>Net cash used in investing activities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(2,506)</w:t>
            </w:r>
          </w:p>
        </w:tc>
        <w:tc>
          <w:tcPr>
            <w:tcW w:w="1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(983,994)</w:t>
            </w:r>
          </w:p>
        </w:tc>
      </w:tr>
      <w:tr>
        <w:trPr>
          <w:trHeight w:val="273"/>
        </w:trPr>
        <w:tc>
          <w:tcPr>
            <w:tcW w:w="52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Net cash (used in) provided by financing activities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(150,049)</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754,652</w:t>
            </w:r>
          </w:p>
        </w:tc>
      </w:tr>
    </w:tbl>
    <w:p>
      <w:pPr>
        <w:spacing w:after="0" w:line="323" w:lineRule="exact"/>
        <w:rPr>
          <w:sz w:val="20"/>
          <w:szCs w:val="20"/>
          <w:color w:val="auto"/>
        </w:rPr>
      </w:pPr>
    </w:p>
    <w:p>
      <w:pPr>
        <w:jc w:val="both"/>
        <w:ind w:firstLine="220"/>
        <w:spacing w:after="0" w:line="286" w:lineRule="auto"/>
        <w:rPr>
          <w:sz w:val="20"/>
          <w:szCs w:val="20"/>
          <w:color w:val="auto"/>
        </w:rPr>
      </w:pPr>
      <w:r>
        <w:rPr>
          <w:rFonts w:ascii="Arial" w:cs="Arial" w:eastAsia="Arial" w:hAnsi="Arial"/>
          <w:sz w:val="16"/>
          <w:szCs w:val="16"/>
          <w:i w:val="1"/>
          <w:iCs w:val="1"/>
          <w:color w:val="auto"/>
        </w:rPr>
        <w:t xml:space="preserve">Operating activities. </w:t>
      </w:r>
      <w:r>
        <w:rPr>
          <w:rFonts w:ascii="Arial" w:cs="Arial" w:eastAsia="Arial" w:hAnsi="Arial"/>
          <w:sz w:val="16"/>
          <w:szCs w:val="16"/>
          <w:color w:val="auto"/>
        </w:rPr>
        <w:t>Our net cash provided by operating activities increased $73.2 million to $132.1 million for the fifty-two weeks ended August 28,</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2021 compared to $58.9 million for the fifty-two weeks ended August 29, 2020. The increase in cash provided by operating activities was primarily attributable to higher operating income driven by (i) the Quest® brand sales volume growth, which increased our North America net sales by 20.4% due to Quest’s full-year inclusion in our results of operations in fiscal year 2021 as compared to Quest’s partial inclusion in our results of operations in the prior fiscal year due to the timing of the Quest Acquisition as well as post-acquisition Quest brand sales volume growth and (ii) significant reductions in cash outlays and changes in working capital related to the Quest Acquisition, including decreased business transaction costs of $27.1 million and decreased integration costs of $7.8 million in the fifty-two weeks ended August 28, 2021 as compared to the fifty-two weeks ended August 29, 2020. Additionally, in the fifty-two weeks ended August 28, 2021 we received $5.0 million related to a gain on legal settlement and reduced our cash paid for interest by $2.2 million as compared to the fifty-two weeks ended August 29, 2020 due to significant principal payments made to reduce the outstanding balance of the Term Facility, as discussed in </w:t>
      </w:r>
      <w:r>
        <w:rPr>
          <w:rFonts w:ascii="Arial" w:cs="Arial" w:eastAsia="Arial" w:hAnsi="Arial"/>
          <w:sz w:val="16"/>
          <w:szCs w:val="16"/>
          <w:i w:val="1"/>
          <w:iCs w:val="1"/>
          <w:color w:val="auto"/>
        </w:rPr>
        <w:t>Financing Activities</w:t>
      </w:r>
      <w:r>
        <w:rPr>
          <w:rFonts w:ascii="Arial" w:cs="Arial" w:eastAsia="Arial" w:hAnsi="Arial"/>
          <w:sz w:val="16"/>
          <w:szCs w:val="16"/>
          <w:color w:val="auto"/>
        </w:rPr>
        <w:t xml:space="preserve"> below. These increases in cash provided by operating activities were partially offset by (i) increased cash paid for taxes of $27.7 million in the fifty-two weeks ended August 28, 2021 as compared to the fifty-two weeks ended August 29, 2020 and (ii) an increase in $5.7 million cash payments made for restructuring-related costs, predominately composed of termination benefits and severance payments, in the fifty-two weeks ended August 28, 2021 as compared to the fifty-two weeks ended August 29, 2020.</w:t>
      </w:r>
    </w:p>
    <w:p>
      <w:pPr>
        <w:spacing w:after="0" w:line="201" w:lineRule="exact"/>
        <w:rPr>
          <w:sz w:val="20"/>
          <w:szCs w:val="20"/>
          <w:color w:val="auto"/>
        </w:rPr>
      </w:pPr>
    </w:p>
    <w:p>
      <w:pPr>
        <w:jc w:val="both"/>
        <w:ind w:firstLine="247"/>
        <w:spacing w:after="0" w:line="255"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Our net cash used in investing activities decreased to $2.5 million for the fifty-two weeks ended August 28, 2021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$984.0 million of net cash used in investing activities for the fifty-two weeks ended August 29, 2020. Our net cash used in investing activities for the fifty-two weeks ended August 28, 2021 primarily comprised $5.9 million of purchases of property and equipment and the issuance of a $1.6 million note receivable, which was partially offset by the $5.8 million of cash proceeds received from the SimplyProtein Sale. The $984.0 million of net cash used in investing activities for the fifty-two weeks ended August 29, 2020 primarily comprised the cash paid for the Quest Acquisition of $982.1 million, net of cash acquired.</w:t>
      </w:r>
    </w:p>
    <w:p>
      <w:pPr>
        <w:spacing w:after="0" w:line="219" w:lineRule="exact"/>
        <w:rPr>
          <w:sz w:val="20"/>
          <w:szCs w:val="20"/>
          <w:color w:val="auto"/>
        </w:rPr>
      </w:pPr>
    </w:p>
    <w:p>
      <w:pPr>
        <w:jc w:val="both"/>
        <w:ind w:firstLine="207"/>
        <w:spacing w:after="0" w:line="254"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Our net cash used in financing activities was $150.0 million for the fifty-two weeks ended August 28, 2021 compared to net cash</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by financing activities of $754.7 million for the fifty-two weeks ended August 29, 2020. Net cash used in financing activities for the fifty-two weeks ended August 28, 2021 primarily consisted of $150.0 million in principal payments on the Term Facility, an increase of $100.0 million compared to the prior year. Our net cash provided by financing activities for the fifty-two weeks ended August 29, 2020 included gross proceeds of $352.5 million from the Offering offset by issuance costs of $3.3 million, proceeds of $460.0 million from the Term Facility borrowing related to the Incremental Facility Amendment offset by issuance costs of $8.2 million, and $25.0 million of proceeds from the borrowing under the Revolving Credit Facility. The cash provided by financing activities for the fifty-two weeks ended August 29, 2020 was offset by $50.0 million of principal payments on the Term Facility and $25.0 million of repayments of the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Critical Accounting Policies, Judgments and Estimates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52" w:lineRule="exact"/>
        <w:rPr>
          <w:sz w:val="20"/>
          <w:szCs w:val="20"/>
          <w:color w:val="auto"/>
        </w:rPr>
      </w:pPr>
    </w:p>
    <w:p>
      <w:pPr>
        <w:jc w:val="both"/>
        <w:ind w:firstLine="196"/>
        <w:spacing w:after="0" w:line="253" w:lineRule="auto"/>
        <w:rPr>
          <w:sz w:val="20"/>
          <w:szCs w:val="20"/>
          <w:color w:val="auto"/>
        </w:rPr>
      </w:pPr>
      <w:r>
        <w:rPr>
          <w:rFonts w:ascii="Arial" w:cs="Arial" w:eastAsia="Arial" w:hAnsi="Arial"/>
          <w:sz w:val="18"/>
          <w:szCs w:val="18"/>
          <w:color w:val="auto"/>
        </w:rPr>
        <w:t>Our consolidated financial statements have been prepared in accordance with accounting principles generally accepted in the U.S. While the majority of our revenue, expenses, assets and liabilities are not based on estimates, there are certain accounting principles that require management to make estimates regarding matters that are uncertain and susceptible to change. Critical accounting policies are defined as those policies that are reflective of significant judgments, estimates and uncertainties, which could potentially result in materially different results under different assumptions and conditions. Management regularly reviews the estimates and assumptions used in the preparation of the financial statements for reasonableness and adequacy. Our significant accounting policies are discussed in Note 2, Summary of Significant Accounting Policies, of our Consolidated Financial Statements in this filing; however, the following discussion pertains to accounting policies we believe are most critical to the portrayal of its financial condition and results of operations and that require significant, difficult, subjective or complex judgments. Other companies in similar businesses may use different estimation policies and methodologies, which may affect the comparability of our financial condition, results of operations and cash flows to those of other companies.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jc w:val="both"/>
        <w:ind w:firstLine="185"/>
        <w:spacing w:after="0" w:line="259" w:lineRule="auto"/>
        <w:rPr>
          <w:sz w:val="20"/>
          <w:szCs w:val="20"/>
          <w:color w:val="auto"/>
        </w:rPr>
      </w:pPr>
      <w:r>
        <w:rPr>
          <w:rFonts w:ascii="Arial" w:cs="Arial" w:eastAsia="Arial" w:hAnsi="Arial"/>
          <w:sz w:val="18"/>
          <w:szCs w:val="18"/>
          <w:color w:val="auto"/>
        </w:rPr>
        <w:t>We recognize revenue when performance obligations under the terms of a contract with its customer are satisfied. We have determined that fulfilling and delivering products is a single performance obligation. Revenue is recognized at the point in time when we have satisfied our performance obligation and the customer has obtained control of the products. This generally occurs when the product is delivered to or picked up by our customer based on applicable shipping terms, which is typically within 30 days.</w:t>
      </w:r>
    </w:p>
    <w:p>
      <w:pPr>
        <w:spacing w:after="0" w:line="214" w:lineRule="exact"/>
        <w:rPr>
          <w:sz w:val="20"/>
          <w:szCs w:val="20"/>
          <w:color w:val="auto"/>
        </w:rPr>
      </w:pPr>
    </w:p>
    <w:p>
      <w:pPr>
        <w:jc w:val="both"/>
        <w:ind w:firstLine="234"/>
        <w:spacing w:after="0" w:line="270" w:lineRule="auto"/>
        <w:rPr>
          <w:sz w:val="20"/>
          <w:szCs w:val="20"/>
          <w:color w:val="auto"/>
        </w:rPr>
      </w:pPr>
      <w:r>
        <w:rPr>
          <w:rFonts w:ascii="Arial" w:cs="Arial" w:eastAsia="Arial" w:hAnsi="Arial"/>
          <w:sz w:val="17"/>
          <w:szCs w:val="17"/>
          <w:color w:val="auto"/>
        </w:rPr>
        <w:t>Revenue is measured as the amount of consideration expected to be received in exchange for fulfilled product orders, including estimates of variable consideration. The most common forms of variable consideration include trade promotions, such as consumer incentives, coupon redemptions and other marketing activities, allowances for unsaleable product, and any additional amounts where a distinct good or service cannot be identified or the value cannot be reasonably estimated. Estimates of variable consideration are made using various information including historical data on performance of similar trade promotional activities, market data from IRI, and our best estimate of current activity. Revisions can include changes for consideration paid to customers that lack sufficient evidence to support a distinct good or service assertion, or for which a reasonably estimable fair value cannot be determined, primarily related to our assessments of cooperative advertising programs. We review these estimates regularly and makes revisions as necessary. Uncertainties related to the estimate of variable consideration are resolved in a short time frame and do not require any additional constraint on variable consideration. Adjustments to variable consideration have historically been insignificant.</w:t>
      </w:r>
    </w:p>
    <w:p>
      <w:pPr>
        <w:spacing w:after="0" w:line="208" w:lineRule="exact"/>
        <w:rPr>
          <w:sz w:val="20"/>
          <w:szCs w:val="20"/>
          <w:color w:val="auto"/>
        </w:rPr>
      </w:pPr>
    </w:p>
    <w:p>
      <w:pPr>
        <w:jc w:val="both"/>
        <w:ind w:firstLine="264"/>
        <w:spacing w:after="0" w:line="277" w:lineRule="auto"/>
        <w:rPr>
          <w:sz w:val="20"/>
          <w:szCs w:val="20"/>
          <w:color w:val="auto"/>
        </w:rPr>
      </w:pPr>
      <w:r>
        <w:rPr>
          <w:rFonts w:ascii="Arial" w:cs="Arial" w:eastAsia="Arial" w:hAnsi="Arial"/>
          <w:sz w:val="18"/>
          <w:szCs w:val="18"/>
          <w:color w:val="auto"/>
        </w:rPr>
        <w:t>Although some payment terms may be longer, the majority of our payment terms are less than 60 days. As a result, we do not have any material significant payments terms as payment is received shortly after the time of sale.</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While our revenue recognition does not involve significant judgment, it represents a key accounting policy.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Promotions</w:t>
      </w:r>
    </w:p>
    <w:p>
      <w:pPr>
        <w:spacing w:after="0" w:line="252" w:lineRule="exact"/>
        <w:rPr>
          <w:sz w:val="20"/>
          <w:szCs w:val="20"/>
          <w:color w:val="auto"/>
        </w:rPr>
      </w:pPr>
    </w:p>
    <w:p>
      <w:pPr>
        <w:jc w:val="both"/>
        <w:ind w:firstLine="277"/>
        <w:spacing w:after="0" w:line="273" w:lineRule="auto"/>
        <w:rPr>
          <w:sz w:val="20"/>
          <w:szCs w:val="20"/>
          <w:color w:val="auto"/>
        </w:rPr>
      </w:pPr>
      <w:r>
        <w:rPr>
          <w:rFonts w:ascii="Arial" w:cs="Arial" w:eastAsia="Arial" w:hAnsi="Arial"/>
          <w:sz w:val="17"/>
          <w:szCs w:val="17"/>
          <w:color w:val="auto"/>
        </w:rPr>
        <w:t>We offer trade promotions through various programs to customers and consumers. Trade promotions include discounts, rebates, slotting and other marketing activities. Trade promotions are recorded as a reduction to net sales with a corresponding reduction to accounts receivable at the time of revenue recognition for the underlying sale. The recognition of trade promotions requires management to make estimates regarding the volume of incentive that will be redeemed and their total cost. These estimates are made using various information including historical data on performance of similar trade promotional activities, market data from IRI, and the Company’s best estimates of current activity. Our consolidated financial statements could be materially affected if the actual promotion rates are different from the estimated rates.</w:t>
      </w:r>
    </w:p>
    <w:p>
      <w:pPr>
        <w:spacing w:after="0" w:line="205" w:lineRule="exact"/>
        <w:rPr>
          <w:sz w:val="20"/>
          <w:szCs w:val="20"/>
          <w:color w:val="auto"/>
        </w:rPr>
      </w:pPr>
    </w:p>
    <w:p>
      <w:pPr>
        <w:jc w:val="both"/>
        <w:ind w:firstLine="185"/>
        <w:spacing w:after="0" w:line="263" w:lineRule="auto"/>
        <w:rPr>
          <w:sz w:val="20"/>
          <w:szCs w:val="20"/>
          <w:color w:val="auto"/>
        </w:rPr>
      </w:pPr>
      <w:r>
        <w:rPr>
          <w:rFonts w:ascii="Arial" w:cs="Arial" w:eastAsia="Arial" w:hAnsi="Arial"/>
          <w:sz w:val="18"/>
          <w:szCs w:val="18"/>
          <w:color w:val="auto"/>
        </w:rPr>
        <w:t>As of August 28, 2021 and August 29, 2020, the allowance for trade promotions was $22.3 million and $25.2 million, respectively. Differences between estimated expense and actual redemptions are recognized as a change in management estimate in a subsequent period. These differences have historically been insignificant.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252" w:lineRule="exact"/>
        <w:rPr>
          <w:sz w:val="20"/>
          <w:szCs w:val="20"/>
          <w:color w:val="auto"/>
        </w:rPr>
      </w:pPr>
    </w:p>
    <w:p>
      <w:pPr>
        <w:jc w:val="both"/>
        <w:ind w:firstLine="180"/>
        <w:spacing w:after="0" w:line="257" w:lineRule="auto"/>
        <w:rPr>
          <w:sz w:val="20"/>
          <w:szCs w:val="20"/>
          <w:color w:val="auto"/>
        </w:rPr>
      </w:pPr>
      <w:r>
        <w:rPr>
          <w:rFonts w:ascii="Arial" w:cs="Arial" w:eastAsia="Arial" w:hAnsi="Arial"/>
          <w:sz w:val="18"/>
          <w:szCs w:val="18"/>
          <w:color w:val="auto"/>
        </w:rPr>
        <w:t>On November 7, 2019, pursuant to the Purchase Agreement, we completed the Quest Acquisition for a cash purchase price of approximately $1.0 billion, subject to customary post-closing adjustments. The Quest Acquisition was accounted for using the acquisition method of accounting prescribed by Accounting Standards Codification (“ASC”) Topic 805, Business Combinations (“ASC 805”), whereby the results of operations, including the revenues and earnings of Quest, are included in the financial statements from the date of acquisition. Additionally, assets acquired and liabilities assumed were recognized at their fair values based on widely accepted valuation</w:t>
      </w:r>
    </w:p>
    <w:p>
      <w:pPr>
        <w:sectPr>
          <w:pgSz w:w="11900" w:h="16838" w:orient="portrait"/>
          <w:cols w:equalWidth="0" w:num="1">
            <w:col w:w="11240"/>
          </w:cols>
          <w:pgMar w:left="320" w:top="688" w:right="339" w:bottom="1440" w:gutter="0" w:footer="0" w:header="0"/>
        </w:sect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46" w:name="page47"/>
    <w:bookmarkEnd w:id="46"/>
    <w:p>
      <w:pPr>
        <w:jc w:val="both"/>
        <w:spacing w:after="0" w:line="291" w:lineRule="auto"/>
        <w:rPr>
          <w:sz w:val="20"/>
          <w:szCs w:val="20"/>
          <w:color w:val="auto"/>
        </w:rPr>
      </w:pPr>
      <w:r>
        <w:rPr>
          <w:rFonts w:ascii="Arial" w:cs="Arial" w:eastAsia="Arial" w:hAnsi="Arial"/>
          <w:sz w:val="16"/>
          <w:szCs w:val="16"/>
          <w:color w:val="auto"/>
        </w:rPr>
        <w:t>techniques in accordance with ASC Topic 820, Fair Value Measurements, as of the closing date. Significant judgment is required to determine the fair value of certain tangible and intangible assets. The process for estimating fair values requires the use of significant estimates, assumptions and judgments, including determining the timing and estimates of future cash flows and developing appropriate discount rates. ASC 805 establishes a measurement period to provide companies with a reasonable amount of time to obtain the information necessary to identify and measure various items in a business combination and cannot extend beyond one year from the acquisition date. We completed our final fair value determination of the assets acquired and liabilities assumed in the Quest Acquisition during the first quarter of fiscal 2021. Measurement period adjustments were recognized in the reporting period in which the adjustments were determined and calculated as if the accounting had been completed at the acquisition date.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252" w:lineRule="exact"/>
        <w:rPr>
          <w:sz w:val="20"/>
          <w:szCs w:val="20"/>
          <w:color w:val="auto"/>
        </w:rPr>
      </w:pPr>
    </w:p>
    <w:p>
      <w:pPr>
        <w:jc w:val="both"/>
        <w:ind w:firstLine="195"/>
        <w:spacing w:after="0" w:line="296" w:lineRule="auto"/>
        <w:rPr>
          <w:sz w:val="20"/>
          <w:szCs w:val="20"/>
          <w:color w:val="auto"/>
        </w:rPr>
      </w:pPr>
      <w:r>
        <w:rPr>
          <w:rFonts w:ascii="Arial" w:cs="Arial" w:eastAsia="Arial" w:hAnsi="Arial"/>
          <w:sz w:val="16"/>
          <w:szCs w:val="16"/>
          <w:color w:val="auto"/>
        </w:rPr>
        <w:t>Goodwill and indefinite-lived intangible assets are not amortized, but instead are tested for impairment at least annually, or more frequently if indicators of impairment exist. We perform our goodwill impairment assessment for each reporting unit that has goodwill, which for fiscal years 2021 and 2020 consists of both of our operating segments, Atkins and Quest. In fiscal year 2019, we had one operating segment, Atkins. Our brands and trademarks comprise our indefinite-lived intangibles. We conduct our annual impairment tests at the beginning of the fourth fiscal quarter. The process of evaluating goodwill and indefinite-lived intangibles for impairment is subjective and requires significant judgment at many points during the analysis.</w:t>
      </w:r>
    </w:p>
    <w:p>
      <w:pPr>
        <w:spacing w:after="0" w:line="188" w:lineRule="exact"/>
        <w:rPr>
          <w:sz w:val="20"/>
          <w:szCs w:val="20"/>
          <w:color w:val="auto"/>
        </w:rPr>
      </w:pPr>
    </w:p>
    <w:p>
      <w:pPr>
        <w:jc w:val="both"/>
        <w:ind w:firstLine="213"/>
        <w:spacing w:after="0" w:line="269" w:lineRule="auto"/>
        <w:rPr>
          <w:sz w:val="20"/>
          <w:szCs w:val="20"/>
          <w:color w:val="auto"/>
        </w:rPr>
      </w:pPr>
      <w:r>
        <w:rPr>
          <w:rFonts w:ascii="Arial" w:cs="Arial" w:eastAsia="Arial" w:hAnsi="Arial"/>
          <w:sz w:val="17"/>
          <w:szCs w:val="17"/>
          <w:color w:val="auto"/>
        </w:rPr>
        <w:t>We assess goodwill and indefinite-lived intangible assets using either a qualitative or quantitative approach to determine whether it is more likely than not that the fair values of the reporting units or indefinite-lived intangible assets are less than their carrying amounts. The qualitative assessment evaluates factors including macro-economic conditions, industry-specific and company-specific considerations, legal and regulatory environments, and historical performance. If we determine that it is more likely than not that the fair value of a reporting unit or an indefinite-lived intangible asset is less than its carrying value, a quantitative assessment is performed. Otherwise, no further assessment is required. The quantitative approach compares the estimated fair value of the reporting unit, including goodwill, or the indefinite-lived intangible asset to its carrying amount. The material inputs and assumptions underlying the quantitative assessments of goodwill and intangible impairment are based on operational forecasts derived from expectations of future operating performance, which require considerable management judgment regarding matters that are uncertain and susceptible to change. Impairment is indicated if the estimated fair value of the reporting unit or indefinite-lived intangible asset is less than the carrying amount, and an impairment charge is recognized for the differential.</w:t>
      </w:r>
    </w:p>
    <w:p>
      <w:pPr>
        <w:spacing w:after="0" w:line="212" w:lineRule="exact"/>
        <w:rPr>
          <w:sz w:val="20"/>
          <w:szCs w:val="20"/>
          <w:color w:val="auto"/>
        </w:rPr>
      </w:pPr>
    </w:p>
    <w:p>
      <w:pPr>
        <w:jc w:val="both"/>
        <w:ind w:firstLine="285"/>
        <w:spacing w:after="0" w:line="257" w:lineRule="auto"/>
        <w:rPr>
          <w:sz w:val="20"/>
          <w:szCs w:val="20"/>
          <w:color w:val="auto"/>
        </w:rPr>
      </w:pPr>
      <w:r>
        <w:rPr>
          <w:rFonts w:ascii="Arial" w:cs="Arial" w:eastAsia="Arial" w:hAnsi="Arial"/>
          <w:sz w:val="18"/>
          <w:szCs w:val="18"/>
          <w:color w:val="auto"/>
        </w:rPr>
        <w:t>For fiscal year 2021, we performed qualitative assessments of goodwill and indefinite-lived intangible assets. The qualitative assessments did not identify indicators of impairment, and it was determined that it was more likely than not each reporting unit and indefinite-lived intangible had fair values in excess of their carrying values. Accordingly, no further impairment assessment was necessary, and no impairment charges related to goodwill or indefinite-lived intangibles were recognized in the fifty-two weeks ended August 28, 2021. Additionally, we determined there was not a material risk for future possible impairments as of the date of the assessment.</w:t>
      </w:r>
    </w:p>
    <w:p>
      <w:pPr>
        <w:spacing w:after="0" w:line="215" w:lineRule="exact"/>
        <w:rPr>
          <w:sz w:val="20"/>
          <w:szCs w:val="20"/>
          <w:color w:val="auto"/>
        </w:rPr>
      </w:pPr>
    </w:p>
    <w:p>
      <w:pPr>
        <w:jc w:val="both"/>
        <w:ind w:firstLine="271"/>
        <w:spacing w:after="0" w:line="257" w:lineRule="auto"/>
        <w:rPr>
          <w:sz w:val="20"/>
          <w:szCs w:val="20"/>
          <w:color w:val="auto"/>
        </w:rPr>
      </w:pPr>
      <w:r>
        <w:rPr>
          <w:rFonts w:ascii="Arial" w:cs="Arial" w:eastAsia="Arial" w:hAnsi="Arial"/>
          <w:sz w:val="18"/>
          <w:szCs w:val="18"/>
          <w:color w:val="auto"/>
        </w:rPr>
        <w:t>For fiscal year 2020, we elected to bypass the qualitative assessment and proceed directly to performing the first step of the quantitative goodwill impairment assessment for each reporting unit. We performed the first step of the quantitative goodwill impairment assessment by comparing the fair value of each of our reporting units, Atkins and Quest, to its carrying amount, including goodwill. The estimated fair values of the Atkins and Quest reporting units substantially exceeded their carrying values. We determined neither reporting unit was impaired, therefore, no impairment charges related to goodwill were recorded in the fifty-two weeks ended August 29, 2020.</w:t>
      </w:r>
    </w:p>
    <w:p>
      <w:pPr>
        <w:spacing w:after="0" w:line="215" w:lineRule="exact"/>
        <w:rPr>
          <w:sz w:val="20"/>
          <w:szCs w:val="20"/>
          <w:color w:val="auto"/>
        </w:rPr>
      </w:pPr>
    </w:p>
    <w:p>
      <w:pPr>
        <w:jc w:val="both"/>
        <w:ind w:firstLine="278"/>
        <w:spacing w:after="0" w:line="290" w:lineRule="auto"/>
        <w:rPr>
          <w:sz w:val="20"/>
          <w:szCs w:val="20"/>
          <w:color w:val="auto"/>
        </w:rPr>
      </w:pPr>
      <w:r>
        <w:rPr>
          <w:rFonts w:ascii="Arial" w:cs="Arial" w:eastAsia="Arial" w:hAnsi="Arial"/>
          <w:sz w:val="16"/>
          <w:szCs w:val="16"/>
          <w:color w:val="auto"/>
        </w:rPr>
        <w:t>Additionally, for fiscal year 2020, we elected to qualitatively assess for impairment the indefinite-lived intangible related to our Quest brand and trademark. The qualitative assessment indicated that it was more likely than not that the Quest brand and trademark indefinite-lived intangible’s fair value exceeded its carrying amount, and as a result we did not perform a quantitative assessment. For our indefinite-lived brand and trademark intangible related to our Atkins brand, we elected to bypass the qualitative assessment and proceed directly to performing the quantitative impairment assessment. The estimated fair value of the Atkins brand and trademark indefinite-lived intangible substantially exceeded its carrying value. During the fourth quarter of fiscal 2020, we determined there were indicators of impairment related to the SimplyProtein brand intangible asset, including but not limited to an offer to sell the SimplyProtein brand. Therefore, we performed a quantitative assessment of our brand intangible asset, which indicated the fair value did not exceed the carrying value, resulting in a loss on impairment of $3.0 million in the fifty-two weeks ended August 29, 2020.</w:t>
      </w:r>
    </w:p>
    <w:p>
      <w:pPr>
        <w:spacing w:after="0" w:line="192" w:lineRule="exact"/>
        <w:rPr>
          <w:sz w:val="20"/>
          <w:szCs w:val="20"/>
          <w:color w:val="auto"/>
        </w:rPr>
      </w:pPr>
    </w:p>
    <w:p>
      <w:pPr>
        <w:jc w:val="both"/>
        <w:ind w:firstLine="206"/>
        <w:spacing w:after="0" w:line="286" w:lineRule="auto"/>
        <w:rPr>
          <w:sz w:val="20"/>
          <w:szCs w:val="20"/>
          <w:color w:val="auto"/>
        </w:rPr>
      </w:pPr>
      <w:r>
        <w:rPr>
          <w:rFonts w:ascii="Arial" w:cs="Arial" w:eastAsia="Arial" w:hAnsi="Arial"/>
          <w:sz w:val="17"/>
          <w:szCs w:val="17"/>
          <w:color w:val="auto"/>
        </w:rPr>
        <w:t>For fiscal year 2019, we elected to perform quantitative assessments of goodwill for the Atkins reporting unit and our indefinite-lived intangible assets, and the estimated fair values substantially exceeded their carrying values. We determined neither reporting unit was impaired, therefore, no impairment charges related to goodwill or indefinite-lived intangibles were recognized in the fifty-three weeks ended August 31, 2019.</w:t>
      </w:r>
    </w:p>
    <w:p>
      <w:pPr>
        <w:spacing w:after="0" w:line="192" w:lineRule="exact"/>
        <w:rPr>
          <w:sz w:val="20"/>
          <w:szCs w:val="20"/>
          <w:color w:val="auto"/>
        </w:rPr>
      </w:pPr>
    </w:p>
    <w:p>
      <w:pPr>
        <w:jc w:val="both"/>
        <w:ind w:firstLine="255"/>
        <w:spacing w:after="0" w:line="263" w:lineRule="auto"/>
        <w:rPr>
          <w:sz w:val="20"/>
          <w:szCs w:val="20"/>
          <w:color w:val="auto"/>
        </w:rPr>
      </w:pPr>
      <w:r>
        <w:rPr>
          <w:rFonts w:ascii="Arial" w:cs="Arial" w:eastAsia="Arial" w:hAnsi="Arial"/>
          <w:sz w:val="18"/>
          <w:szCs w:val="18"/>
          <w:color w:val="auto"/>
        </w:rPr>
        <w:t>We also have intangible assets that have determinable useful lives, consisting primarily of customer relationships, proprietary recipes and formulas, licensing agreements, and software and website development costs. Costs of these finite-lived intangible assets are amortized on a straight-line basis over their estimated useful lives. Finite-lived intangible assets are tested for impairment when events or</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7" w:name="page48"/>
    <w:bookmarkEnd w:id="47"/>
    <w:p>
      <w:pPr>
        <w:jc w:val="both"/>
        <w:spacing w:after="0" w:line="259" w:lineRule="auto"/>
        <w:rPr>
          <w:sz w:val="20"/>
          <w:szCs w:val="20"/>
          <w:color w:val="auto"/>
        </w:rPr>
      </w:pPr>
      <w:r>
        <w:rPr>
          <w:rFonts w:ascii="Arial" w:cs="Arial" w:eastAsia="Arial" w:hAnsi="Arial"/>
          <w:sz w:val="18"/>
          <w:szCs w:val="18"/>
          <w:color w:val="auto"/>
        </w:rPr>
        <w:t>circumstances indicated that the carrying amount may not be recoverable. For the fiscal years ended August 28, 2021, August 29, 2020 and August 31, 2019, we did not identify indicators of impairment related to our finite-lived intangible assets, and as such there were no impairments recorded related to finite-lived intangible assets. We also determined that there was no material risk for future possible intangible impairments related to our finite-lived intangible assets as of the dates of the assessments.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jc w:val="both"/>
        <w:ind w:firstLine="204"/>
        <w:spacing w:after="0" w:line="277" w:lineRule="auto"/>
        <w:rPr>
          <w:sz w:val="20"/>
          <w:szCs w:val="20"/>
          <w:color w:val="auto"/>
        </w:rPr>
      </w:pPr>
      <w:r>
        <w:rPr>
          <w:rFonts w:ascii="Arial" w:cs="Arial" w:eastAsia="Arial" w:hAnsi="Arial"/>
          <w:sz w:val="18"/>
          <w:szCs w:val="18"/>
          <w:color w:val="auto"/>
        </w:rPr>
        <w:t>We are subject to income taxes in the United States and numerous other jurisdictions. Significant judgment is required in determining our provision for income tax, including evaluating uncertainties in the application of accounting principles and complex tax laws.</w:t>
      </w:r>
    </w:p>
    <w:p>
      <w:pPr>
        <w:spacing w:after="0" w:line="197" w:lineRule="exact"/>
        <w:rPr>
          <w:sz w:val="20"/>
          <w:szCs w:val="20"/>
          <w:color w:val="auto"/>
        </w:rPr>
      </w:pPr>
    </w:p>
    <w:p>
      <w:pPr>
        <w:jc w:val="both"/>
        <w:ind w:firstLine="281"/>
        <w:spacing w:after="0" w:line="273" w:lineRule="auto"/>
        <w:rPr>
          <w:sz w:val="20"/>
          <w:szCs w:val="20"/>
          <w:color w:val="auto"/>
        </w:rPr>
      </w:pPr>
      <w:r>
        <w:rPr>
          <w:rFonts w:ascii="Arial" w:cs="Arial" w:eastAsia="Arial" w:hAnsi="Arial"/>
          <w:sz w:val="17"/>
          <w:szCs w:val="17"/>
          <w:color w:val="auto"/>
        </w:rPr>
        <w:t>Income taxes include federal, state and foreign taxes currently payable and deferred taxes arising from temporary differences between income for financial reporting and income tax purposes. Deferred tax assets and liabilities are determined based on the differences between the financial statement balances and the tax bases of assets and liabilities using enacted tax rates in effect for the year in which the differences are expected to reverse. The effect on deferred tax assets and liabilities of a change in tax rates is recognized in income in the year that includes the enactment date. Valuation allowances are established when necessary to reduce deferred tax assets to amounts expected to be realized. Significant management judgment is required in determining the effective tax rate, evaluating tax positions and determining the net realizable value of deferred tax assets.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Liability</w:t>
      </w:r>
    </w:p>
    <w:p>
      <w:pPr>
        <w:spacing w:after="0" w:line="252" w:lineRule="exact"/>
        <w:rPr>
          <w:sz w:val="20"/>
          <w:szCs w:val="20"/>
          <w:color w:val="auto"/>
        </w:rPr>
      </w:pPr>
    </w:p>
    <w:p>
      <w:pPr>
        <w:jc w:val="both"/>
        <w:ind w:firstLine="252"/>
        <w:spacing w:after="0" w:line="259" w:lineRule="auto"/>
        <w:rPr>
          <w:sz w:val="20"/>
          <w:szCs w:val="20"/>
          <w:color w:val="auto"/>
        </w:rPr>
      </w:pPr>
      <w:r>
        <w:rPr>
          <w:rFonts w:ascii="Arial" w:cs="Arial" w:eastAsia="Arial" w:hAnsi="Arial"/>
          <w:sz w:val="18"/>
          <w:szCs w:val="18"/>
          <w:color w:val="auto"/>
        </w:rPr>
        <w:t>We account for our Private Warrants as a derivative warrant liability in accordance with ASC Topic 815-40, Derivatives and Hedging: Contracts in Entity’s Own Equity. Accordingly, we recognize the Private Warrants as a liability at fair value and adjust the Private Warrants to fair value at each reporting period through other income. We utilize the Black-Scholes option-pricing valuation model (“Black-Scholes model”) to estimate the fair value of the Private Warrants at each reporting date.</w:t>
      </w:r>
    </w:p>
    <w:p>
      <w:pPr>
        <w:spacing w:after="0" w:line="214" w:lineRule="exact"/>
        <w:rPr>
          <w:sz w:val="20"/>
          <w:szCs w:val="20"/>
          <w:color w:val="auto"/>
        </w:rPr>
      </w:pPr>
    </w:p>
    <w:p>
      <w:pPr>
        <w:jc w:val="both"/>
        <w:ind w:firstLine="333"/>
        <w:spacing w:after="0" w:line="253" w:lineRule="auto"/>
        <w:rPr>
          <w:sz w:val="20"/>
          <w:szCs w:val="20"/>
          <w:color w:val="auto"/>
        </w:rPr>
      </w:pPr>
      <w:r>
        <w:rPr>
          <w:rFonts w:ascii="Arial" w:cs="Arial" w:eastAsia="Arial" w:hAnsi="Arial"/>
          <w:sz w:val="18"/>
          <w:szCs w:val="18"/>
          <w:color w:val="auto"/>
        </w:rPr>
        <w:t>The application of the Black-Scholes model utilizes significant assumptions, including expected volatility, the determination of which requires significant judgment. In order to determine the most accurate measure of this volatility, we measured expected volatility based on several inputs, including considering a peer group of publicly traded companies, Simply Good Foods’ implied volatility based on traded options, the implied volatility of comparable warrants, and the implied volatility of any outstanding public warrants during the periods they were outstanding. As a result of the unobservable inputs that were used to determine the expected volatility of the Private Warrants, the fair value measurement of these warrants reflects a Level 3 measurement within the fair value measurement hierarchy. Historically, expected volatility has been a key assumption or input to the valuation of the Private Warrants. However, as the Private Warrants approach their expiration, changes in the expected volatility assumption have less impact on the Black-Scholes model valuation. As of August 28, 2021, changes in the expected volatility assumption of 10% insignificantly affected the estimated fair value of the Private Warrants.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56" w:lineRule="exact"/>
        <w:rPr>
          <w:sz w:val="20"/>
          <w:szCs w:val="20"/>
          <w:color w:val="auto"/>
        </w:rPr>
      </w:pPr>
    </w:p>
    <w:p>
      <w:pPr>
        <w:jc w:val="both"/>
        <w:ind w:firstLine="182"/>
        <w:spacing w:after="0" w:line="277" w:lineRule="auto"/>
        <w:rPr>
          <w:sz w:val="20"/>
          <w:szCs w:val="20"/>
          <w:color w:val="auto"/>
        </w:rPr>
      </w:pPr>
      <w:r>
        <w:rPr>
          <w:rFonts w:ascii="Arial" w:cs="Arial" w:eastAsia="Arial" w:hAnsi="Arial"/>
          <w:sz w:val="18"/>
          <w:szCs w:val="18"/>
          <w:color w:val="auto"/>
        </w:rPr>
        <w:t>Refer to Note 2, Summary of Significant Accounting Policies, of our Consolidated Financial Statements in this Report for information regarding recently issued accounting standards.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56" w:lineRule="exact"/>
        <w:rPr>
          <w:sz w:val="20"/>
          <w:szCs w:val="20"/>
          <w:color w:val="auto"/>
        </w:rPr>
      </w:pPr>
    </w:p>
    <w:p>
      <w:pPr>
        <w:jc w:val="both"/>
        <w:ind w:right="20" w:firstLine="203"/>
        <w:spacing w:after="0" w:line="277" w:lineRule="auto"/>
        <w:rPr>
          <w:sz w:val="20"/>
          <w:szCs w:val="20"/>
          <w:color w:val="auto"/>
        </w:rPr>
      </w:pPr>
      <w:r>
        <w:rPr>
          <w:rFonts w:ascii="Arial" w:cs="Arial" w:eastAsia="Arial" w:hAnsi="Arial"/>
          <w:sz w:val="18"/>
          <w:szCs w:val="18"/>
          <w:color w:val="auto"/>
        </w:rPr>
        <w:t>Our future income, cash flows and fair values relevant to financial instruments are dependent upon prevalent market interest rates. Market risk refers to the risk of loss from adverse changes in market prices and interest rates.</w:t>
      </w:r>
    </w:p>
    <w:p>
      <w:pPr>
        <w:spacing w:after="0" w:line="197" w:lineRule="exact"/>
        <w:rPr>
          <w:sz w:val="20"/>
          <w:szCs w:val="20"/>
          <w:color w:val="auto"/>
        </w:rPr>
      </w:pPr>
    </w:p>
    <w:p>
      <w:pPr>
        <w:jc w:val="both"/>
        <w:ind w:firstLine="193"/>
        <w:spacing w:after="0" w:line="259" w:lineRule="auto"/>
        <w:rPr>
          <w:sz w:val="20"/>
          <w:szCs w:val="20"/>
          <w:color w:val="auto"/>
        </w:rPr>
      </w:pPr>
      <w:r>
        <w:rPr>
          <w:rFonts w:ascii="Arial" w:cs="Arial" w:eastAsia="Arial" w:hAnsi="Arial"/>
          <w:sz w:val="18"/>
          <w:szCs w:val="18"/>
          <w:b w:val="1"/>
          <w:bCs w:val="1"/>
          <w:i w:val="1"/>
          <w:iCs w:val="1"/>
          <w:color w:val="auto"/>
        </w:rPr>
        <w:t xml:space="preserve">COVID-19. </w:t>
      </w:r>
      <w:r>
        <w:rPr>
          <w:rFonts w:ascii="Arial" w:cs="Arial" w:eastAsia="Arial" w:hAnsi="Arial"/>
          <w:sz w:val="18"/>
          <w:szCs w:val="18"/>
          <w:color w:val="auto"/>
        </w:rPr>
        <w:t>The current COVID-19 outbreak situation remains dynamic and subject to rapid and possibly material change including, but not limited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changes that may materially affect the operations of our customers and supply chain partners, which ultimately could result in material negative effects on our business and results of operations. Refer to Item 1A, Risk Factors, for additional discussion of our risks associated with pandemics, epidemics or disease outbreaks, such as COVID-19.</w:t>
      </w:r>
    </w:p>
    <w:p>
      <w:pPr>
        <w:spacing w:after="0" w:line="214" w:lineRule="exact"/>
        <w:rPr>
          <w:sz w:val="20"/>
          <w:szCs w:val="20"/>
          <w:color w:val="auto"/>
        </w:rPr>
      </w:pPr>
    </w:p>
    <w:p>
      <w:pPr>
        <w:jc w:val="both"/>
        <w:ind w:firstLine="220"/>
        <w:spacing w:after="0" w:line="255" w:lineRule="auto"/>
        <w:rPr>
          <w:sz w:val="20"/>
          <w:szCs w:val="20"/>
          <w:color w:val="auto"/>
        </w:rPr>
      </w:pPr>
      <w:r>
        <w:rPr>
          <w:rFonts w:ascii="Arial" w:cs="Arial" w:eastAsia="Arial" w:hAnsi="Arial"/>
          <w:sz w:val="18"/>
          <w:szCs w:val="18"/>
          <w:b w:val="1"/>
          <w:bCs w:val="1"/>
          <w:i w:val="1"/>
          <w:iCs w:val="1"/>
          <w:color w:val="auto"/>
        </w:rPr>
        <w:t xml:space="preserve">Interest rate risk. </w:t>
      </w:r>
      <w:r>
        <w:rPr>
          <w:rFonts w:ascii="Arial" w:cs="Arial" w:eastAsia="Arial" w:hAnsi="Arial"/>
          <w:sz w:val="18"/>
          <w:szCs w:val="18"/>
          <w:color w:val="auto"/>
        </w:rPr>
        <w:t>We are subject to interest rate risk in connection with borrowing based on a variable interest rate. Derivative financial instruments,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as interest rate swap agreements and interest rate cap agreements, may be used for the purpose of managing fluctuating interest rate exposures that exist from our variable rate debt obligations that are expected to remain outstanding. Interest rate changes do not affect the market value of such debt, but could affect the amount of our interest payments, and accordingly, our future earnings and cash flows, assuming other factors are held constant. Assuming average variable rate debt levels during the year, a 1% increase in interest rates would have increased interest expense by approximately $5.3 million for the fifty-two weeks ended August 28, 2021.</w:t>
      </w:r>
    </w:p>
    <w:p>
      <w:pPr>
        <w:spacing w:after="0" w:line="219" w:lineRule="exact"/>
        <w:rPr>
          <w:sz w:val="20"/>
          <w:szCs w:val="20"/>
          <w:color w:val="auto"/>
        </w:rPr>
      </w:pPr>
    </w:p>
    <w:p>
      <w:pPr>
        <w:jc w:val="both"/>
        <w:ind w:firstLine="193"/>
        <w:spacing w:after="0" w:line="275" w:lineRule="auto"/>
        <w:rPr>
          <w:sz w:val="20"/>
          <w:szCs w:val="20"/>
          <w:color w:val="auto"/>
        </w:rPr>
      </w:pPr>
      <w:r>
        <w:rPr>
          <w:rFonts w:ascii="Arial" w:cs="Arial" w:eastAsia="Arial" w:hAnsi="Arial"/>
          <w:sz w:val="17"/>
          <w:szCs w:val="17"/>
          <w:b w:val="1"/>
          <w:bCs w:val="1"/>
          <w:i w:val="1"/>
          <w:iCs w:val="1"/>
          <w:color w:val="auto"/>
        </w:rPr>
        <w:t xml:space="preserve">Foreign currency risk. </w:t>
      </w:r>
      <w:r>
        <w:rPr>
          <w:rFonts w:ascii="Arial" w:cs="Arial" w:eastAsia="Arial" w:hAnsi="Arial"/>
          <w:sz w:val="17"/>
          <w:szCs w:val="17"/>
          <w:color w:val="auto"/>
        </w:rPr>
        <w:t>We are exposed to changes in currency rates as a result of investments in foreign operations and revenue generated in currencies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other than the U.S. Dollar. Revenue and profit generated by international operations will increase or decrease compared to prior periods as a result of changes in foreign currency exchange rates. Historically, our foreign currency risk has primarily related to our operations in Canada, which were largely related to the SimplyProtein brand. With the SimplyProtein Sale in September 2020 as well as the restructuring-related business activities in Europe, we have mitigated some of our risk of exposure to changes in foreign currency rates.</w:t>
      </w:r>
    </w:p>
    <w:p>
      <w:pPr>
        <w:spacing w:after="0" w:line="203" w:lineRule="exact"/>
        <w:rPr>
          <w:sz w:val="20"/>
          <w:szCs w:val="20"/>
          <w:color w:val="auto"/>
        </w:rPr>
      </w:pPr>
    </w:p>
    <w:p>
      <w:pPr>
        <w:jc w:val="both"/>
        <w:ind w:firstLine="180"/>
        <w:spacing w:after="0" w:line="263" w:lineRule="auto"/>
        <w:rPr>
          <w:sz w:val="20"/>
          <w:szCs w:val="20"/>
          <w:color w:val="auto"/>
        </w:rPr>
      </w:pPr>
      <w:r>
        <w:rPr>
          <w:rFonts w:ascii="Arial" w:cs="Arial" w:eastAsia="Arial" w:hAnsi="Arial"/>
          <w:sz w:val="18"/>
          <w:szCs w:val="18"/>
          <w:b w:val="1"/>
          <w:bCs w:val="1"/>
          <w:i w:val="1"/>
          <w:iCs w:val="1"/>
          <w:color w:val="auto"/>
        </w:rPr>
        <w:t xml:space="preserve">Inflation. </w:t>
      </w:r>
      <w:r>
        <w:rPr>
          <w:rFonts w:ascii="Arial" w:cs="Arial" w:eastAsia="Arial" w:hAnsi="Arial"/>
          <w:sz w:val="18"/>
          <w:szCs w:val="18"/>
          <w:color w:val="auto"/>
        </w:rPr>
        <w:t>While inflation may affect our revenue and cost of services and products, we believe the effects of inflation, if any, on our results of operations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financial condition during the fifty-two weeks ended August 28, 2021 have not been significant. However, there can be no assurance that results of operations and financial condition will not be materially affected by inflation in the future.</w:t>
      </w:r>
    </w:p>
    <w:p>
      <w:pPr>
        <w:spacing w:after="0" w:line="211" w:lineRule="exact"/>
        <w:rPr>
          <w:sz w:val="20"/>
          <w:szCs w:val="20"/>
          <w:color w:val="auto"/>
        </w:rPr>
      </w:pPr>
    </w:p>
    <w:p>
      <w:pPr>
        <w:jc w:val="both"/>
        <w:ind w:firstLine="193"/>
        <w:spacing w:after="0" w:line="288" w:lineRule="auto"/>
        <w:rPr>
          <w:sz w:val="20"/>
          <w:szCs w:val="20"/>
          <w:color w:val="auto"/>
        </w:rPr>
      </w:pPr>
      <w:r>
        <w:rPr>
          <w:rFonts w:ascii="Arial" w:cs="Arial" w:eastAsia="Arial" w:hAnsi="Arial"/>
          <w:sz w:val="16"/>
          <w:szCs w:val="16"/>
          <w:b w:val="1"/>
          <w:bCs w:val="1"/>
          <w:i w:val="1"/>
          <w:iCs w:val="1"/>
          <w:color w:val="auto"/>
        </w:rPr>
        <w:t xml:space="preserve">Supply chain. </w:t>
      </w:r>
      <w:r>
        <w:rPr>
          <w:rFonts w:ascii="Arial" w:cs="Arial" w:eastAsia="Arial" w:hAnsi="Arial"/>
          <w:sz w:val="16"/>
          <w:szCs w:val="16"/>
          <w:color w:val="auto"/>
        </w:rPr>
        <w:t>We are exposed to risks associated with changes in the costs of our raw materials as well as changes to our supply and distribution costs.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expect higher raw material and freight costs in fiscal year 2022. As a result, in June 2021, management notified our customers of our plans to institute a price increase effective in September 2021, the first month of our fiscal year 2022. Management believes the price increase and productivity initiatives will enable us to continue to invest in projects that drive growth. However, there can be no assurance that the price increase will fully offset the effects of higher raw material and freight costs on our results of operations and financial condition. We have also begun to see logistics challenges, which we believe have contributed to lower retail and e-commerce sales of our products due to out-of-stock situations, delayed recognition of sales and higher than historical inventory levels. In addition, we could experience additional lost sale opportunities at our retail and e-commerce customers if our products are not available for purchase as a result of disruptions in our supply chain relating to an inability to obtain ingredients or packaging, labor challenges at our logistics providers or our contract manufacturers, or if our customers experience delays in stocking our products. Refer to Item 1A, Risk Factors, for additional discussion of our risks associated with the costs of our raw materials, such as our core ingredients and packaging, and our supply chain.</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56"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TABLE OF CONTENTS</w:t>
      </w:r>
    </w:p>
    <w:p>
      <w:pPr>
        <w:spacing w:after="0" w:line="190" w:lineRule="exact"/>
        <w:rPr>
          <w:sz w:val="20"/>
          <w:szCs w:val="20"/>
          <w:color w:val="auto"/>
        </w:rPr>
      </w:pPr>
    </w:p>
    <w:tbl>
      <w:tblPr>
        <w:tblLayout w:type="fixed"/>
        <w:tblInd w:w="620" w:type="dxa"/>
        <w:tblCellMar>
          <w:top w:w="0" w:type="dxa"/>
          <w:left w:w="0" w:type="dxa"/>
          <w:bottom w:w="0" w:type="dxa"/>
          <w:right w:w="0" w:type="dxa"/>
        </w:tblCellMar>
      </w:tblPr>
      <w:tr>
        <w:trPr>
          <w:trHeight w:val="184"/>
        </w:trPr>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60" w:type="dxa"/>
            <w:vAlign w:val="bottom"/>
            <w:gridSpan w:val="4"/>
          </w:tcPr>
          <w:p>
            <w:pPr>
              <w:jc w:val="center"/>
              <w:ind w:left="1259"/>
              <w:spacing w:after="0"/>
              <w:rPr>
                <w:sz w:val="20"/>
                <w:szCs w:val="20"/>
                <w:color w:val="auto"/>
              </w:rPr>
            </w:pPr>
            <w:r>
              <w:rPr>
                <w:rFonts w:ascii="Arial" w:cs="Arial" w:eastAsia="Arial" w:hAnsi="Arial"/>
                <w:sz w:val="16"/>
                <w:szCs w:val="16"/>
                <w:b w:val="1"/>
                <w:bCs w:val="1"/>
                <w:color w:val="auto"/>
                <w:w w:val="83"/>
              </w:rPr>
              <w:t>Page</w:t>
            </w:r>
          </w:p>
        </w:tc>
      </w:tr>
      <w:tr>
        <w:trPr>
          <w:trHeight w:val="263"/>
        </w:trPr>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20" w:type="dxa"/>
            <w:vAlign w:val="bottom"/>
            <w:gridSpan w:val="12"/>
          </w:tcPr>
          <w:p>
            <w:pPr>
              <w:jc w:val="center"/>
              <w:ind w:right="1920"/>
              <w:spacing w:after="0"/>
              <w:rPr>
                <w:rFonts w:ascii="Arial" w:cs="Arial" w:eastAsia="Arial" w:hAnsi="Arial"/>
                <w:sz w:val="16"/>
                <w:szCs w:val="16"/>
                <w:color w:val="0000FF"/>
                <w:w w:val="88"/>
              </w:rPr>
            </w:pPr>
            <w:hyperlink w:anchor="page49">
              <w:r>
                <w:rPr>
                  <w:rFonts w:ascii="Arial" w:cs="Arial" w:eastAsia="Arial" w:hAnsi="Arial"/>
                  <w:sz w:val="16"/>
                  <w:szCs w:val="16"/>
                  <w:color w:val="0000FF"/>
                  <w:w w:val="88"/>
                </w:rPr>
                <w:t>Index to the Financial Statements</w:t>
              </w:r>
            </w:hyperlink>
          </w:p>
        </w:tc>
        <w:tc>
          <w:tcPr>
            <w:tcW w:w="134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r>
      <w:tr>
        <w:trPr>
          <w:trHeight w:val="20"/>
        </w:trPr>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8"/>
        </w:trPr>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940" w:type="dxa"/>
            <w:vAlign w:val="bottom"/>
            <w:gridSpan w:val="19"/>
          </w:tcPr>
          <w:p>
            <w:pPr>
              <w:spacing w:after="0"/>
              <w:rPr>
                <w:rFonts w:ascii="Arial" w:cs="Arial" w:eastAsia="Arial" w:hAnsi="Arial"/>
                <w:sz w:val="16"/>
                <w:szCs w:val="16"/>
                <w:color w:val="0000FF"/>
                <w:w w:val="92"/>
              </w:rPr>
            </w:pPr>
            <w:hyperlink w:anchor="page50">
              <w:r>
                <w:rPr>
                  <w:rFonts w:ascii="Arial" w:cs="Arial" w:eastAsia="Arial" w:hAnsi="Arial"/>
                  <w:sz w:val="16"/>
                  <w:szCs w:val="16"/>
                  <w:color w:val="0000FF"/>
                  <w:w w:val="92"/>
                </w:rPr>
                <w:t>Reports of Independent Registered Public Accounting Firms</w:t>
              </w:r>
            </w:hyperlink>
          </w:p>
        </w:tc>
        <w:tc>
          <w:tcPr>
            <w:tcW w:w="2240" w:type="dxa"/>
            <w:vAlign w:val="bottom"/>
            <w:gridSpan w:val="4"/>
          </w:tcPr>
          <w:p>
            <w:pPr>
              <w:spacing w:after="0"/>
              <w:rPr>
                <w:sz w:val="24"/>
                <w:szCs w:val="24"/>
                <w:color w:val="auto"/>
              </w:rPr>
            </w:pPr>
          </w:p>
        </w:tc>
        <w:tc>
          <w:tcPr>
            <w:tcW w:w="1580" w:type="dxa"/>
            <w:vAlign w:val="bottom"/>
            <w:gridSpan w:val="3"/>
          </w:tcPr>
          <w:p>
            <w:pPr>
              <w:jc w:val="center"/>
              <w:ind w:left="1339"/>
              <w:spacing w:after="0"/>
              <w:rPr>
                <w:rFonts w:ascii="Arial" w:cs="Arial" w:eastAsia="Arial" w:hAnsi="Arial"/>
                <w:sz w:val="16"/>
                <w:szCs w:val="16"/>
                <w:color w:val="0000FF"/>
                <w:w w:val="89"/>
              </w:rPr>
            </w:pPr>
            <w:hyperlink w:anchor="page50">
              <w:r>
                <w:rPr>
                  <w:rFonts w:ascii="Arial" w:cs="Arial" w:eastAsia="Arial" w:hAnsi="Arial"/>
                  <w:sz w:val="16"/>
                  <w:szCs w:val="16"/>
                  <w:color w:val="0000FF"/>
                  <w:w w:val="89"/>
                </w:rPr>
                <w:t>51</w:t>
              </w:r>
            </w:hyperlink>
          </w:p>
        </w:tc>
        <w:tc>
          <w:tcPr>
            <w:tcW w:w="80" w:type="dxa"/>
            <w:vAlign w:val="bottom"/>
          </w:tcPr>
          <w:p>
            <w:pPr>
              <w:spacing w:after="0"/>
              <w:rPr>
                <w:sz w:val="24"/>
                <w:szCs w:val="24"/>
                <w:color w:val="auto"/>
              </w:rPr>
            </w:pPr>
          </w:p>
        </w:tc>
      </w:tr>
      <w:tr>
        <w:trPr>
          <w:trHeight w:val="20"/>
        </w:trPr>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900" w:type="dxa"/>
            <w:vAlign w:val="bottom"/>
            <w:gridSpan w:val="10"/>
          </w:tcPr>
          <w:p>
            <w:pPr>
              <w:spacing w:after="0"/>
              <w:rPr>
                <w:rFonts w:ascii="Arial" w:cs="Arial" w:eastAsia="Arial" w:hAnsi="Arial"/>
                <w:sz w:val="16"/>
                <w:szCs w:val="16"/>
                <w:color w:val="0000FF"/>
                <w:w w:val="89"/>
              </w:rPr>
            </w:pPr>
            <w:hyperlink w:anchor="page52">
              <w:r>
                <w:rPr>
                  <w:rFonts w:ascii="Arial" w:cs="Arial" w:eastAsia="Arial" w:hAnsi="Arial"/>
                  <w:sz w:val="16"/>
                  <w:szCs w:val="16"/>
                  <w:color w:val="0000FF"/>
                  <w:w w:val="89"/>
                </w:rPr>
                <w:t>Consolidated Balance Sheets</w:t>
              </w:r>
            </w:hyperlink>
          </w:p>
        </w:tc>
        <w:tc>
          <w:tcPr>
            <w:tcW w:w="2040" w:type="dxa"/>
            <w:vAlign w:val="bottom"/>
            <w:gridSpan w:val="9"/>
          </w:tcPr>
          <w:p>
            <w:pPr>
              <w:spacing w:after="0"/>
              <w:rPr>
                <w:sz w:val="20"/>
                <w:szCs w:val="20"/>
                <w:color w:val="auto"/>
              </w:rPr>
            </w:pPr>
          </w:p>
        </w:tc>
        <w:tc>
          <w:tcPr>
            <w:tcW w:w="2240" w:type="dxa"/>
            <w:vAlign w:val="bottom"/>
            <w:gridSpan w:val="4"/>
          </w:tcPr>
          <w:p>
            <w:pPr>
              <w:spacing w:after="0"/>
              <w:rPr>
                <w:sz w:val="20"/>
                <w:szCs w:val="20"/>
                <w:color w:val="auto"/>
              </w:rPr>
            </w:pPr>
          </w:p>
        </w:tc>
        <w:tc>
          <w:tcPr>
            <w:tcW w:w="1580" w:type="dxa"/>
            <w:vAlign w:val="bottom"/>
            <w:gridSpan w:val="3"/>
          </w:tcPr>
          <w:p>
            <w:pPr>
              <w:jc w:val="center"/>
              <w:ind w:left="1339"/>
              <w:spacing w:after="0"/>
              <w:rPr>
                <w:rFonts w:ascii="Arial" w:cs="Arial" w:eastAsia="Arial" w:hAnsi="Arial"/>
                <w:sz w:val="16"/>
                <w:szCs w:val="16"/>
                <w:color w:val="0000FF"/>
                <w:w w:val="89"/>
              </w:rPr>
            </w:pPr>
            <w:hyperlink w:anchor="page52">
              <w:r>
                <w:rPr>
                  <w:rFonts w:ascii="Arial" w:cs="Arial" w:eastAsia="Arial" w:hAnsi="Arial"/>
                  <w:sz w:val="16"/>
                  <w:szCs w:val="16"/>
                  <w:color w:val="0000FF"/>
                  <w:w w:val="89"/>
                </w:rPr>
                <w:t>53</w:t>
              </w:r>
            </w:hyperlink>
          </w:p>
        </w:tc>
        <w:tc>
          <w:tcPr>
            <w:tcW w:w="80" w:type="dxa"/>
            <w:vAlign w:val="bottom"/>
          </w:tcPr>
          <w:p>
            <w:pPr>
              <w:spacing w:after="0"/>
              <w:rPr>
                <w:sz w:val="20"/>
                <w:szCs w:val="20"/>
                <w:color w:val="auto"/>
              </w:rPr>
            </w:pPr>
          </w:p>
        </w:tc>
      </w:tr>
      <w:tr>
        <w:trPr>
          <w:trHeight w:val="20"/>
        </w:trPr>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860" w:type="dxa"/>
            <w:vAlign w:val="bottom"/>
            <w:gridSpan w:val="22"/>
          </w:tcPr>
          <w:p>
            <w:pPr>
              <w:spacing w:after="0"/>
              <w:rPr>
                <w:rFonts w:ascii="Arial" w:cs="Arial" w:eastAsia="Arial" w:hAnsi="Arial"/>
                <w:sz w:val="16"/>
                <w:szCs w:val="16"/>
                <w:color w:val="0000FF"/>
                <w:w w:val="90"/>
              </w:rPr>
            </w:pPr>
            <w:hyperlink w:anchor="page53">
              <w:r>
                <w:rPr>
                  <w:rFonts w:ascii="Arial" w:cs="Arial" w:eastAsia="Arial" w:hAnsi="Arial"/>
                  <w:sz w:val="16"/>
                  <w:szCs w:val="16"/>
                  <w:color w:val="0000FF"/>
                  <w:w w:val="90"/>
                </w:rPr>
                <w:t>Consolidated Statements of Operations and Comprehensive Income (Loss)</w:t>
              </w:r>
            </w:hyperlink>
          </w:p>
        </w:tc>
        <w:tc>
          <w:tcPr>
            <w:tcW w:w="1320" w:type="dxa"/>
            <w:vAlign w:val="bottom"/>
          </w:tcPr>
          <w:p>
            <w:pPr>
              <w:spacing w:after="0"/>
              <w:rPr>
                <w:sz w:val="20"/>
                <w:szCs w:val="20"/>
                <w:color w:val="auto"/>
              </w:rPr>
            </w:pPr>
          </w:p>
        </w:tc>
        <w:tc>
          <w:tcPr>
            <w:tcW w:w="1580" w:type="dxa"/>
            <w:vAlign w:val="bottom"/>
            <w:gridSpan w:val="3"/>
          </w:tcPr>
          <w:p>
            <w:pPr>
              <w:jc w:val="center"/>
              <w:ind w:left="1339"/>
              <w:spacing w:after="0"/>
              <w:rPr>
                <w:rFonts w:ascii="Arial" w:cs="Arial" w:eastAsia="Arial" w:hAnsi="Arial"/>
                <w:sz w:val="16"/>
                <w:szCs w:val="16"/>
                <w:color w:val="0000FF"/>
                <w:w w:val="89"/>
              </w:rPr>
            </w:pPr>
            <w:hyperlink w:anchor="page53">
              <w:r>
                <w:rPr>
                  <w:rFonts w:ascii="Arial" w:cs="Arial" w:eastAsia="Arial" w:hAnsi="Arial"/>
                  <w:sz w:val="16"/>
                  <w:szCs w:val="16"/>
                  <w:color w:val="0000FF"/>
                  <w:w w:val="89"/>
                </w:rPr>
                <w:t>54</w:t>
              </w:r>
            </w:hyperlink>
          </w:p>
        </w:tc>
        <w:tc>
          <w:tcPr>
            <w:tcW w:w="80" w:type="dxa"/>
            <w:vAlign w:val="bottom"/>
          </w:tcPr>
          <w:p>
            <w:pPr>
              <w:spacing w:after="0"/>
              <w:rPr>
                <w:sz w:val="20"/>
                <w:szCs w:val="20"/>
                <w:color w:val="auto"/>
              </w:rPr>
            </w:pPr>
          </w:p>
        </w:tc>
      </w:tr>
      <w:tr>
        <w:trPr>
          <w:trHeight w:val="20"/>
        </w:trPr>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600" w:type="dxa"/>
            <w:vAlign w:val="bottom"/>
            <w:gridSpan w:val="14"/>
          </w:tcPr>
          <w:p>
            <w:pPr>
              <w:spacing w:after="0"/>
              <w:rPr>
                <w:rFonts w:ascii="Arial" w:cs="Arial" w:eastAsia="Arial" w:hAnsi="Arial"/>
                <w:sz w:val="16"/>
                <w:szCs w:val="16"/>
                <w:color w:val="0000FF"/>
                <w:w w:val="90"/>
              </w:rPr>
            </w:pPr>
            <w:hyperlink w:anchor="page54">
              <w:r>
                <w:rPr>
                  <w:rFonts w:ascii="Arial" w:cs="Arial" w:eastAsia="Arial" w:hAnsi="Arial"/>
                  <w:sz w:val="16"/>
                  <w:szCs w:val="16"/>
                  <w:color w:val="0000FF"/>
                  <w:w w:val="90"/>
                </w:rPr>
                <w:t>Consolidated Statements of Cash Flows</w:t>
              </w:r>
            </w:hyperlink>
          </w:p>
        </w:tc>
        <w:tc>
          <w:tcPr>
            <w:tcW w:w="2260" w:type="dxa"/>
            <w:vAlign w:val="bottom"/>
            <w:gridSpan w:val="8"/>
          </w:tcPr>
          <w:p>
            <w:pPr>
              <w:spacing w:after="0"/>
              <w:rPr>
                <w:sz w:val="21"/>
                <w:szCs w:val="21"/>
                <w:color w:val="auto"/>
              </w:rPr>
            </w:pPr>
          </w:p>
        </w:tc>
        <w:tc>
          <w:tcPr>
            <w:tcW w:w="1320" w:type="dxa"/>
            <w:vAlign w:val="bottom"/>
          </w:tcPr>
          <w:p>
            <w:pPr>
              <w:spacing w:after="0"/>
              <w:rPr>
                <w:sz w:val="21"/>
                <w:szCs w:val="21"/>
                <w:color w:val="auto"/>
              </w:rPr>
            </w:pPr>
          </w:p>
        </w:tc>
        <w:tc>
          <w:tcPr>
            <w:tcW w:w="1580" w:type="dxa"/>
            <w:vAlign w:val="bottom"/>
            <w:gridSpan w:val="3"/>
          </w:tcPr>
          <w:p>
            <w:pPr>
              <w:jc w:val="center"/>
              <w:ind w:left="1339"/>
              <w:spacing w:after="0"/>
              <w:rPr>
                <w:rFonts w:ascii="Arial" w:cs="Arial" w:eastAsia="Arial" w:hAnsi="Arial"/>
                <w:sz w:val="16"/>
                <w:szCs w:val="16"/>
                <w:color w:val="0000FF"/>
                <w:w w:val="89"/>
              </w:rPr>
            </w:pPr>
            <w:hyperlink w:anchor="page54">
              <w:r>
                <w:rPr>
                  <w:rFonts w:ascii="Arial" w:cs="Arial" w:eastAsia="Arial" w:hAnsi="Arial"/>
                  <w:sz w:val="16"/>
                  <w:szCs w:val="16"/>
                  <w:color w:val="0000FF"/>
                  <w:w w:val="89"/>
                </w:rPr>
                <w:t>55</w:t>
              </w:r>
            </w:hyperlink>
          </w:p>
        </w:tc>
        <w:tc>
          <w:tcPr>
            <w:tcW w:w="80" w:type="dxa"/>
            <w:vAlign w:val="bottom"/>
          </w:tcPr>
          <w:p>
            <w:pPr>
              <w:spacing w:after="0"/>
              <w:rPr>
                <w:sz w:val="21"/>
                <w:szCs w:val="21"/>
                <w:color w:val="auto"/>
              </w:rPr>
            </w:pPr>
          </w:p>
        </w:tc>
      </w:tr>
      <w:tr>
        <w:trPr>
          <w:trHeight w:val="20"/>
        </w:trPr>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180" w:type="dxa"/>
            <w:vAlign w:val="bottom"/>
            <w:gridSpan w:val="23"/>
          </w:tcPr>
          <w:p>
            <w:pPr>
              <w:spacing w:after="0"/>
              <w:rPr>
                <w:rFonts w:ascii="Arial" w:cs="Arial" w:eastAsia="Arial" w:hAnsi="Arial"/>
                <w:sz w:val="16"/>
                <w:szCs w:val="16"/>
                <w:color w:val="0000FF"/>
              </w:rPr>
            </w:pPr>
            <w:hyperlink w:anchor="page56">
              <w:r>
                <w:rPr>
                  <w:rFonts w:ascii="Arial" w:cs="Arial" w:eastAsia="Arial" w:hAnsi="Arial"/>
                  <w:sz w:val="16"/>
                  <w:szCs w:val="16"/>
                  <w:color w:val="0000FF"/>
                </w:rPr>
                <w:t>Consolidated Statements of Stockholders’ Equity</w:t>
              </w:r>
            </w:hyperlink>
          </w:p>
        </w:tc>
        <w:tc>
          <w:tcPr>
            <w:tcW w:w="1580" w:type="dxa"/>
            <w:vAlign w:val="bottom"/>
            <w:gridSpan w:val="3"/>
          </w:tcPr>
          <w:p>
            <w:pPr>
              <w:jc w:val="center"/>
              <w:ind w:left="1339"/>
              <w:spacing w:after="0"/>
              <w:rPr>
                <w:rFonts w:ascii="Arial" w:cs="Arial" w:eastAsia="Arial" w:hAnsi="Arial"/>
                <w:sz w:val="16"/>
                <w:szCs w:val="16"/>
                <w:color w:val="0000FF"/>
                <w:w w:val="89"/>
              </w:rPr>
            </w:pPr>
            <w:hyperlink w:anchor="page56">
              <w:r>
                <w:rPr>
                  <w:rFonts w:ascii="Arial" w:cs="Arial" w:eastAsia="Arial" w:hAnsi="Arial"/>
                  <w:sz w:val="16"/>
                  <w:szCs w:val="16"/>
                  <w:color w:val="0000FF"/>
                  <w:w w:val="89"/>
                </w:rPr>
                <w:t>57</w:t>
              </w:r>
            </w:hyperlink>
          </w:p>
        </w:tc>
        <w:tc>
          <w:tcPr>
            <w:tcW w:w="80" w:type="dxa"/>
            <w:vAlign w:val="bottom"/>
          </w:tcPr>
          <w:p>
            <w:pPr>
              <w:spacing w:after="0"/>
              <w:rPr>
                <w:sz w:val="21"/>
                <w:szCs w:val="21"/>
                <w:color w:val="auto"/>
              </w:rPr>
            </w:pPr>
          </w:p>
        </w:tc>
      </w:tr>
      <w:tr>
        <w:trPr>
          <w:trHeight w:val="20"/>
        </w:trPr>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33"/>
        </w:trPr>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20" w:type="dxa"/>
            <w:vAlign w:val="bottom"/>
            <w:gridSpan w:val="14"/>
          </w:tcPr>
          <w:p>
            <w:pPr>
              <w:jc w:val="center"/>
              <w:ind w:right="1580"/>
              <w:spacing w:after="0"/>
              <w:rPr>
                <w:rFonts w:ascii="Arial" w:cs="Arial" w:eastAsia="Arial" w:hAnsi="Arial"/>
                <w:sz w:val="16"/>
                <w:szCs w:val="16"/>
                <w:color w:val="0000FF"/>
                <w:w w:val="91"/>
              </w:rPr>
            </w:pPr>
            <w:hyperlink w:anchor="page57">
              <w:r>
                <w:rPr>
                  <w:rFonts w:ascii="Arial" w:cs="Arial" w:eastAsia="Arial" w:hAnsi="Arial"/>
                  <w:sz w:val="16"/>
                  <w:szCs w:val="16"/>
                  <w:color w:val="0000FF"/>
                  <w:w w:val="91"/>
                </w:rPr>
                <w:t>Notes to Consolidated Financial Statements</w:t>
              </w:r>
            </w:hyperlink>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7"/>
        </w:trPr>
        <w:tc>
          <w:tcPr>
            <w:tcW w:w="1820" w:type="dxa"/>
            <w:vAlign w:val="bottom"/>
            <w:gridSpan w:val="3"/>
          </w:tcPr>
          <w:p>
            <w:pPr>
              <w:spacing w:after="0"/>
              <w:rPr>
                <w:rFonts w:ascii="Arial" w:cs="Arial" w:eastAsia="Arial" w:hAnsi="Arial"/>
                <w:sz w:val="16"/>
                <w:szCs w:val="16"/>
                <w:color w:val="0000FF"/>
              </w:rPr>
            </w:pPr>
            <w:hyperlink w:anchor="page58">
              <w:r>
                <w:rPr>
                  <w:rFonts w:ascii="Arial" w:cs="Arial" w:eastAsia="Arial" w:hAnsi="Arial"/>
                  <w:sz w:val="16"/>
                  <w:szCs w:val="16"/>
                  <w:color w:val="0000FF"/>
                </w:rPr>
                <w:t>Note 1.</w:t>
              </w:r>
            </w:hyperlink>
          </w:p>
        </w:tc>
        <w:tc>
          <w:tcPr>
            <w:tcW w:w="6180" w:type="dxa"/>
            <w:vAlign w:val="bottom"/>
            <w:gridSpan w:val="23"/>
          </w:tcPr>
          <w:p>
            <w:pPr>
              <w:spacing w:after="0"/>
              <w:rPr>
                <w:rFonts w:ascii="Arial" w:cs="Arial" w:eastAsia="Arial" w:hAnsi="Arial"/>
                <w:sz w:val="16"/>
                <w:szCs w:val="16"/>
                <w:color w:val="0000FF"/>
              </w:rPr>
            </w:pPr>
            <w:hyperlink w:anchor="page58">
              <w:r>
                <w:rPr>
                  <w:rFonts w:ascii="Arial" w:cs="Arial" w:eastAsia="Arial" w:hAnsi="Arial"/>
                  <w:sz w:val="16"/>
                  <w:szCs w:val="16"/>
                  <w:color w:val="0000FF"/>
                </w:rPr>
                <w:t>Nature of Operations and Principles of Consolidation</w:t>
              </w:r>
            </w:hyperlink>
          </w:p>
        </w:tc>
        <w:tc>
          <w:tcPr>
            <w:tcW w:w="1580" w:type="dxa"/>
            <w:vAlign w:val="bottom"/>
            <w:gridSpan w:val="3"/>
          </w:tcPr>
          <w:p>
            <w:pPr>
              <w:jc w:val="center"/>
              <w:ind w:left="1339"/>
              <w:spacing w:after="0"/>
              <w:rPr>
                <w:rFonts w:ascii="Arial" w:cs="Arial" w:eastAsia="Arial" w:hAnsi="Arial"/>
                <w:sz w:val="16"/>
                <w:szCs w:val="16"/>
                <w:color w:val="0000FF"/>
                <w:w w:val="89"/>
              </w:rPr>
            </w:pPr>
            <w:hyperlink w:anchor="page58">
              <w:r>
                <w:rPr>
                  <w:rFonts w:ascii="Arial" w:cs="Arial" w:eastAsia="Arial" w:hAnsi="Arial"/>
                  <w:sz w:val="16"/>
                  <w:szCs w:val="16"/>
                  <w:color w:val="0000FF"/>
                  <w:w w:val="89"/>
                </w:rPr>
                <w:t>58</w:t>
              </w:r>
            </w:hyperlink>
          </w:p>
        </w:tc>
        <w:tc>
          <w:tcPr>
            <w:tcW w:w="80" w:type="dxa"/>
            <w:vAlign w:val="bottom"/>
          </w:tcPr>
          <w:p>
            <w:pPr>
              <w:spacing w:after="0"/>
              <w:rPr>
                <w:sz w:val="24"/>
                <w:szCs w:val="24"/>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1820" w:type="dxa"/>
            <w:vAlign w:val="bottom"/>
            <w:gridSpan w:val="3"/>
          </w:tcPr>
          <w:p>
            <w:pPr>
              <w:spacing w:after="0"/>
              <w:rPr>
                <w:rFonts w:ascii="Arial" w:cs="Arial" w:eastAsia="Arial" w:hAnsi="Arial"/>
                <w:sz w:val="16"/>
                <w:szCs w:val="16"/>
                <w:color w:val="0000FF"/>
              </w:rPr>
            </w:pPr>
            <w:hyperlink w:anchor="page58">
              <w:r>
                <w:rPr>
                  <w:rFonts w:ascii="Arial" w:cs="Arial" w:eastAsia="Arial" w:hAnsi="Arial"/>
                  <w:sz w:val="16"/>
                  <w:szCs w:val="16"/>
                  <w:color w:val="0000FF"/>
                </w:rPr>
                <w:t>Note 2.</w:t>
              </w:r>
            </w:hyperlink>
          </w:p>
        </w:tc>
        <w:tc>
          <w:tcPr>
            <w:tcW w:w="6180" w:type="dxa"/>
            <w:vAlign w:val="bottom"/>
            <w:gridSpan w:val="23"/>
          </w:tcPr>
          <w:p>
            <w:pPr>
              <w:spacing w:after="0"/>
              <w:rPr>
                <w:rFonts w:ascii="Arial" w:cs="Arial" w:eastAsia="Arial" w:hAnsi="Arial"/>
                <w:sz w:val="16"/>
                <w:szCs w:val="16"/>
                <w:color w:val="0000FF"/>
              </w:rPr>
            </w:pPr>
            <w:hyperlink w:anchor="page58">
              <w:r>
                <w:rPr>
                  <w:rFonts w:ascii="Arial" w:cs="Arial" w:eastAsia="Arial" w:hAnsi="Arial"/>
                  <w:sz w:val="16"/>
                  <w:szCs w:val="16"/>
                  <w:color w:val="0000FF"/>
                </w:rPr>
                <w:t>Summary of Significant Accounting Policies</w:t>
              </w:r>
            </w:hyperlink>
          </w:p>
        </w:tc>
        <w:tc>
          <w:tcPr>
            <w:tcW w:w="1580" w:type="dxa"/>
            <w:vAlign w:val="bottom"/>
            <w:gridSpan w:val="3"/>
          </w:tcPr>
          <w:p>
            <w:pPr>
              <w:jc w:val="center"/>
              <w:ind w:left="1339"/>
              <w:spacing w:after="0"/>
              <w:rPr>
                <w:rFonts w:ascii="Arial" w:cs="Arial" w:eastAsia="Arial" w:hAnsi="Arial"/>
                <w:sz w:val="16"/>
                <w:szCs w:val="16"/>
                <w:color w:val="0000FF"/>
                <w:w w:val="89"/>
              </w:rPr>
            </w:pPr>
            <w:hyperlink w:anchor="page58">
              <w:r>
                <w:rPr>
                  <w:rFonts w:ascii="Arial" w:cs="Arial" w:eastAsia="Arial" w:hAnsi="Arial"/>
                  <w:sz w:val="16"/>
                  <w:szCs w:val="16"/>
                  <w:color w:val="0000FF"/>
                  <w:w w:val="89"/>
                </w:rPr>
                <w:t>59</w:t>
              </w:r>
            </w:hyperlink>
          </w:p>
        </w:tc>
        <w:tc>
          <w:tcPr>
            <w:tcW w:w="80" w:type="dxa"/>
            <w:vAlign w:val="bottom"/>
          </w:tcPr>
          <w:p>
            <w:pPr>
              <w:spacing w:after="0"/>
              <w:rPr>
                <w:sz w:val="20"/>
                <w:szCs w:val="20"/>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60" w:type="dxa"/>
            <w:vAlign w:val="bottom"/>
            <w:gridSpan w:val="7"/>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1820" w:type="dxa"/>
            <w:vAlign w:val="bottom"/>
            <w:gridSpan w:val="3"/>
          </w:tcPr>
          <w:p>
            <w:pPr>
              <w:spacing w:after="0"/>
              <w:rPr>
                <w:rFonts w:ascii="Arial" w:cs="Arial" w:eastAsia="Arial" w:hAnsi="Arial"/>
                <w:sz w:val="16"/>
                <w:szCs w:val="16"/>
                <w:color w:val="0000FF"/>
              </w:rPr>
            </w:pPr>
            <w:hyperlink w:anchor="page64">
              <w:r>
                <w:rPr>
                  <w:rFonts w:ascii="Arial" w:cs="Arial" w:eastAsia="Arial" w:hAnsi="Arial"/>
                  <w:sz w:val="16"/>
                  <w:szCs w:val="16"/>
                  <w:color w:val="0000FF"/>
                </w:rPr>
                <w:t>Note 3.</w:t>
              </w:r>
            </w:hyperlink>
          </w:p>
        </w:tc>
        <w:tc>
          <w:tcPr>
            <w:tcW w:w="6180" w:type="dxa"/>
            <w:vAlign w:val="bottom"/>
            <w:gridSpan w:val="23"/>
          </w:tcPr>
          <w:p>
            <w:pPr>
              <w:spacing w:after="0"/>
              <w:rPr>
                <w:rFonts w:ascii="Arial" w:cs="Arial" w:eastAsia="Arial" w:hAnsi="Arial"/>
                <w:sz w:val="16"/>
                <w:szCs w:val="16"/>
                <w:color w:val="0000FF"/>
              </w:rPr>
            </w:pPr>
            <w:hyperlink w:anchor="page64">
              <w:r>
                <w:rPr>
                  <w:rFonts w:ascii="Arial" w:cs="Arial" w:eastAsia="Arial" w:hAnsi="Arial"/>
                  <w:sz w:val="16"/>
                  <w:szCs w:val="16"/>
                  <w:color w:val="0000FF"/>
                </w:rPr>
                <w:t>Business Combination</w:t>
              </w:r>
            </w:hyperlink>
          </w:p>
        </w:tc>
        <w:tc>
          <w:tcPr>
            <w:tcW w:w="1580" w:type="dxa"/>
            <w:vAlign w:val="bottom"/>
            <w:gridSpan w:val="3"/>
          </w:tcPr>
          <w:p>
            <w:pPr>
              <w:jc w:val="center"/>
              <w:ind w:left="1339"/>
              <w:spacing w:after="0"/>
              <w:rPr>
                <w:rFonts w:ascii="Arial" w:cs="Arial" w:eastAsia="Arial" w:hAnsi="Arial"/>
                <w:sz w:val="16"/>
                <w:szCs w:val="16"/>
                <w:color w:val="0000FF"/>
                <w:w w:val="89"/>
              </w:rPr>
            </w:pPr>
            <w:hyperlink w:anchor="page64">
              <w:r>
                <w:rPr>
                  <w:rFonts w:ascii="Arial" w:cs="Arial" w:eastAsia="Arial" w:hAnsi="Arial"/>
                  <w:sz w:val="16"/>
                  <w:szCs w:val="16"/>
                  <w:color w:val="0000FF"/>
                  <w:w w:val="89"/>
                </w:rPr>
                <w:t>64</w:t>
              </w:r>
            </w:hyperlink>
          </w:p>
        </w:tc>
        <w:tc>
          <w:tcPr>
            <w:tcW w:w="80" w:type="dxa"/>
            <w:vAlign w:val="bottom"/>
          </w:tcPr>
          <w:p>
            <w:pPr>
              <w:spacing w:after="0"/>
              <w:rPr>
                <w:sz w:val="20"/>
                <w:szCs w:val="20"/>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060" w:type="dxa"/>
            <w:vAlign w:val="bottom"/>
            <w:gridSpan w:val="7"/>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6"/>
        </w:trPr>
        <w:tc>
          <w:tcPr>
            <w:tcW w:w="1820" w:type="dxa"/>
            <w:vAlign w:val="bottom"/>
            <w:gridSpan w:val="3"/>
          </w:tcPr>
          <w:p>
            <w:pPr>
              <w:spacing w:after="0"/>
              <w:rPr>
                <w:rFonts w:ascii="Arial" w:cs="Arial" w:eastAsia="Arial" w:hAnsi="Arial"/>
                <w:sz w:val="16"/>
                <w:szCs w:val="16"/>
                <w:color w:val="0000FF"/>
              </w:rPr>
            </w:pPr>
            <w:hyperlink w:anchor="page66">
              <w:r>
                <w:rPr>
                  <w:rFonts w:ascii="Arial" w:cs="Arial" w:eastAsia="Arial" w:hAnsi="Arial"/>
                  <w:sz w:val="16"/>
                  <w:szCs w:val="16"/>
                  <w:color w:val="0000FF"/>
                </w:rPr>
                <w:t>Note 4.</w:t>
              </w:r>
            </w:hyperlink>
          </w:p>
        </w:tc>
        <w:tc>
          <w:tcPr>
            <w:tcW w:w="6180" w:type="dxa"/>
            <w:vAlign w:val="bottom"/>
            <w:gridSpan w:val="23"/>
          </w:tcPr>
          <w:p>
            <w:pPr>
              <w:spacing w:after="0"/>
              <w:rPr>
                <w:rFonts w:ascii="Arial" w:cs="Arial" w:eastAsia="Arial" w:hAnsi="Arial"/>
                <w:sz w:val="16"/>
                <w:szCs w:val="16"/>
                <w:color w:val="0000FF"/>
              </w:rPr>
            </w:pPr>
            <w:hyperlink w:anchor="page66">
              <w:r>
                <w:rPr>
                  <w:rFonts w:ascii="Arial" w:cs="Arial" w:eastAsia="Arial" w:hAnsi="Arial"/>
                  <w:sz w:val="16"/>
                  <w:szCs w:val="16"/>
                  <w:color w:val="0000FF"/>
                </w:rPr>
                <w:t>Property and Equipment, Net</w:t>
              </w:r>
            </w:hyperlink>
          </w:p>
        </w:tc>
        <w:tc>
          <w:tcPr>
            <w:tcW w:w="1580" w:type="dxa"/>
            <w:vAlign w:val="bottom"/>
            <w:gridSpan w:val="3"/>
          </w:tcPr>
          <w:p>
            <w:pPr>
              <w:jc w:val="center"/>
              <w:ind w:left="1339"/>
              <w:spacing w:after="0"/>
              <w:rPr>
                <w:rFonts w:ascii="Arial" w:cs="Arial" w:eastAsia="Arial" w:hAnsi="Arial"/>
                <w:sz w:val="16"/>
                <w:szCs w:val="16"/>
                <w:color w:val="0000FF"/>
                <w:w w:val="89"/>
              </w:rPr>
            </w:pPr>
            <w:hyperlink w:anchor="page66">
              <w:r>
                <w:rPr>
                  <w:rFonts w:ascii="Arial" w:cs="Arial" w:eastAsia="Arial" w:hAnsi="Arial"/>
                  <w:sz w:val="16"/>
                  <w:szCs w:val="16"/>
                  <w:color w:val="0000FF"/>
                  <w:w w:val="89"/>
                </w:rPr>
                <w:t>66</w:t>
              </w:r>
            </w:hyperlink>
          </w:p>
        </w:tc>
        <w:tc>
          <w:tcPr>
            <w:tcW w:w="80" w:type="dxa"/>
            <w:vAlign w:val="bottom"/>
          </w:tcPr>
          <w:p>
            <w:pPr>
              <w:spacing w:after="0"/>
              <w:rPr>
                <w:sz w:val="20"/>
                <w:szCs w:val="20"/>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060" w:type="dxa"/>
            <w:vAlign w:val="bottom"/>
            <w:gridSpan w:val="7"/>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560" w:type="dxa"/>
            <w:vAlign w:val="bottom"/>
            <w:tcBorders>
              <w:bottom w:val="single" w:sz="8" w:color="0000FF"/>
            </w:tcBorders>
            <w:gridSpan w:val="2"/>
          </w:tcPr>
          <w:p>
            <w:pPr>
              <w:spacing w:after="0"/>
              <w:rPr>
                <w:rFonts w:ascii="Arial" w:cs="Arial" w:eastAsia="Arial" w:hAnsi="Arial"/>
                <w:sz w:val="16"/>
                <w:szCs w:val="16"/>
                <w:color w:val="0000FF"/>
              </w:rPr>
            </w:pPr>
            <w:hyperlink w:anchor="page66">
              <w:r>
                <w:rPr>
                  <w:rFonts w:ascii="Arial" w:cs="Arial" w:eastAsia="Arial" w:hAnsi="Arial"/>
                  <w:sz w:val="16"/>
                  <w:szCs w:val="16"/>
                  <w:color w:val="0000FF"/>
                </w:rPr>
                <w:t>Note 5.</w:t>
              </w:r>
            </w:hyperlink>
          </w:p>
        </w:tc>
        <w:tc>
          <w:tcPr>
            <w:tcW w:w="1260" w:type="dxa"/>
            <w:vAlign w:val="bottom"/>
          </w:tcPr>
          <w:p>
            <w:pPr>
              <w:spacing w:after="0"/>
              <w:rPr>
                <w:sz w:val="20"/>
                <w:szCs w:val="20"/>
                <w:color w:val="auto"/>
              </w:rPr>
            </w:pPr>
          </w:p>
        </w:tc>
        <w:tc>
          <w:tcPr>
            <w:tcW w:w="1660" w:type="dxa"/>
            <w:vAlign w:val="bottom"/>
            <w:tcBorders>
              <w:bottom w:val="single" w:sz="8" w:color="0000FF"/>
            </w:tcBorders>
            <w:gridSpan w:val="7"/>
          </w:tcPr>
          <w:p>
            <w:pPr>
              <w:spacing w:after="0"/>
              <w:rPr>
                <w:rFonts w:ascii="Arial" w:cs="Arial" w:eastAsia="Arial" w:hAnsi="Arial"/>
                <w:sz w:val="16"/>
                <w:szCs w:val="16"/>
                <w:color w:val="0000FF"/>
                <w:w w:val="94"/>
              </w:rPr>
            </w:pPr>
            <w:hyperlink w:anchor="page66">
              <w:r>
                <w:rPr>
                  <w:rFonts w:ascii="Arial" w:cs="Arial" w:eastAsia="Arial" w:hAnsi="Arial"/>
                  <w:sz w:val="16"/>
                  <w:szCs w:val="16"/>
                  <w:color w:val="0000FF"/>
                  <w:w w:val="94"/>
                </w:rPr>
                <w:t>Goodwill and Intangibles</w:t>
              </w:r>
            </w:hyperlink>
          </w:p>
        </w:tc>
        <w:tc>
          <w:tcPr>
            <w:tcW w:w="4520" w:type="dxa"/>
            <w:vAlign w:val="bottom"/>
            <w:gridSpan w:val="16"/>
          </w:tcPr>
          <w:p>
            <w:pPr>
              <w:spacing w:after="0"/>
              <w:rPr>
                <w:sz w:val="20"/>
                <w:szCs w:val="20"/>
                <w:color w:val="auto"/>
              </w:rPr>
            </w:pPr>
          </w:p>
        </w:tc>
        <w:tc>
          <w:tcPr>
            <w:tcW w:w="1580" w:type="dxa"/>
            <w:vAlign w:val="bottom"/>
            <w:gridSpan w:val="3"/>
          </w:tcPr>
          <w:p>
            <w:pPr>
              <w:jc w:val="center"/>
              <w:ind w:left="1339"/>
              <w:spacing w:after="0"/>
              <w:rPr>
                <w:rFonts w:ascii="Arial" w:cs="Arial" w:eastAsia="Arial" w:hAnsi="Arial"/>
                <w:sz w:val="16"/>
                <w:szCs w:val="16"/>
                <w:color w:val="0000FF"/>
                <w:w w:val="89"/>
              </w:rPr>
            </w:pPr>
            <w:hyperlink w:anchor="page66">
              <w:r>
                <w:rPr>
                  <w:rFonts w:ascii="Arial" w:cs="Arial" w:eastAsia="Arial" w:hAnsi="Arial"/>
                  <w:sz w:val="16"/>
                  <w:szCs w:val="16"/>
                  <w:color w:val="0000FF"/>
                  <w:w w:val="89"/>
                </w:rPr>
                <w:t>67</w:t>
              </w:r>
            </w:hyperlink>
          </w:p>
        </w:tc>
        <w:tc>
          <w:tcPr>
            <w:tcW w:w="80" w:type="dxa"/>
            <w:vAlign w:val="bottom"/>
          </w:tcPr>
          <w:p>
            <w:pPr>
              <w:spacing w:after="0"/>
              <w:rPr>
                <w:sz w:val="20"/>
                <w:szCs w:val="20"/>
                <w:color w:val="auto"/>
              </w:rPr>
            </w:pPr>
          </w:p>
        </w:tc>
      </w:tr>
      <w:tr>
        <w:trPr>
          <w:trHeight w:val="236"/>
        </w:trPr>
        <w:tc>
          <w:tcPr>
            <w:tcW w:w="1820" w:type="dxa"/>
            <w:vAlign w:val="bottom"/>
            <w:gridSpan w:val="3"/>
          </w:tcPr>
          <w:p>
            <w:pPr>
              <w:spacing w:after="0"/>
              <w:rPr>
                <w:rFonts w:ascii="Arial" w:cs="Arial" w:eastAsia="Arial" w:hAnsi="Arial"/>
                <w:sz w:val="16"/>
                <w:szCs w:val="16"/>
                <w:color w:val="0000FF"/>
              </w:rPr>
            </w:pPr>
            <w:hyperlink w:anchor="page68">
              <w:r>
                <w:rPr>
                  <w:rFonts w:ascii="Arial" w:cs="Arial" w:eastAsia="Arial" w:hAnsi="Arial"/>
                  <w:sz w:val="16"/>
                  <w:szCs w:val="16"/>
                  <w:color w:val="0000FF"/>
                </w:rPr>
                <w:t>Note 6.</w:t>
              </w:r>
            </w:hyperlink>
          </w:p>
        </w:tc>
        <w:tc>
          <w:tcPr>
            <w:tcW w:w="6180" w:type="dxa"/>
            <w:vAlign w:val="bottom"/>
            <w:gridSpan w:val="23"/>
          </w:tcPr>
          <w:p>
            <w:pPr>
              <w:spacing w:after="0"/>
              <w:rPr>
                <w:rFonts w:ascii="Arial" w:cs="Arial" w:eastAsia="Arial" w:hAnsi="Arial"/>
                <w:sz w:val="16"/>
                <w:szCs w:val="16"/>
                <w:color w:val="0000FF"/>
              </w:rPr>
            </w:pPr>
            <w:hyperlink w:anchor="page68">
              <w:r>
                <w:rPr>
                  <w:rFonts w:ascii="Arial" w:cs="Arial" w:eastAsia="Arial" w:hAnsi="Arial"/>
                  <w:sz w:val="16"/>
                  <w:szCs w:val="16"/>
                  <w:color w:val="0000FF"/>
                </w:rPr>
                <w:t>Accrued Expenses and Other Current Liabilities</w:t>
              </w:r>
            </w:hyperlink>
          </w:p>
        </w:tc>
        <w:tc>
          <w:tcPr>
            <w:tcW w:w="1580" w:type="dxa"/>
            <w:vAlign w:val="bottom"/>
            <w:gridSpan w:val="3"/>
          </w:tcPr>
          <w:p>
            <w:pPr>
              <w:jc w:val="center"/>
              <w:ind w:left="1339"/>
              <w:spacing w:after="0"/>
              <w:rPr>
                <w:rFonts w:ascii="Arial" w:cs="Arial" w:eastAsia="Arial" w:hAnsi="Arial"/>
                <w:sz w:val="16"/>
                <w:szCs w:val="16"/>
                <w:color w:val="0000FF"/>
                <w:w w:val="89"/>
              </w:rPr>
            </w:pPr>
            <w:hyperlink w:anchor="page68">
              <w:r>
                <w:rPr>
                  <w:rFonts w:ascii="Arial" w:cs="Arial" w:eastAsia="Arial" w:hAnsi="Arial"/>
                  <w:sz w:val="16"/>
                  <w:szCs w:val="16"/>
                  <w:color w:val="0000FF"/>
                  <w:w w:val="89"/>
                </w:rPr>
                <w:t>69</w:t>
              </w:r>
            </w:hyperlink>
          </w:p>
        </w:tc>
        <w:tc>
          <w:tcPr>
            <w:tcW w:w="80" w:type="dxa"/>
            <w:vAlign w:val="bottom"/>
          </w:tcPr>
          <w:p>
            <w:pPr>
              <w:spacing w:after="0"/>
              <w:rPr>
                <w:sz w:val="20"/>
                <w:szCs w:val="20"/>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3060" w:type="dxa"/>
            <w:vAlign w:val="bottom"/>
            <w:gridSpan w:val="7"/>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1820" w:type="dxa"/>
            <w:vAlign w:val="bottom"/>
            <w:gridSpan w:val="3"/>
          </w:tcPr>
          <w:p>
            <w:pPr>
              <w:spacing w:after="0"/>
              <w:rPr>
                <w:rFonts w:ascii="Arial" w:cs="Arial" w:eastAsia="Arial" w:hAnsi="Arial"/>
                <w:sz w:val="16"/>
                <w:szCs w:val="16"/>
                <w:color w:val="0000FF"/>
              </w:rPr>
            </w:pPr>
            <w:hyperlink w:anchor="page69">
              <w:r>
                <w:rPr>
                  <w:rFonts w:ascii="Arial" w:cs="Arial" w:eastAsia="Arial" w:hAnsi="Arial"/>
                  <w:sz w:val="16"/>
                  <w:szCs w:val="16"/>
                  <w:color w:val="0000FF"/>
                </w:rPr>
                <w:t>Note 7.</w:t>
              </w:r>
            </w:hyperlink>
          </w:p>
        </w:tc>
        <w:tc>
          <w:tcPr>
            <w:tcW w:w="6180" w:type="dxa"/>
            <w:vAlign w:val="bottom"/>
            <w:gridSpan w:val="23"/>
          </w:tcPr>
          <w:p>
            <w:pPr>
              <w:spacing w:after="0"/>
              <w:rPr>
                <w:rFonts w:ascii="Arial" w:cs="Arial" w:eastAsia="Arial" w:hAnsi="Arial"/>
                <w:sz w:val="16"/>
                <w:szCs w:val="16"/>
                <w:color w:val="0000FF"/>
              </w:rPr>
            </w:pPr>
            <w:hyperlink w:anchor="page69">
              <w:r>
                <w:rPr>
                  <w:rFonts w:ascii="Arial" w:cs="Arial" w:eastAsia="Arial" w:hAnsi="Arial"/>
                  <w:sz w:val="16"/>
                  <w:szCs w:val="16"/>
                  <w:color w:val="0000FF"/>
                </w:rPr>
                <w:t>Long-Term Debt and Line of Credit</w:t>
              </w:r>
            </w:hyperlink>
          </w:p>
        </w:tc>
        <w:tc>
          <w:tcPr>
            <w:tcW w:w="1580" w:type="dxa"/>
            <w:vAlign w:val="bottom"/>
            <w:gridSpan w:val="3"/>
          </w:tcPr>
          <w:p>
            <w:pPr>
              <w:jc w:val="center"/>
              <w:ind w:left="1339"/>
              <w:spacing w:after="0"/>
              <w:rPr>
                <w:rFonts w:ascii="Arial" w:cs="Arial" w:eastAsia="Arial" w:hAnsi="Arial"/>
                <w:sz w:val="16"/>
                <w:szCs w:val="16"/>
                <w:color w:val="0000FF"/>
                <w:w w:val="89"/>
              </w:rPr>
            </w:pPr>
            <w:hyperlink w:anchor="page69">
              <w:r>
                <w:rPr>
                  <w:rFonts w:ascii="Arial" w:cs="Arial" w:eastAsia="Arial" w:hAnsi="Arial"/>
                  <w:sz w:val="16"/>
                  <w:szCs w:val="16"/>
                  <w:color w:val="0000FF"/>
                  <w:w w:val="89"/>
                </w:rPr>
                <w:t>69</w:t>
              </w:r>
            </w:hyperlink>
          </w:p>
        </w:tc>
        <w:tc>
          <w:tcPr>
            <w:tcW w:w="80" w:type="dxa"/>
            <w:vAlign w:val="bottom"/>
          </w:tcPr>
          <w:p>
            <w:pPr>
              <w:spacing w:after="0"/>
              <w:rPr>
                <w:sz w:val="20"/>
                <w:szCs w:val="20"/>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40" w:type="dxa"/>
            <w:vAlign w:val="bottom"/>
            <w:gridSpan w:val="10"/>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1820" w:type="dxa"/>
            <w:vAlign w:val="bottom"/>
            <w:gridSpan w:val="3"/>
          </w:tcPr>
          <w:p>
            <w:pPr>
              <w:spacing w:after="0"/>
              <w:rPr>
                <w:rFonts w:ascii="Arial" w:cs="Arial" w:eastAsia="Arial" w:hAnsi="Arial"/>
                <w:sz w:val="16"/>
                <w:szCs w:val="16"/>
                <w:color w:val="0000FF"/>
              </w:rPr>
            </w:pPr>
            <w:hyperlink w:anchor="page70">
              <w:r>
                <w:rPr>
                  <w:rFonts w:ascii="Arial" w:cs="Arial" w:eastAsia="Arial" w:hAnsi="Arial"/>
                  <w:sz w:val="16"/>
                  <w:szCs w:val="16"/>
                  <w:color w:val="0000FF"/>
                </w:rPr>
                <w:t>Note 8.</w:t>
              </w:r>
            </w:hyperlink>
          </w:p>
        </w:tc>
        <w:tc>
          <w:tcPr>
            <w:tcW w:w="6180" w:type="dxa"/>
            <w:vAlign w:val="bottom"/>
            <w:gridSpan w:val="23"/>
          </w:tcPr>
          <w:p>
            <w:pPr>
              <w:spacing w:after="0"/>
              <w:rPr>
                <w:rFonts w:ascii="Arial" w:cs="Arial" w:eastAsia="Arial" w:hAnsi="Arial"/>
                <w:sz w:val="16"/>
                <w:szCs w:val="16"/>
                <w:color w:val="0000FF"/>
              </w:rPr>
            </w:pPr>
            <w:hyperlink w:anchor="page70">
              <w:r>
                <w:rPr>
                  <w:rFonts w:ascii="Arial" w:cs="Arial" w:eastAsia="Arial" w:hAnsi="Arial"/>
                  <w:sz w:val="16"/>
                  <w:szCs w:val="16"/>
                  <w:color w:val="0000FF"/>
                </w:rPr>
                <w:t>Fair Value of Financial Instruments</w:t>
              </w:r>
            </w:hyperlink>
          </w:p>
        </w:tc>
        <w:tc>
          <w:tcPr>
            <w:tcW w:w="1580" w:type="dxa"/>
            <w:vAlign w:val="bottom"/>
            <w:gridSpan w:val="3"/>
          </w:tcPr>
          <w:p>
            <w:pPr>
              <w:jc w:val="center"/>
              <w:ind w:left="1339"/>
              <w:spacing w:after="0"/>
              <w:rPr>
                <w:rFonts w:ascii="Arial" w:cs="Arial" w:eastAsia="Arial" w:hAnsi="Arial"/>
                <w:sz w:val="16"/>
                <w:szCs w:val="16"/>
                <w:color w:val="0000FF"/>
                <w:w w:val="89"/>
              </w:rPr>
            </w:pPr>
            <w:hyperlink w:anchor="page70">
              <w:r>
                <w:rPr>
                  <w:rFonts w:ascii="Arial" w:cs="Arial" w:eastAsia="Arial" w:hAnsi="Arial"/>
                  <w:sz w:val="16"/>
                  <w:szCs w:val="16"/>
                  <w:color w:val="0000FF"/>
                  <w:w w:val="89"/>
                </w:rPr>
                <w:t>70</w:t>
              </w:r>
            </w:hyperlink>
          </w:p>
        </w:tc>
        <w:tc>
          <w:tcPr>
            <w:tcW w:w="80" w:type="dxa"/>
            <w:vAlign w:val="bottom"/>
          </w:tcPr>
          <w:p>
            <w:pPr>
              <w:spacing w:after="0"/>
              <w:rPr>
                <w:sz w:val="20"/>
                <w:szCs w:val="20"/>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840" w:type="dxa"/>
            <w:vAlign w:val="bottom"/>
            <w:gridSpan w:val="10"/>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1820" w:type="dxa"/>
            <w:vAlign w:val="bottom"/>
            <w:gridSpan w:val="3"/>
          </w:tcPr>
          <w:p>
            <w:pPr>
              <w:spacing w:after="0"/>
              <w:rPr>
                <w:rFonts w:ascii="Arial" w:cs="Arial" w:eastAsia="Arial" w:hAnsi="Arial"/>
                <w:sz w:val="16"/>
                <w:szCs w:val="16"/>
                <w:color w:val="0000FF"/>
              </w:rPr>
            </w:pPr>
            <w:hyperlink w:anchor="page71">
              <w:r>
                <w:rPr>
                  <w:rFonts w:ascii="Arial" w:cs="Arial" w:eastAsia="Arial" w:hAnsi="Arial"/>
                  <w:sz w:val="16"/>
                  <w:szCs w:val="16"/>
                  <w:color w:val="0000FF"/>
                </w:rPr>
                <w:t>Note 9.</w:t>
              </w:r>
            </w:hyperlink>
          </w:p>
        </w:tc>
        <w:tc>
          <w:tcPr>
            <w:tcW w:w="6180" w:type="dxa"/>
            <w:vAlign w:val="bottom"/>
            <w:gridSpan w:val="23"/>
          </w:tcPr>
          <w:p>
            <w:pPr>
              <w:spacing w:after="0"/>
              <w:rPr>
                <w:sz w:val="20"/>
                <w:szCs w:val="20"/>
                <w:color w:val="auto"/>
              </w:rPr>
            </w:pPr>
            <w:r>
              <w:rPr>
                <w:rFonts w:ascii="Arial" w:cs="Arial" w:eastAsia="Arial" w:hAnsi="Arial"/>
                <w:sz w:val="16"/>
                <w:szCs w:val="16"/>
                <w:color w:val="0000FF"/>
              </w:rPr>
              <w:t>Income Taxes</w:t>
            </w:r>
          </w:p>
        </w:tc>
        <w:tc>
          <w:tcPr>
            <w:tcW w:w="1580" w:type="dxa"/>
            <w:vAlign w:val="bottom"/>
            <w:gridSpan w:val="3"/>
          </w:tcPr>
          <w:p>
            <w:pPr>
              <w:jc w:val="center"/>
              <w:ind w:left="1339"/>
              <w:spacing w:after="0"/>
              <w:rPr>
                <w:rFonts w:ascii="Arial" w:cs="Arial" w:eastAsia="Arial" w:hAnsi="Arial"/>
                <w:sz w:val="16"/>
                <w:szCs w:val="16"/>
                <w:color w:val="0000FF"/>
                <w:w w:val="89"/>
              </w:rPr>
            </w:pPr>
            <w:hyperlink w:anchor="page71">
              <w:r>
                <w:rPr>
                  <w:rFonts w:ascii="Arial" w:cs="Arial" w:eastAsia="Arial" w:hAnsi="Arial"/>
                  <w:sz w:val="16"/>
                  <w:szCs w:val="16"/>
                  <w:color w:val="0000FF"/>
                  <w:w w:val="89"/>
                </w:rPr>
                <w:t>71</w:t>
              </w:r>
            </w:hyperlink>
          </w:p>
        </w:tc>
        <w:tc>
          <w:tcPr>
            <w:tcW w:w="80" w:type="dxa"/>
            <w:vAlign w:val="bottom"/>
          </w:tcPr>
          <w:p>
            <w:pPr>
              <w:spacing w:after="0"/>
              <w:rPr>
                <w:sz w:val="20"/>
                <w:szCs w:val="20"/>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gridSpan w:val="10"/>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6"/>
        </w:trPr>
        <w:tc>
          <w:tcPr>
            <w:tcW w:w="1820" w:type="dxa"/>
            <w:vAlign w:val="bottom"/>
            <w:gridSpan w:val="3"/>
          </w:tcPr>
          <w:p>
            <w:pPr>
              <w:spacing w:after="0"/>
              <w:rPr>
                <w:rFonts w:ascii="Arial" w:cs="Arial" w:eastAsia="Arial" w:hAnsi="Arial"/>
                <w:sz w:val="16"/>
                <w:szCs w:val="16"/>
                <w:color w:val="0000FF"/>
              </w:rPr>
            </w:pPr>
            <w:hyperlink w:anchor="page74">
              <w:r>
                <w:rPr>
                  <w:rFonts w:ascii="Arial" w:cs="Arial" w:eastAsia="Arial" w:hAnsi="Arial"/>
                  <w:sz w:val="16"/>
                  <w:szCs w:val="16"/>
                  <w:color w:val="0000FF"/>
                </w:rPr>
                <w:t>Note 10.</w:t>
              </w:r>
            </w:hyperlink>
          </w:p>
        </w:tc>
        <w:tc>
          <w:tcPr>
            <w:tcW w:w="6180" w:type="dxa"/>
            <w:vAlign w:val="bottom"/>
            <w:gridSpan w:val="23"/>
          </w:tcPr>
          <w:p>
            <w:pPr>
              <w:spacing w:after="0"/>
              <w:rPr>
                <w:rFonts w:ascii="Arial" w:cs="Arial" w:eastAsia="Arial" w:hAnsi="Arial"/>
                <w:sz w:val="16"/>
                <w:szCs w:val="16"/>
                <w:color w:val="0000FF"/>
              </w:rPr>
            </w:pPr>
            <w:hyperlink w:anchor="page74">
              <w:r>
                <w:rPr>
                  <w:rFonts w:ascii="Arial" w:cs="Arial" w:eastAsia="Arial" w:hAnsi="Arial"/>
                  <w:sz w:val="16"/>
                  <w:szCs w:val="16"/>
                  <w:color w:val="0000FF"/>
                </w:rPr>
                <w:t>Leases</w:t>
              </w:r>
            </w:hyperlink>
          </w:p>
        </w:tc>
        <w:tc>
          <w:tcPr>
            <w:tcW w:w="1580" w:type="dxa"/>
            <w:vAlign w:val="bottom"/>
            <w:gridSpan w:val="3"/>
          </w:tcPr>
          <w:p>
            <w:pPr>
              <w:jc w:val="center"/>
              <w:ind w:left="1339"/>
              <w:spacing w:after="0"/>
              <w:rPr>
                <w:rFonts w:ascii="Arial" w:cs="Arial" w:eastAsia="Arial" w:hAnsi="Arial"/>
                <w:sz w:val="16"/>
                <w:szCs w:val="16"/>
                <w:color w:val="0000FF"/>
                <w:w w:val="89"/>
              </w:rPr>
            </w:pPr>
            <w:hyperlink w:anchor="page74">
              <w:r>
                <w:rPr>
                  <w:rFonts w:ascii="Arial" w:cs="Arial" w:eastAsia="Arial" w:hAnsi="Arial"/>
                  <w:sz w:val="16"/>
                  <w:szCs w:val="16"/>
                  <w:color w:val="0000FF"/>
                  <w:w w:val="89"/>
                </w:rPr>
                <w:t>74</w:t>
              </w:r>
            </w:hyperlink>
          </w:p>
        </w:tc>
        <w:tc>
          <w:tcPr>
            <w:tcW w:w="80" w:type="dxa"/>
            <w:vAlign w:val="bottom"/>
          </w:tcPr>
          <w:p>
            <w:pPr>
              <w:spacing w:after="0"/>
              <w:rPr>
                <w:sz w:val="20"/>
                <w:szCs w:val="20"/>
                <w:color w:val="auto"/>
              </w:rPr>
            </w:pP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gridSpan w:val="10"/>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560" w:type="dxa"/>
            <w:vAlign w:val="bottom"/>
            <w:gridSpan w:val="2"/>
          </w:tcPr>
          <w:p>
            <w:pPr>
              <w:spacing w:after="0"/>
              <w:rPr>
                <w:rFonts w:ascii="Arial" w:cs="Arial" w:eastAsia="Arial" w:hAnsi="Arial"/>
                <w:sz w:val="16"/>
                <w:szCs w:val="16"/>
                <w:color w:val="0000FF"/>
                <w:w w:val="89"/>
              </w:rPr>
            </w:pPr>
            <w:hyperlink w:anchor="page76">
              <w:r>
                <w:rPr>
                  <w:rFonts w:ascii="Arial" w:cs="Arial" w:eastAsia="Arial" w:hAnsi="Arial"/>
                  <w:sz w:val="16"/>
                  <w:szCs w:val="16"/>
                  <w:color w:val="0000FF"/>
                  <w:w w:val="89"/>
                </w:rPr>
                <w:t>Note 11.</w:t>
              </w:r>
            </w:hyperlink>
          </w:p>
        </w:tc>
        <w:tc>
          <w:tcPr>
            <w:tcW w:w="1260" w:type="dxa"/>
            <w:vAlign w:val="bottom"/>
          </w:tcPr>
          <w:p>
            <w:pPr>
              <w:spacing w:after="0"/>
              <w:rPr>
                <w:sz w:val="20"/>
                <w:szCs w:val="20"/>
                <w:color w:val="auto"/>
              </w:rPr>
            </w:pPr>
          </w:p>
        </w:tc>
        <w:tc>
          <w:tcPr>
            <w:tcW w:w="6180" w:type="dxa"/>
            <w:vAlign w:val="bottom"/>
            <w:gridSpan w:val="23"/>
          </w:tcPr>
          <w:p>
            <w:pPr>
              <w:spacing w:after="0"/>
              <w:rPr>
                <w:rFonts w:ascii="Arial" w:cs="Arial" w:eastAsia="Arial" w:hAnsi="Arial"/>
                <w:sz w:val="16"/>
                <w:szCs w:val="16"/>
                <w:color w:val="0000FF"/>
              </w:rPr>
            </w:pPr>
            <w:hyperlink w:anchor="page76">
              <w:r>
                <w:rPr>
                  <w:rFonts w:ascii="Arial" w:cs="Arial" w:eastAsia="Arial" w:hAnsi="Arial"/>
                  <w:sz w:val="16"/>
                  <w:szCs w:val="16"/>
                  <w:color w:val="0000FF"/>
                </w:rPr>
                <w:t>Commitments and Contingencies</w:t>
              </w:r>
            </w:hyperlink>
          </w:p>
        </w:tc>
        <w:tc>
          <w:tcPr>
            <w:tcW w:w="1580" w:type="dxa"/>
            <w:vAlign w:val="bottom"/>
            <w:gridSpan w:val="3"/>
          </w:tcPr>
          <w:p>
            <w:pPr>
              <w:jc w:val="center"/>
              <w:ind w:left="1339"/>
              <w:spacing w:after="0"/>
              <w:rPr>
                <w:rFonts w:ascii="Arial" w:cs="Arial" w:eastAsia="Arial" w:hAnsi="Arial"/>
                <w:sz w:val="16"/>
                <w:szCs w:val="16"/>
                <w:color w:val="0000FF"/>
                <w:w w:val="89"/>
              </w:rPr>
            </w:pPr>
            <w:hyperlink w:anchor="page76">
              <w:r>
                <w:rPr>
                  <w:rFonts w:ascii="Arial" w:cs="Arial" w:eastAsia="Arial" w:hAnsi="Arial"/>
                  <w:sz w:val="16"/>
                  <w:szCs w:val="16"/>
                  <w:color w:val="0000FF"/>
                  <w:w w:val="89"/>
                </w:rPr>
                <w:t>76</w:t>
              </w:r>
            </w:hyperlink>
          </w:p>
        </w:tc>
        <w:tc>
          <w:tcPr>
            <w:tcW w:w="80" w:type="dxa"/>
            <w:vAlign w:val="bottom"/>
          </w:tcPr>
          <w:p>
            <w:pPr>
              <w:spacing w:after="0"/>
              <w:rPr>
                <w:sz w:val="20"/>
                <w:szCs w:val="20"/>
                <w:color w:val="auto"/>
              </w:rPr>
            </w:pP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gridSpan w:val="10"/>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6"/>
        </w:trPr>
        <w:tc>
          <w:tcPr>
            <w:tcW w:w="1820" w:type="dxa"/>
            <w:vAlign w:val="bottom"/>
            <w:tcBorders>
              <w:bottom w:val="single" w:sz="8" w:color="0000FF"/>
            </w:tcBorders>
            <w:gridSpan w:val="3"/>
          </w:tcPr>
          <w:p>
            <w:pPr>
              <w:spacing w:after="0"/>
              <w:rPr>
                <w:rFonts w:ascii="Arial" w:cs="Arial" w:eastAsia="Arial" w:hAnsi="Arial"/>
                <w:sz w:val="16"/>
                <w:szCs w:val="16"/>
                <w:color w:val="0000FF"/>
              </w:rPr>
            </w:pPr>
            <w:hyperlink w:anchor="page76">
              <w:r>
                <w:rPr>
                  <w:rFonts w:ascii="Arial" w:cs="Arial" w:eastAsia="Arial" w:hAnsi="Arial"/>
                  <w:sz w:val="16"/>
                  <w:szCs w:val="16"/>
                  <w:color w:val="0000FF"/>
                </w:rPr>
                <w:t>Note 12.</w:t>
              </w:r>
            </w:hyperlink>
          </w:p>
        </w:tc>
        <w:tc>
          <w:tcPr>
            <w:tcW w:w="1380" w:type="dxa"/>
            <w:vAlign w:val="bottom"/>
            <w:tcBorders>
              <w:bottom w:val="single" w:sz="8" w:color="0000FF"/>
            </w:tcBorders>
            <w:gridSpan w:val="4"/>
          </w:tcPr>
          <w:p>
            <w:pPr>
              <w:spacing w:after="0"/>
              <w:rPr>
                <w:rFonts w:ascii="Arial" w:cs="Arial" w:eastAsia="Arial" w:hAnsi="Arial"/>
                <w:sz w:val="16"/>
                <w:szCs w:val="16"/>
                <w:color w:val="0000FF"/>
                <w:w w:val="93"/>
              </w:rPr>
            </w:pPr>
            <w:hyperlink w:anchor="page76">
              <w:r>
                <w:rPr>
                  <w:rFonts w:ascii="Arial" w:cs="Arial" w:eastAsia="Arial" w:hAnsi="Arial"/>
                  <w:sz w:val="16"/>
                  <w:szCs w:val="16"/>
                  <w:color w:val="0000FF"/>
                  <w:w w:val="93"/>
                </w:rPr>
                <w:t>Stockholder’s Equity</w:t>
              </w:r>
            </w:hyperlink>
          </w:p>
        </w:tc>
        <w:tc>
          <w:tcPr>
            <w:tcW w:w="4800" w:type="dxa"/>
            <w:vAlign w:val="bottom"/>
            <w:gridSpan w:val="19"/>
          </w:tcPr>
          <w:p>
            <w:pPr>
              <w:spacing w:after="0"/>
              <w:rPr>
                <w:sz w:val="20"/>
                <w:szCs w:val="20"/>
                <w:color w:val="auto"/>
              </w:rPr>
            </w:pPr>
          </w:p>
        </w:tc>
        <w:tc>
          <w:tcPr>
            <w:tcW w:w="1580" w:type="dxa"/>
            <w:vAlign w:val="bottom"/>
            <w:gridSpan w:val="3"/>
          </w:tcPr>
          <w:p>
            <w:pPr>
              <w:jc w:val="center"/>
              <w:ind w:left="1339"/>
              <w:spacing w:after="0"/>
              <w:rPr>
                <w:rFonts w:ascii="Arial" w:cs="Arial" w:eastAsia="Arial" w:hAnsi="Arial"/>
                <w:sz w:val="16"/>
                <w:szCs w:val="16"/>
                <w:color w:val="0000FF"/>
                <w:w w:val="89"/>
              </w:rPr>
            </w:pPr>
            <w:hyperlink w:anchor="page76">
              <w:r>
                <w:rPr>
                  <w:rFonts w:ascii="Arial" w:cs="Arial" w:eastAsia="Arial" w:hAnsi="Arial"/>
                  <w:sz w:val="16"/>
                  <w:szCs w:val="16"/>
                  <w:color w:val="0000FF"/>
                  <w:w w:val="89"/>
                </w:rPr>
                <w:t>76</w:t>
              </w:r>
            </w:hyperlink>
          </w:p>
        </w:tc>
        <w:tc>
          <w:tcPr>
            <w:tcW w:w="80" w:type="dxa"/>
            <w:vAlign w:val="bottom"/>
          </w:tcPr>
          <w:p>
            <w:pPr>
              <w:spacing w:after="0"/>
              <w:rPr>
                <w:sz w:val="20"/>
                <w:szCs w:val="20"/>
                <w:color w:val="auto"/>
              </w:rPr>
            </w:pPr>
          </w:p>
        </w:tc>
      </w:tr>
      <w:tr>
        <w:trPr>
          <w:trHeight w:val="237"/>
        </w:trPr>
        <w:tc>
          <w:tcPr>
            <w:tcW w:w="1820" w:type="dxa"/>
            <w:vAlign w:val="bottom"/>
            <w:gridSpan w:val="3"/>
          </w:tcPr>
          <w:p>
            <w:pPr>
              <w:spacing w:after="0"/>
              <w:rPr>
                <w:rFonts w:ascii="Arial" w:cs="Arial" w:eastAsia="Arial" w:hAnsi="Arial"/>
                <w:sz w:val="16"/>
                <w:szCs w:val="16"/>
                <w:color w:val="0000FF"/>
              </w:rPr>
            </w:pPr>
            <w:hyperlink w:anchor="page77">
              <w:r>
                <w:rPr>
                  <w:rFonts w:ascii="Arial" w:cs="Arial" w:eastAsia="Arial" w:hAnsi="Arial"/>
                  <w:sz w:val="16"/>
                  <w:szCs w:val="16"/>
                  <w:color w:val="0000FF"/>
                </w:rPr>
                <w:t>Note 13.</w:t>
              </w:r>
            </w:hyperlink>
          </w:p>
        </w:tc>
        <w:tc>
          <w:tcPr>
            <w:tcW w:w="6180" w:type="dxa"/>
            <w:vAlign w:val="bottom"/>
            <w:gridSpan w:val="23"/>
          </w:tcPr>
          <w:p>
            <w:pPr>
              <w:spacing w:after="0"/>
              <w:rPr>
                <w:rFonts w:ascii="Arial" w:cs="Arial" w:eastAsia="Arial" w:hAnsi="Arial"/>
                <w:sz w:val="16"/>
                <w:szCs w:val="16"/>
                <w:color w:val="0000FF"/>
              </w:rPr>
            </w:pPr>
            <w:hyperlink w:anchor="page77">
              <w:r>
                <w:rPr>
                  <w:rFonts w:ascii="Arial" w:cs="Arial" w:eastAsia="Arial" w:hAnsi="Arial"/>
                  <w:sz w:val="16"/>
                  <w:szCs w:val="16"/>
                  <w:color w:val="0000FF"/>
                </w:rPr>
                <w:t>Earnings Per Share</w:t>
              </w:r>
            </w:hyperlink>
          </w:p>
        </w:tc>
        <w:tc>
          <w:tcPr>
            <w:tcW w:w="1580" w:type="dxa"/>
            <w:vAlign w:val="bottom"/>
            <w:gridSpan w:val="3"/>
          </w:tcPr>
          <w:p>
            <w:pPr>
              <w:jc w:val="center"/>
              <w:ind w:left="1339"/>
              <w:spacing w:after="0"/>
              <w:rPr>
                <w:rFonts w:ascii="Arial" w:cs="Arial" w:eastAsia="Arial" w:hAnsi="Arial"/>
                <w:sz w:val="16"/>
                <w:szCs w:val="16"/>
                <w:color w:val="0000FF"/>
                <w:w w:val="89"/>
              </w:rPr>
            </w:pPr>
            <w:hyperlink w:anchor="page77">
              <w:r>
                <w:rPr>
                  <w:rFonts w:ascii="Arial" w:cs="Arial" w:eastAsia="Arial" w:hAnsi="Arial"/>
                  <w:sz w:val="16"/>
                  <w:szCs w:val="16"/>
                  <w:color w:val="0000FF"/>
                  <w:w w:val="89"/>
                </w:rPr>
                <w:t>77</w:t>
              </w:r>
            </w:hyperlink>
          </w:p>
        </w:tc>
        <w:tc>
          <w:tcPr>
            <w:tcW w:w="80" w:type="dxa"/>
            <w:vAlign w:val="bottom"/>
          </w:tcPr>
          <w:p>
            <w:pPr>
              <w:spacing w:after="0"/>
              <w:rPr>
                <w:sz w:val="20"/>
                <w:szCs w:val="20"/>
                <w:color w:val="auto"/>
              </w:rPr>
            </w:pP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gridSpan w:val="10"/>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1820" w:type="dxa"/>
            <w:vAlign w:val="bottom"/>
            <w:gridSpan w:val="3"/>
          </w:tcPr>
          <w:p>
            <w:pPr>
              <w:spacing w:after="0"/>
              <w:rPr>
                <w:rFonts w:ascii="Arial" w:cs="Arial" w:eastAsia="Arial" w:hAnsi="Arial"/>
                <w:sz w:val="16"/>
                <w:szCs w:val="16"/>
                <w:color w:val="0000FF"/>
              </w:rPr>
            </w:pPr>
            <w:hyperlink w:anchor="page78">
              <w:r>
                <w:rPr>
                  <w:rFonts w:ascii="Arial" w:cs="Arial" w:eastAsia="Arial" w:hAnsi="Arial"/>
                  <w:sz w:val="16"/>
                  <w:szCs w:val="16"/>
                  <w:color w:val="0000FF"/>
                </w:rPr>
                <w:t>Note 14.</w:t>
              </w:r>
            </w:hyperlink>
          </w:p>
        </w:tc>
        <w:tc>
          <w:tcPr>
            <w:tcW w:w="6180" w:type="dxa"/>
            <w:vAlign w:val="bottom"/>
            <w:gridSpan w:val="23"/>
          </w:tcPr>
          <w:p>
            <w:pPr>
              <w:spacing w:after="0"/>
              <w:rPr>
                <w:rFonts w:ascii="Arial" w:cs="Arial" w:eastAsia="Arial" w:hAnsi="Arial"/>
                <w:sz w:val="16"/>
                <w:szCs w:val="16"/>
                <w:color w:val="0000FF"/>
              </w:rPr>
            </w:pPr>
            <w:hyperlink w:anchor="page78">
              <w:r>
                <w:rPr>
                  <w:rFonts w:ascii="Arial" w:cs="Arial" w:eastAsia="Arial" w:hAnsi="Arial"/>
                  <w:sz w:val="16"/>
                  <w:szCs w:val="16"/>
                  <w:color w:val="0000FF"/>
                </w:rPr>
                <w:t>Omnibus Incentive Plan</w:t>
              </w:r>
            </w:hyperlink>
          </w:p>
        </w:tc>
        <w:tc>
          <w:tcPr>
            <w:tcW w:w="1580" w:type="dxa"/>
            <w:vAlign w:val="bottom"/>
            <w:gridSpan w:val="3"/>
          </w:tcPr>
          <w:p>
            <w:pPr>
              <w:jc w:val="center"/>
              <w:ind w:left="1339"/>
              <w:spacing w:after="0"/>
              <w:rPr>
                <w:rFonts w:ascii="Arial" w:cs="Arial" w:eastAsia="Arial" w:hAnsi="Arial"/>
                <w:sz w:val="16"/>
                <w:szCs w:val="16"/>
                <w:color w:val="0000FF"/>
                <w:w w:val="89"/>
              </w:rPr>
            </w:pPr>
            <w:hyperlink w:anchor="page78">
              <w:r>
                <w:rPr>
                  <w:rFonts w:ascii="Arial" w:cs="Arial" w:eastAsia="Arial" w:hAnsi="Arial"/>
                  <w:sz w:val="16"/>
                  <w:szCs w:val="16"/>
                  <w:color w:val="0000FF"/>
                  <w:w w:val="89"/>
                </w:rPr>
                <w:t>78</w:t>
              </w:r>
            </w:hyperlink>
          </w:p>
        </w:tc>
        <w:tc>
          <w:tcPr>
            <w:tcW w:w="80" w:type="dxa"/>
            <w:vAlign w:val="bottom"/>
          </w:tcPr>
          <w:p>
            <w:pPr>
              <w:spacing w:after="0"/>
              <w:rPr>
                <w:sz w:val="20"/>
                <w:szCs w:val="20"/>
                <w:color w:val="auto"/>
              </w:rPr>
            </w:pP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80" w:type="dxa"/>
            <w:vAlign w:val="bottom"/>
            <w:gridSpan w:val="6"/>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gridSpan w:val="10"/>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6"/>
        </w:trPr>
        <w:tc>
          <w:tcPr>
            <w:tcW w:w="1820" w:type="dxa"/>
            <w:vAlign w:val="bottom"/>
            <w:gridSpan w:val="3"/>
          </w:tcPr>
          <w:p>
            <w:pPr>
              <w:spacing w:after="0"/>
              <w:rPr>
                <w:rFonts w:ascii="Arial" w:cs="Arial" w:eastAsia="Arial" w:hAnsi="Arial"/>
                <w:sz w:val="16"/>
                <w:szCs w:val="16"/>
                <w:color w:val="0000FF"/>
              </w:rPr>
            </w:pPr>
            <w:hyperlink w:anchor="page81">
              <w:r>
                <w:rPr>
                  <w:rFonts w:ascii="Arial" w:cs="Arial" w:eastAsia="Arial" w:hAnsi="Arial"/>
                  <w:sz w:val="16"/>
                  <w:szCs w:val="16"/>
                  <w:color w:val="0000FF"/>
                </w:rPr>
                <w:t>Note 15.</w:t>
              </w:r>
            </w:hyperlink>
          </w:p>
        </w:tc>
        <w:tc>
          <w:tcPr>
            <w:tcW w:w="6180" w:type="dxa"/>
            <w:vAlign w:val="bottom"/>
            <w:gridSpan w:val="23"/>
          </w:tcPr>
          <w:p>
            <w:pPr>
              <w:spacing w:after="0"/>
              <w:rPr>
                <w:rFonts w:ascii="Arial" w:cs="Arial" w:eastAsia="Arial" w:hAnsi="Arial"/>
                <w:sz w:val="16"/>
                <w:szCs w:val="16"/>
                <w:color w:val="0000FF"/>
              </w:rPr>
            </w:pPr>
            <w:hyperlink w:anchor="page81">
              <w:r>
                <w:rPr>
                  <w:rFonts w:ascii="Arial" w:cs="Arial" w:eastAsia="Arial" w:hAnsi="Arial"/>
                  <w:sz w:val="16"/>
                  <w:szCs w:val="16"/>
                  <w:color w:val="0000FF"/>
                </w:rPr>
                <w:t>Related Party Transactions</w:t>
              </w:r>
            </w:hyperlink>
          </w:p>
        </w:tc>
        <w:tc>
          <w:tcPr>
            <w:tcW w:w="1580" w:type="dxa"/>
            <w:vAlign w:val="bottom"/>
            <w:gridSpan w:val="3"/>
          </w:tcPr>
          <w:p>
            <w:pPr>
              <w:jc w:val="center"/>
              <w:ind w:left="1339"/>
              <w:spacing w:after="0"/>
              <w:rPr>
                <w:rFonts w:ascii="Arial" w:cs="Arial" w:eastAsia="Arial" w:hAnsi="Arial"/>
                <w:sz w:val="16"/>
                <w:szCs w:val="16"/>
                <w:color w:val="0000FF"/>
                <w:w w:val="89"/>
              </w:rPr>
            </w:pPr>
            <w:hyperlink w:anchor="page81">
              <w:r>
                <w:rPr>
                  <w:rFonts w:ascii="Arial" w:cs="Arial" w:eastAsia="Arial" w:hAnsi="Arial"/>
                  <w:sz w:val="16"/>
                  <w:szCs w:val="16"/>
                  <w:color w:val="0000FF"/>
                  <w:w w:val="89"/>
                </w:rPr>
                <w:t>81</w:t>
              </w:r>
            </w:hyperlink>
          </w:p>
        </w:tc>
        <w:tc>
          <w:tcPr>
            <w:tcW w:w="80" w:type="dxa"/>
            <w:vAlign w:val="bottom"/>
          </w:tcPr>
          <w:p>
            <w:pPr>
              <w:spacing w:after="0"/>
              <w:rPr>
                <w:sz w:val="20"/>
                <w:szCs w:val="20"/>
                <w:color w:val="auto"/>
              </w:rPr>
            </w:pP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740" w:type="dxa"/>
            <w:vAlign w:val="bottom"/>
            <w:gridSpan w:val="8"/>
            <w:shd w:val="clear" w:color="auto" w:fill="0000FF"/>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gridSpan w:val="10"/>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1820" w:type="dxa"/>
            <w:vAlign w:val="bottom"/>
            <w:gridSpan w:val="3"/>
          </w:tcPr>
          <w:p>
            <w:pPr>
              <w:spacing w:after="0"/>
              <w:rPr>
                <w:rFonts w:ascii="Arial" w:cs="Arial" w:eastAsia="Arial" w:hAnsi="Arial"/>
                <w:sz w:val="16"/>
                <w:szCs w:val="16"/>
                <w:color w:val="0000FF"/>
              </w:rPr>
            </w:pPr>
            <w:hyperlink w:anchor="page81">
              <w:r>
                <w:rPr>
                  <w:rFonts w:ascii="Arial" w:cs="Arial" w:eastAsia="Arial" w:hAnsi="Arial"/>
                  <w:sz w:val="16"/>
                  <w:szCs w:val="16"/>
                  <w:color w:val="0000FF"/>
                </w:rPr>
                <w:t>Note 16.</w:t>
              </w:r>
            </w:hyperlink>
          </w:p>
        </w:tc>
        <w:tc>
          <w:tcPr>
            <w:tcW w:w="6180" w:type="dxa"/>
            <w:vAlign w:val="bottom"/>
            <w:gridSpan w:val="23"/>
          </w:tcPr>
          <w:p>
            <w:pPr>
              <w:spacing w:after="0"/>
              <w:rPr>
                <w:sz w:val="20"/>
                <w:szCs w:val="20"/>
                <w:color w:val="auto"/>
              </w:rPr>
            </w:pPr>
            <w:r>
              <w:rPr>
                <w:rFonts w:ascii="Arial" w:cs="Arial" w:eastAsia="Arial" w:hAnsi="Arial"/>
                <w:sz w:val="16"/>
                <w:szCs w:val="16"/>
                <w:color w:val="0000FF"/>
              </w:rPr>
              <w:t>Segment and Customer Information</w:t>
            </w:r>
          </w:p>
        </w:tc>
        <w:tc>
          <w:tcPr>
            <w:tcW w:w="1580" w:type="dxa"/>
            <w:vAlign w:val="bottom"/>
            <w:gridSpan w:val="3"/>
          </w:tcPr>
          <w:p>
            <w:pPr>
              <w:jc w:val="center"/>
              <w:ind w:left="1339"/>
              <w:spacing w:after="0"/>
              <w:rPr>
                <w:rFonts w:ascii="Arial" w:cs="Arial" w:eastAsia="Arial" w:hAnsi="Arial"/>
                <w:sz w:val="16"/>
                <w:szCs w:val="16"/>
                <w:color w:val="0000FF"/>
                <w:w w:val="89"/>
              </w:rPr>
            </w:pPr>
            <w:hyperlink w:anchor="page81">
              <w:r>
                <w:rPr>
                  <w:rFonts w:ascii="Arial" w:cs="Arial" w:eastAsia="Arial" w:hAnsi="Arial"/>
                  <w:sz w:val="16"/>
                  <w:szCs w:val="16"/>
                  <w:color w:val="0000FF"/>
                  <w:w w:val="89"/>
                </w:rPr>
                <w:t>81</w:t>
              </w:r>
            </w:hyperlink>
          </w:p>
        </w:tc>
        <w:tc>
          <w:tcPr>
            <w:tcW w:w="80" w:type="dxa"/>
            <w:vAlign w:val="bottom"/>
          </w:tcPr>
          <w:p>
            <w:pPr>
              <w:spacing w:after="0"/>
              <w:rPr>
                <w:sz w:val="20"/>
                <w:szCs w:val="20"/>
                <w:color w:val="auto"/>
              </w:rPr>
            </w:pP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60" w:type="dxa"/>
            <w:vAlign w:val="bottom"/>
            <w:gridSpan w:val="1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40" w:type="dxa"/>
            <w:vAlign w:val="bottom"/>
            <w:gridSpan w:val="10"/>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6"/>
        </w:trPr>
        <w:tc>
          <w:tcPr>
            <w:tcW w:w="1820" w:type="dxa"/>
            <w:vAlign w:val="bottom"/>
            <w:gridSpan w:val="3"/>
          </w:tcPr>
          <w:p>
            <w:pPr>
              <w:spacing w:after="0"/>
              <w:rPr>
                <w:rFonts w:ascii="Arial" w:cs="Arial" w:eastAsia="Arial" w:hAnsi="Arial"/>
                <w:sz w:val="16"/>
                <w:szCs w:val="16"/>
                <w:color w:val="0000FF"/>
              </w:rPr>
            </w:pPr>
            <w:hyperlink w:anchor="page82">
              <w:r>
                <w:rPr>
                  <w:rFonts w:ascii="Arial" w:cs="Arial" w:eastAsia="Arial" w:hAnsi="Arial"/>
                  <w:sz w:val="16"/>
                  <w:szCs w:val="16"/>
                  <w:color w:val="0000FF"/>
                </w:rPr>
                <w:t>Note 17.</w:t>
              </w:r>
            </w:hyperlink>
          </w:p>
        </w:tc>
        <w:tc>
          <w:tcPr>
            <w:tcW w:w="6180" w:type="dxa"/>
            <w:vAlign w:val="bottom"/>
            <w:gridSpan w:val="23"/>
          </w:tcPr>
          <w:p>
            <w:pPr>
              <w:spacing w:after="0"/>
              <w:rPr>
                <w:rFonts w:ascii="Arial" w:cs="Arial" w:eastAsia="Arial" w:hAnsi="Arial"/>
                <w:sz w:val="16"/>
                <w:szCs w:val="16"/>
                <w:color w:val="0000FF"/>
              </w:rPr>
            </w:pPr>
            <w:hyperlink w:anchor="page82">
              <w:r>
                <w:rPr>
                  <w:rFonts w:ascii="Arial" w:cs="Arial" w:eastAsia="Arial" w:hAnsi="Arial"/>
                  <w:sz w:val="16"/>
                  <w:szCs w:val="16"/>
                  <w:color w:val="0000FF"/>
                </w:rPr>
                <w:t>Restructuring and Related Charges</w:t>
              </w:r>
            </w:hyperlink>
          </w:p>
        </w:tc>
        <w:tc>
          <w:tcPr>
            <w:tcW w:w="1580" w:type="dxa"/>
            <w:vAlign w:val="bottom"/>
            <w:gridSpan w:val="3"/>
          </w:tcPr>
          <w:p>
            <w:pPr>
              <w:jc w:val="center"/>
              <w:ind w:left="1339"/>
              <w:spacing w:after="0"/>
              <w:rPr>
                <w:rFonts w:ascii="Arial" w:cs="Arial" w:eastAsia="Arial" w:hAnsi="Arial"/>
                <w:sz w:val="16"/>
                <w:szCs w:val="16"/>
                <w:color w:val="0000FF"/>
                <w:w w:val="89"/>
              </w:rPr>
            </w:pPr>
            <w:hyperlink w:anchor="page82">
              <w:r>
                <w:rPr>
                  <w:rFonts w:ascii="Arial" w:cs="Arial" w:eastAsia="Arial" w:hAnsi="Arial"/>
                  <w:sz w:val="16"/>
                  <w:szCs w:val="16"/>
                  <w:color w:val="0000FF"/>
                  <w:w w:val="89"/>
                </w:rPr>
                <w:t>82</w:t>
              </w:r>
            </w:hyperlink>
          </w:p>
        </w:tc>
        <w:tc>
          <w:tcPr>
            <w:tcW w:w="80" w:type="dxa"/>
            <w:vAlign w:val="bottom"/>
          </w:tcPr>
          <w:p>
            <w:pPr>
              <w:spacing w:after="0"/>
              <w:rPr>
                <w:sz w:val="20"/>
                <w:szCs w:val="20"/>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320" w:top="688" w:right="129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The Simply Good Foods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audited the accompanying consolidated balance sheets of The Simply Good Foods Company and subsidiaries (the "Company") as of August 28, 2021 and August 29, 2020, the related consolidated statements of operations and comprehensive income, stockholders’ equity, and cash flows, for the fifty-two week periods ended August 28, 2021 and August 29, 2020, and the fifty-three week period ended August 31, 2019, and the related notes (collectively referred to as the "financial statements"). In our opinion, the financial statements present fairly, in all material respects, the financial position of the Company as of August 28, 2021 and August 29, 2020, and the results of its operations and its cash flows for each of the three years in the period ended August 28, 2021, in conformity with accounting principles generally accepted in the United States of America.</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Company's internal control over financial reporting as of August 28, 2021, based on criteria established in Internal Control — Integrated Framework (2013) issued by the Committee of Sponsoring Organizations of the Treadway Commission and our report dated October 26, 2021, expressed an unqualified opinion on the Company's internal control over financial reporting.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Trade Promotions — Refer to Note 2 to the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Critical Audit Matter Description</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offers trade promotions through various programs to customers and consumers. Trade promotions include discounts, rebates, slotting, and other marketing activities. Trade promotions are recorded as a reduction to net sales with a corresponding reduction to accounts receivable at the time of revenue recognition for the underlying sale. The recognition of trade promotions requires the Company to make estimates regarding the volume of incentives that will be redeemed and their total costs. These estimates are made using various information including historical data on performance of similar trade promotional activities, current market data, and the Company's best estimates of current activity. As of August 28, 2021, the allowance for trade promotions balance, which is recorded as a reduction to accounts receivable, was approximately $22.3 million.</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Given the subjectivity of estimating the expected promotional claims and the volume of trade promotions, performing audit procedures to evaluate whether the allowance for trade promotion balance is appropriately recorded as of August 28, 2021, required a high degree of auditor judgment and an increased extent of effort.</w:t>
      </w:r>
    </w:p>
    <w:p>
      <w:pPr>
        <w:sectPr>
          <w:pgSz w:w="11900" w:h="16838" w:orient="portrait"/>
          <w:cols w:equalWidth="0" w:num="1">
            <w:col w:w="11240"/>
          </w:cols>
          <w:pgMar w:left="320" w:top="688"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8"/>
          <w:szCs w:val="18"/>
          <w:color w:val="auto"/>
        </w:rPr>
        <w:t>How the Critical Audit Matter Was Addressed in the Audit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auditing procedures related to the allowance for trade promotion balance included the following, among others:</w:t>
      </w:r>
    </w:p>
    <w:p>
      <w:pPr>
        <w:spacing w:after="0" w:line="252"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 a selection of allowances for trade promotion balances recorded as of August 28, 2021, we:</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Confirmed contract terms directly with the customer.</w:t>
      </w:r>
    </w:p>
    <w:p>
      <w:pPr>
        <w:spacing w:after="0" w:line="9" w:lineRule="exact"/>
        <w:rPr>
          <w:rFonts w:ascii="Arial" w:cs="Arial" w:eastAsia="Arial" w:hAnsi="Arial"/>
          <w:sz w:val="18"/>
          <w:szCs w:val="18"/>
          <w:color w:val="auto"/>
        </w:rPr>
      </w:pPr>
    </w:p>
    <w:p>
      <w:pPr>
        <w:ind w:left="1300" w:hanging="320"/>
        <w:spacing w:after="0" w:line="250" w:lineRule="auto"/>
        <w:tabs>
          <w:tab w:leader="none" w:pos="1296" w:val="left"/>
        </w:tabs>
        <w:numPr>
          <w:ilvl w:val="1"/>
          <w:numId w:val="19"/>
        </w:numPr>
        <w:rPr>
          <w:rFonts w:ascii="Arial" w:cs="Arial" w:eastAsia="Arial" w:hAnsi="Arial"/>
          <w:sz w:val="18"/>
          <w:szCs w:val="18"/>
          <w:color w:val="auto"/>
        </w:rPr>
      </w:pPr>
      <w:r>
        <w:rPr>
          <w:rFonts w:ascii="Arial" w:cs="Arial" w:eastAsia="Arial" w:hAnsi="Arial"/>
          <w:sz w:val="18"/>
          <w:szCs w:val="18"/>
          <w:color w:val="auto"/>
        </w:rPr>
        <w:t>Agreed contract terms from the accounting records to the promotion agreement with the customer and verified the promotion period was prior to August 29, 2021.</w:t>
      </w:r>
    </w:p>
    <w:p>
      <w:pPr>
        <w:ind w:left="1300" w:hanging="320"/>
        <w:spacing w:after="0" w:line="249" w:lineRule="auto"/>
        <w:tabs>
          <w:tab w:leader="none" w:pos="1276" w:val="left"/>
        </w:tabs>
        <w:numPr>
          <w:ilvl w:val="1"/>
          <w:numId w:val="19"/>
        </w:numPr>
        <w:rPr>
          <w:rFonts w:ascii="Arial" w:cs="Arial" w:eastAsia="Arial" w:hAnsi="Arial"/>
          <w:sz w:val="18"/>
          <w:szCs w:val="18"/>
          <w:color w:val="auto"/>
        </w:rPr>
      </w:pPr>
      <w:r>
        <w:rPr>
          <w:rFonts w:ascii="Arial" w:cs="Arial" w:eastAsia="Arial" w:hAnsi="Arial"/>
          <w:sz w:val="16"/>
          <w:szCs w:val="16"/>
          <w:color w:val="auto"/>
        </w:rPr>
        <w:t>For a selection of those allowances for trade promotion balances based on volume estimates, we evaluated the appropriateness of those estimates using historical data on performance of similar trade promotional activities, third-party data, and subsequent customer activity.</w:t>
      </w:r>
    </w:p>
    <w:p>
      <w:pPr>
        <w:spacing w:after="0" w:line="1" w:lineRule="exact"/>
        <w:rPr>
          <w:rFonts w:ascii="Arial" w:cs="Arial" w:eastAsia="Arial" w:hAnsi="Arial"/>
          <w:sz w:val="18"/>
          <w:szCs w:val="18"/>
          <w:color w:val="auto"/>
        </w:rPr>
      </w:pPr>
    </w:p>
    <w:p>
      <w:pPr>
        <w:ind w:left="660" w:right="20" w:hanging="328"/>
        <w:spacing w:after="0" w:line="249"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evaluated management’s ability to estimate promotional claims incurred, but not yet received for potential management bias by comparing historical promotional claims received to management’s estimates of the claims to be received.</w:t>
      </w:r>
    </w:p>
    <w:p>
      <w:pPr>
        <w:ind w:left="660" w:right="20" w:hanging="328"/>
        <w:spacing w:after="0" w:line="26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 a selection of customer promotional claims presented or resolved after August 28, 2021, we compared that amount to the August 28, 2021 allowance for promotion balance and traced presented or resolved deduction to a properly recorded sale.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26, 2021</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The Simply Good Foods Company and Subsidiaries</w:t>
      </w:r>
    </w:p>
    <w:p>
      <w:pPr>
        <w:spacing w:after="0" w:line="27"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599"/>
        <w:spacing w:after="0"/>
        <w:rPr>
          <w:sz w:val="20"/>
          <w:szCs w:val="20"/>
          <w:color w:val="auto"/>
        </w:rPr>
      </w:pPr>
      <w:r>
        <w:rPr>
          <w:rFonts w:ascii="Arial" w:cs="Arial" w:eastAsia="Arial" w:hAnsi="Arial"/>
          <w:sz w:val="18"/>
          <w:szCs w:val="18"/>
          <w:i w:val="1"/>
          <w:iCs w:val="1"/>
          <w:color w:val="auto"/>
        </w:rPr>
        <w:t>(In thousands, except share data)</w:t>
      </w:r>
    </w:p>
    <w:p>
      <w:pPr>
        <w:spacing w:after="0" w:line="80" w:lineRule="exact"/>
        <w:rPr>
          <w:sz w:val="20"/>
          <w:szCs w:val="20"/>
          <w:color w:val="auto"/>
        </w:rPr>
      </w:pPr>
    </w:p>
    <w:tbl>
      <w:tblPr>
        <w:tblLayout w:type="fixed"/>
        <w:tblInd w:w="600" w:type="dxa"/>
        <w:tblCellMar>
          <w:top w:w="0" w:type="dxa"/>
          <w:left w:w="0" w:type="dxa"/>
          <w:bottom w:w="0" w:type="dxa"/>
          <w:right w:w="0" w:type="dxa"/>
        </w:tblCellMar>
      </w:tblPr>
      <w:tr>
        <w:trPr>
          <w:trHeight w:val="209"/>
        </w:trPr>
        <w:tc>
          <w:tcPr>
            <w:tcW w:w="6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Arial" w:cs="Arial" w:eastAsia="Arial" w:hAnsi="Arial"/>
                <w:sz w:val="16"/>
                <w:szCs w:val="16"/>
                <w:color w:val="auto"/>
              </w:rPr>
              <w:t>August 28, 2021</w:t>
            </w:r>
          </w:p>
        </w:tc>
        <w:tc>
          <w:tcPr>
            <w:tcW w:w="180" w:type="dxa"/>
            <w:vAlign w:val="bottom"/>
          </w:tcPr>
          <w:p>
            <w:pPr>
              <w:spacing w:after="0"/>
              <w:rPr>
                <w:sz w:val="18"/>
                <w:szCs w:val="18"/>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w w:val="96"/>
              </w:rPr>
              <w:t>August 29, 2020</w:t>
            </w:r>
          </w:p>
        </w:tc>
        <w:tc>
          <w:tcPr>
            <w:tcW w:w="0" w:type="dxa"/>
            <w:vAlign w:val="bottom"/>
          </w:tcPr>
          <w:p>
            <w:pPr>
              <w:spacing w:after="0"/>
              <w:rPr>
                <w:sz w:val="1"/>
                <w:szCs w:val="1"/>
                <w:color w:val="auto"/>
              </w:rPr>
            </w:pPr>
          </w:p>
        </w:tc>
      </w:tr>
      <w:tr>
        <w:trPr>
          <w:trHeight w:val="239"/>
        </w:trPr>
        <w:tc>
          <w:tcPr>
            <w:tcW w:w="6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60" w:type="dxa"/>
            <w:vAlign w:val="bottom"/>
            <w:tcBorders>
              <w:top w:val="single" w:sz="8" w:color="auto"/>
            </w:tcBorders>
            <w:shd w:val="clear" w:color="auto" w:fill="CCEEFF"/>
          </w:tcPr>
          <w:p>
            <w:pPr>
              <w:spacing w:after="0"/>
              <w:rPr>
                <w:sz w:val="20"/>
                <w:szCs w:val="20"/>
                <w:color w:val="auto"/>
              </w:rPr>
            </w:pPr>
          </w:p>
        </w:tc>
        <w:tc>
          <w:tcPr>
            <w:tcW w:w="13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36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8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75,345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95,847</w:t>
            </w: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Arial" w:cs="Arial" w:eastAsia="Arial" w:hAnsi="Arial"/>
                <w:sz w:val="16"/>
                <w:szCs w:val="16"/>
                <w:color w:val="auto"/>
              </w:rPr>
              <w:t>Accounts receivable, net</w:t>
            </w: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111,456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89,740</w:t>
            </w:r>
          </w:p>
        </w:tc>
        <w:tc>
          <w:tcPr>
            <w:tcW w:w="0" w:type="dxa"/>
            <w:vAlign w:val="bottom"/>
          </w:tcPr>
          <w:p>
            <w:pPr>
              <w:spacing w:after="0"/>
              <w:rPr>
                <w:sz w:val="1"/>
                <w:szCs w:val="1"/>
                <w:color w:val="auto"/>
              </w:rPr>
            </w:pPr>
          </w:p>
        </w:tc>
      </w:tr>
      <w:tr>
        <w:trPr>
          <w:trHeight w:val="260"/>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Inventories</w:t>
            </w: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97,269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59,085</w:t>
            </w: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Arial" w:cs="Arial" w:eastAsia="Arial" w:hAnsi="Arial"/>
                <w:sz w:val="16"/>
                <w:szCs w:val="16"/>
                <w:color w:val="auto"/>
              </w:rPr>
              <w:t>Prepaid expenses</w:t>
            </w: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4,902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3,644</w:t>
            </w:r>
          </w:p>
        </w:tc>
        <w:tc>
          <w:tcPr>
            <w:tcW w:w="0" w:type="dxa"/>
            <w:vAlign w:val="bottom"/>
          </w:tcPr>
          <w:p>
            <w:pPr>
              <w:spacing w:after="0"/>
              <w:rPr>
                <w:sz w:val="1"/>
                <w:szCs w:val="1"/>
                <w:color w:val="auto"/>
              </w:rPr>
            </w:pPr>
          </w:p>
        </w:tc>
      </w:tr>
      <w:tr>
        <w:trPr>
          <w:trHeight w:val="256"/>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current assets</w:t>
            </w:r>
          </w:p>
        </w:tc>
        <w:tc>
          <w:tcPr>
            <w:tcW w:w="16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9,694</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11,947</w:t>
            </w:r>
          </w:p>
        </w:tc>
        <w:tc>
          <w:tcPr>
            <w:tcW w:w="0" w:type="dxa"/>
            <w:vAlign w:val="bottom"/>
          </w:tcPr>
          <w:p>
            <w:pPr>
              <w:spacing w:after="0"/>
              <w:rPr>
                <w:sz w:val="1"/>
                <w:szCs w:val="1"/>
                <w:color w:val="auto"/>
              </w:rPr>
            </w:pPr>
          </w:p>
        </w:tc>
      </w:tr>
      <w:tr>
        <w:trPr>
          <w:trHeight w:val="237"/>
        </w:trPr>
        <w:tc>
          <w:tcPr>
            <w:tcW w:w="6840" w:type="dxa"/>
            <w:vAlign w:val="bottom"/>
          </w:tcPr>
          <w:p>
            <w:pPr>
              <w:ind w:left="180"/>
              <w:spacing w:after="0"/>
              <w:rPr>
                <w:sz w:val="20"/>
                <w:szCs w:val="20"/>
                <w:color w:val="auto"/>
              </w:rPr>
            </w:pPr>
            <w:r>
              <w:rPr>
                <w:rFonts w:ascii="Arial" w:cs="Arial" w:eastAsia="Arial" w:hAnsi="Arial"/>
                <w:sz w:val="16"/>
                <w:szCs w:val="16"/>
                <w:color w:val="auto"/>
              </w:rPr>
              <w:t>Total current assets</w:t>
            </w: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298,666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260,263</w:t>
            </w: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6840" w:type="dxa"/>
            <w:vAlign w:val="bottom"/>
          </w:tcPr>
          <w:p>
            <w:pPr>
              <w:ind w:left="20"/>
              <w:spacing w:after="0"/>
              <w:rPr>
                <w:sz w:val="20"/>
                <w:szCs w:val="20"/>
                <w:color w:val="auto"/>
              </w:rPr>
            </w:pPr>
            <w:r>
              <w:rPr>
                <w:rFonts w:ascii="Arial" w:cs="Arial" w:eastAsia="Arial" w:hAnsi="Arial"/>
                <w:sz w:val="16"/>
                <w:szCs w:val="16"/>
                <w:color w:val="auto"/>
              </w:rPr>
              <w:t>Long-term assets:</w:t>
            </w:r>
          </w:p>
        </w:tc>
        <w:tc>
          <w:tcPr>
            <w:tcW w:w="1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Property and equipment, net</w:t>
            </w: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16,584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11,850</w:t>
            </w: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Arial" w:cs="Arial" w:eastAsia="Arial" w:hAnsi="Arial"/>
                <w:sz w:val="16"/>
                <w:szCs w:val="16"/>
                <w:color w:val="auto"/>
              </w:rPr>
              <w:t>Intangible assets, net</w:t>
            </w: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1,139,041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1,158,768</w:t>
            </w:r>
          </w:p>
        </w:tc>
        <w:tc>
          <w:tcPr>
            <w:tcW w:w="0" w:type="dxa"/>
            <w:vAlign w:val="bottom"/>
          </w:tcPr>
          <w:p>
            <w:pPr>
              <w:spacing w:after="0"/>
              <w:rPr>
                <w:sz w:val="1"/>
                <w:szCs w:val="1"/>
                <w:color w:val="auto"/>
              </w:rPr>
            </w:pPr>
          </w:p>
        </w:tc>
      </w:tr>
      <w:tr>
        <w:trPr>
          <w:trHeight w:val="260"/>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Goodwill</w:t>
            </w: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543,134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544,774</w:t>
            </w:r>
          </w:p>
        </w:tc>
        <w:tc>
          <w:tcPr>
            <w:tcW w:w="0" w:type="dxa"/>
            <w:vAlign w:val="bottom"/>
          </w:tcPr>
          <w:p>
            <w:pPr>
              <w:spacing w:after="0"/>
              <w:rPr>
                <w:sz w:val="1"/>
                <w:szCs w:val="1"/>
                <w:color w:val="auto"/>
              </w:rPr>
            </w:pPr>
          </w:p>
        </w:tc>
      </w:tr>
      <w:tr>
        <w:trPr>
          <w:trHeight w:val="253"/>
        </w:trPr>
        <w:tc>
          <w:tcPr>
            <w:tcW w:w="68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long-term assets</w:t>
            </w:r>
          </w:p>
        </w:tc>
        <w:tc>
          <w:tcPr>
            <w:tcW w:w="1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54,792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32,790</w:t>
            </w:r>
          </w:p>
        </w:tc>
        <w:tc>
          <w:tcPr>
            <w:tcW w:w="0" w:type="dxa"/>
            <w:vAlign w:val="bottom"/>
          </w:tcPr>
          <w:p>
            <w:pPr>
              <w:spacing w:after="0"/>
              <w:rPr>
                <w:sz w:val="1"/>
                <w:szCs w:val="1"/>
                <w:color w:val="auto"/>
              </w:rPr>
            </w:pPr>
          </w:p>
        </w:tc>
      </w:tr>
      <w:tr>
        <w:trPr>
          <w:trHeight w:val="234"/>
        </w:trPr>
        <w:tc>
          <w:tcPr>
            <w:tcW w:w="6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2,052,217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2,008,445</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 and stockholders’ equity</w:t>
            </w: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684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59,713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32,240</w:t>
            </w: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Arial" w:cs="Arial" w:eastAsia="Arial" w:hAnsi="Arial"/>
                <w:sz w:val="16"/>
                <w:szCs w:val="16"/>
                <w:color w:val="auto"/>
              </w:rPr>
              <w:t>Accrued interest</w:t>
            </w: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960</w:t>
            </w: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Accrued expenses and other current liabilities</w:t>
            </w: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53,606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38,007</w:t>
            </w:r>
          </w:p>
        </w:tc>
        <w:tc>
          <w:tcPr>
            <w:tcW w:w="0" w:type="dxa"/>
            <w:vAlign w:val="bottom"/>
          </w:tcPr>
          <w:p>
            <w:pPr>
              <w:spacing w:after="0"/>
              <w:rPr>
                <w:sz w:val="1"/>
                <w:szCs w:val="1"/>
                <w:color w:val="auto"/>
              </w:rPr>
            </w:pPr>
          </w:p>
        </w:tc>
      </w:tr>
      <w:tr>
        <w:trPr>
          <w:trHeight w:val="253"/>
        </w:trPr>
        <w:tc>
          <w:tcPr>
            <w:tcW w:w="68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Current maturities of long-term debt</w:t>
            </w:r>
          </w:p>
        </w:tc>
        <w:tc>
          <w:tcPr>
            <w:tcW w:w="1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240"/>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current liabilities</w:t>
            </w: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113,664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71,478</w:t>
            </w:r>
          </w:p>
        </w:tc>
        <w:tc>
          <w:tcPr>
            <w:tcW w:w="0" w:type="dxa"/>
            <w:vAlign w:val="bottom"/>
          </w:tcPr>
          <w:p>
            <w:pPr>
              <w:spacing w:after="0"/>
              <w:rPr>
                <w:sz w:val="1"/>
                <w:szCs w:val="1"/>
                <w:color w:val="auto"/>
              </w:rPr>
            </w:pPr>
          </w:p>
        </w:tc>
      </w:tr>
      <w:tr>
        <w:trPr>
          <w:trHeight w:val="257"/>
        </w:trPr>
        <w:tc>
          <w:tcPr>
            <w:tcW w:w="6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Arial" w:cs="Arial" w:eastAsia="Arial" w:hAnsi="Arial"/>
                <w:sz w:val="16"/>
                <w:szCs w:val="16"/>
                <w:color w:val="auto"/>
              </w:rPr>
              <w:t>Long-term debt, less current maturities</w:t>
            </w: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451,269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596,879</w:t>
            </w:r>
          </w:p>
        </w:tc>
        <w:tc>
          <w:tcPr>
            <w:tcW w:w="0" w:type="dxa"/>
            <w:vAlign w:val="bottom"/>
          </w:tcPr>
          <w:p>
            <w:pPr>
              <w:spacing w:after="0"/>
              <w:rPr>
                <w:sz w:val="1"/>
                <w:szCs w:val="1"/>
                <w:color w:val="auto"/>
              </w:rPr>
            </w:pPr>
          </w:p>
        </w:tc>
      </w:tr>
      <w:tr>
        <w:trPr>
          <w:trHeight w:val="260"/>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Deferred income taxes</w:t>
            </w: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93,755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84,352</w:t>
            </w: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Arial" w:cs="Arial" w:eastAsia="Arial" w:hAnsi="Arial"/>
                <w:sz w:val="16"/>
                <w:szCs w:val="16"/>
                <w:color w:val="auto"/>
              </w:rPr>
              <w:t>Warrant liability</w:t>
            </w: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159,835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93,638</w:t>
            </w:r>
          </w:p>
        </w:tc>
        <w:tc>
          <w:tcPr>
            <w:tcW w:w="0" w:type="dxa"/>
            <w:vAlign w:val="bottom"/>
          </w:tcPr>
          <w:p>
            <w:pPr>
              <w:spacing w:after="0"/>
              <w:rPr>
                <w:sz w:val="1"/>
                <w:szCs w:val="1"/>
                <w:color w:val="auto"/>
              </w:rPr>
            </w:pPr>
          </w:p>
        </w:tc>
      </w:tr>
      <w:tr>
        <w:trPr>
          <w:trHeight w:val="257"/>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long-term liabilities</w:t>
            </w:r>
          </w:p>
        </w:tc>
        <w:tc>
          <w:tcPr>
            <w:tcW w:w="16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44,890</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22,765</w:t>
            </w:r>
          </w:p>
        </w:tc>
        <w:tc>
          <w:tcPr>
            <w:tcW w:w="0" w:type="dxa"/>
            <w:vAlign w:val="bottom"/>
          </w:tcPr>
          <w:p>
            <w:pPr>
              <w:spacing w:after="0"/>
              <w:rPr>
                <w:sz w:val="1"/>
                <w:szCs w:val="1"/>
                <w:color w:val="auto"/>
              </w:rPr>
            </w:pPr>
          </w:p>
        </w:tc>
      </w:tr>
      <w:tr>
        <w:trPr>
          <w:trHeight w:val="236"/>
        </w:trPr>
        <w:tc>
          <w:tcPr>
            <w:tcW w:w="6840" w:type="dxa"/>
            <w:vAlign w:val="bottom"/>
          </w:tcPr>
          <w:p>
            <w:pPr>
              <w:ind w:left="180"/>
              <w:spacing w:after="0"/>
              <w:rPr>
                <w:sz w:val="20"/>
                <w:szCs w:val="20"/>
                <w:color w:val="auto"/>
              </w:rPr>
            </w:pPr>
            <w:r>
              <w:rPr>
                <w:rFonts w:ascii="Arial" w:cs="Arial" w:eastAsia="Arial" w:hAnsi="Arial"/>
                <w:sz w:val="16"/>
                <w:szCs w:val="16"/>
                <w:color w:val="auto"/>
              </w:rPr>
              <w:t>Total liabilities</w:t>
            </w: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863,413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869,112</w:t>
            </w:r>
          </w:p>
        </w:tc>
        <w:tc>
          <w:tcPr>
            <w:tcW w:w="0" w:type="dxa"/>
            <w:vAlign w:val="bottom"/>
          </w:tcPr>
          <w:p>
            <w:pPr>
              <w:spacing w:after="0"/>
              <w:rPr>
                <w:sz w:val="1"/>
                <w:szCs w:val="1"/>
                <w:color w:val="auto"/>
              </w:rPr>
            </w:pPr>
          </w:p>
        </w:tc>
      </w:tr>
      <w:tr>
        <w:trPr>
          <w:trHeight w:val="260"/>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See commitments and contingencies (Note 11)</w:t>
            </w: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Arial" w:cs="Arial" w:eastAsia="Arial" w:hAnsi="Arial"/>
                <w:sz w:val="16"/>
                <w:szCs w:val="16"/>
                <w:color w:val="auto"/>
              </w:rPr>
              <w:t>Preferred stock, $0.01 par value, 100,000,000 shares authorized, none issued</w:t>
            </w:r>
          </w:p>
        </w:tc>
        <w:tc>
          <w:tcPr>
            <w:tcW w:w="160" w:type="dxa"/>
            <w:vAlign w:val="bottom"/>
          </w:tcPr>
          <w:p>
            <w:pPr>
              <w:spacing w:after="0"/>
              <w:rPr>
                <w:sz w:val="22"/>
                <w:szCs w:val="22"/>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3"/>
              </w:rPr>
              <w:t>Common stock, $0.01 par value, 600,000,000 shares authorized, 95,882,908 and 95,751,845 issued</w:t>
            </w:r>
          </w:p>
        </w:tc>
        <w:tc>
          <w:tcPr>
            <w:tcW w:w="160" w:type="dxa"/>
            <w:vAlign w:val="bottom"/>
            <w:shd w:val="clear" w:color="auto" w:fill="CCEEFF"/>
          </w:tcPr>
          <w:p>
            <w:pPr>
              <w:spacing w:after="0"/>
              <w:rPr>
                <w:sz w:val="18"/>
                <w:szCs w:val="18"/>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959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958</w:t>
            </w:r>
          </w:p>
        </w:tc>
        <w:tc>
          <w:tcPr>
            <w:tcW w:w="0" w:type="dxa"/>
            <w:vAlign w:val="bottom"/>
          </w:tcPr>
          <w:p>
            <w:pPr>
              <w:spacing w:after="0"/>
              <w:rPr>
                <w:sz w:val="1"/>
                <w:szCs w:val="1"/>
                <w:color w:val="auto"/>
              </w:rPr>
            </w:pPr>
          </w:p>
        </w:tc>
      </w:tr>
      <w:tr>
        <w:trPr>
          <w:trHeight w:val="212"/>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at August 28, 2021 and August 29, 2020, respectively</w:t>
            </w:r>
          </w:p>
        </w:tc>
        <w:tc>
          <w:tcPr>
            <w:tcW w:w="16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Arial" w:cs="Arial" w:eastAsia="Arial" w:hAnsi="Arial"/>
                <w:sz w:val="16"/>
                <w:szCs w:val="16"/>
                <w:color w:val="auto"/>
              </w:rPr>
              <w:t>Treasury stock, 98,234 shares at cost at August 28, 2021 and August 29, 2020</w:t>
            </w: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(2,145)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(2,145)</w:t>
            </w:r>
          </w:p>
        </w:tc>
        <w:tc>
          <w:tcPr>
            <w:tcW w:w="0" w:type="dxa"/>
            <w:vAlign w:val="bottom"/>
          </w:tcPr>
          <w:p>
            <w:pPr>
              <w:spacing w:after="0"/>
              <w:rPr>
                <w:sz w:val="1"/>
                <w:szCs w:val="1"/>
                <w:color w:val="auto"/>
              </w:rPr>
            </w:pPr>
          </w:p>
        </w:tc>
      </w:tr>
      <w:tr>
        <w:trPr>
          <w:trHeight w:val="260"/>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Additional paid-in-capital</w:t>
            </w: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1,085,001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1,076,472</w:t>
            </w: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Arial" w:cs="Arial" w:eastAsia="Arial" w:hAnsi="Arial"/>
                <w:sz w:val="16"/>
                <w:szCs w:val="16"/>
                <w:color w:val="auto"/>
              </w:rPr>
              <w:t>Retained earnings</w:t>
            </w: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105,807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64,927</w:t>
            </w:r>
          </w:p>
        </w:tc>
        <w:tc>
          <w:tcPr>
            <w:tcW w:w="0" w:type="dxa"/>
            <w:vAlign w:val="bottom"/>
          </w:tcPr>
          <w:p>
            <w:pPr>
              <w:spacing w:after="0"/>
              <w:rPr>
                <w:sz w:val="1"/>
                <w:szCs w:val="1"/>
                <w:color w:val="auto"/>
              </w:rPr>
            </w:pPr>
          </w:p>
        </w:tc>
      </w:tr>
      <w:tr>
        <w:trPr>
          <w:trHeight w:val="257"/>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(818)</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(879)</w:t>
            </w:r>
          </w:p>
        </w:tc>
        <w:tc>
          <w:tcPr>
            <w:tcW w:w="0" w:type="dxa"/>
            <w:vAlign w:val="bottom"/>
          </w:tcPr>
          <w:p>
            <w:pPr>
              <w:spacing w:after="0"/>
              <w:rPr>
                <w:sz w:val="1"/>
                <w:szCs w:val="1"/>
                <w:color w:val="auto"/>
              </w:rPr>
            </w:pPr>
          </w:p>
        </w:tc>
      </w:tr>
      <w:tr>
        <w:trPr>
          <w:trHeight w:val="236"/>
        </w:trPr>
        <w:tc>
          <w:tcPr>
            <w:tcW w:w="68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stockholders’ equity</w:t>
            </w: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1,188,804</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1,139,333</w:t>
            </w:r>
          </w:p>
        </w:tc>
        <w:tc>
          <w:tcPr>
            <w:tcW w:w="0" w:type="dxa"/>
            <w:vAlign w:val="bottom"/>
          </w:tcPr>
          <w:p>
            <w:pPr>
              <w:spacing w:after="0"/>
              <w:rPr>
                <w:sz w:val="1"/>
                <w:szCs w:val="1"/>
                <w:color w:val="auto"/>
              </w:rPr>
            </w:pPr>
          </w:p>
        </w:tc>
      </w:tr>
      <w:tr>
        <w:trPr>
          <w:trHeight w:val="238"/>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2,052,217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2,008,445</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ind w:left="3460"/>
        <w:spacing w:after="0"/>
        <w:rPr>
          <w:sz w:val="20"/>
          <w:szCs w:val="20"/>
          <w:color w:val="auto"/>
        </w:rPr>
      </w:pPr>
      <w:r>
        <w:rPr>
          <w:rFonts w:ascii="Arial" w:cs="Arial" w:eastAsia="Arial" w:hAnsi="Arial"/>
          <w:sz w:val="16"/>
          <w:szCs w:val="16"/>
          <w:i w:val="1"/>
          <w:iCs w:val="1"/>
          <w:color w:val="auto"/>
        </w:rPr>
        <w:t>See accompanying Notes to the Consolidated Financial Statements</w:t>
      </w:r>
    </w:p>
    <w:p>
      <w:pPr>
        <w:sectPr>
          <w:pgSz w:w="11900" w:h="16838" w:orient="portrait"/>
          <w:cols w:equalWidth="0" w:num="1">
            <w:col w:w="10640"/>
          </w:cols>
          <w:pgMar w:left="320" w:top="125" w:right="9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125" w:right="939" w:bottom="1440" w:gutter="0" w:footer="0" w:header="0"/>
          <w:type w:val="continuous"/>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left="920" w:right="2160"/>
        <w:spacing w:after="0" w:line="266" w:lineRule="auto"/>
        <w:rPr>
          <w:sz w:val="20"/>
          <w:szCs w:val="20"/>
          <w:color w:val="auto"/>
        </w:rPr>
      </w:pPr>
      <w:r>
        <w:rPr>
          <w:rFonts w:ascii="Arial" w:cs="Arial" w:eastAsia="Arial" w:hAnsi="Arial"/>
          <w:sz w:val="18"/>
          <w:szCs w:val="18"/>
          <w:b w:val="1"/>
          <w:bCs w:val="1"/>
          <w:color w:val="auto"/>
        </w:rPr>
        <w:t xml:space="preserve">The Simply Good Foods Company and Subsidiaries Consolidated Statements of Operations and Comprehensive Income (Loss) </w:t>
      </w:r>
      <w:r>
        <w:rPr>
          <w:rFonts w:ascii="Arial" w:cs="Arial" w:eastAsia="Arial" w:hAnsi="Arial"/>
          <w:sz w:val="18"/>
          <w:szCs w:val="18"/>
          <w:i w:val="1"/>
          <w:iCs w:val="1"/>
          <w:color w:val="auto"/>
        </w:rPr>
        <w:t>(In thousands, except share and per share data)</w:t>
      </w:r>
    </w:p>
    <w:p>
      <w:pPr>
        <w:spacing w:after="0" w:line="144" w:lineRule="exact"/>
        <w:rPr>
          <w:sz w:val="20"/>
          <w:szCs w:val="20"/>
          <w:color w:val="auto"/>
        </w:rPr>
      </w:pPr>
    </w:p>
    <w:tbl>
      <w:tblPr>
        <w:tblLayout w:type="fixed"/>
        <w:tblInd w:w="600" w:type="dxa"/>
        <w:tblCellMar>
          <w:top w:w="0" w:type="dxa"/>
          <w:left w:w="0" w:type="dxa"/>
          <w:bottom w:w="0" w:type="dxa"/>
          <w:right w:w="0" w:type="dxa"/>
        </w:tblCellMar>
      </w:tblPr>
      <w:tr>
        <w:trPr>
          <w:trHeight w:val="206"/>
        </w:trPr>
        <w:tc>
          <w:tcPr>
            <w:tcW w:w="5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ind w:left="40"/>
              <w:spacing w:after="0"/>
              <w:rPr>
                <w:sz w:val="20"/>
                <w:szCs w:val="20"/>
                <w:color w:val="auto"/>
              </w:rPr>
            </w:pPr>
            <w:r>
              <w:rPr>
                <w:rFonts w:ascii="Arial" w:cs="Arial" w:eastAsia="Arial" w:hAnsi="Arial"/>
                <w:sz w:val="16"/>
                <w:szCs w:val="16"/>
                <w:color w:val="auto"/>
              </w:rPr>
              <w:t>52-Weeks Ended</w:t>
            </w:r>
          </w:p>
        </w:tc>
        <w:tc>
          <w:tcPr>
            <w:tcW w:w="160" w:type="dxa"/>
            <w:vAlign w:val="bottom"/>
          </w:tcPr>
          <w:p>
            <w:pPr>
              <w:spacing w:after="0"/>
              <w:rPr>
                <w:sz w:val="17"/>
                <w:szCs w:val="17"/>
                <w:color w:val="auto"/>
              </w:rPr>
            </w:pPr>
          </w:p>
        </w:tc>
        <w:tc>
          <w:tcPr>
            <w:tcW w:w="1500" w:type="dxa"/>
            <w:vAlign w:val="bottom"/>
            <w:gridSpan w:val="2"/>
          </w:tcPr>
          <w:p>
            <w:pPr>
              <w:ind w:left="60"/>
              <w:spacing w:after="0"/>
              <w:rPr>
                <w:sz w:val="20"/>
                <w:szCs w:val="20"/>
                <w:color w:val="auto"/>
              </w:rPr>
            </w:pPr>
            <w:r>
              <w:rPr>
                <w:rFonts w:ascii="Arial" w:cs="Arial" w:eastAsia="Arial" w:hAnsi="Arial"/>
                <w:sz w:val="16"/>
                <w:szCs w:val="16"/>
                <w:color w:val="auto"/>
              </w:rPr>
              <w:t>52-Weeks Ended</w:t>
            </w:r>
          </w:p>
        </w:tc>
        <w:tc>
          <w:tcPr>
            <w:tcW w:w="140" w:type="dxa"/>
            <w:vAlign w:val="bottom"/>
          </w:tcPr>
          <w:p>
            <w:pPr>
              <w:spacing w:after="0"/>
              <w:rPr>
                <w:sz w:val="17"/>
                <w:szCs w:val="17"/>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w w:val="92"/>
              </w:rPr>
              <w:t>53-Weeks Ended</w:t>
            </w:r>
          </w:p>
        </w:tc>
      </w:tr>
      <w:tr>
        <w:trPr>
          <w:trHeight w:val="260"/>
        </w:trPr>
        <w:tc>
          <w:tcPr>
            <w:tcW w:w="5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6"/>
                <w:szCs w:val="16"/>
                <w:color w:val="auto"/>
              </w:rPr>
              <w:t>August 28, 2021</w:t>
            </w:r>
          </w:p>
        </w:tc>
        <w:tc>
          <w:tcPr>
            <w:tcW w:w="16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6"/>
                <w:szCs w:val="16"/>
                <w:color w:val="auto"/>
              </w:rPr>
              <w:t>August 29, 2020</w:t>
            </w:r>
          </w:p>
        </w:tc>
        <w:tc>
          <w:tcPr>
            <w:tcW w:w="140" w:type="dxa"/>
            <w:vAlign w:val="bottom"/>
          </w:tcPr>
          <w:p>
            <w:pPr>
              <w:spacing w:after="0"/>
              <w:rPr>
                <w:sz w:val="22"/>
                <w:szCs w:val="22"/>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w w:val="96"/>
              </w:rPr>
              <w:t>August 31, 2019</w:t>
            </w:r>
          </w:p>
        </w:tc>
      </w:tr>
      <w:tr>
        <w:trPr>
          <w:trHeight w:val="239"/>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1,005,613</w:t>
            </w:r>
          </w:p>
        </w:tc>
        <w:tc>
          <w:tcPr>
            <w:tcW w:w="1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816,641</w:t>
            </w:r>
          </w:p>
        </w:tc>
        <w:tc>
          <w:tcPr>
            <w:tcW w:w="14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523,758</w:t>
            </w:r>
          </w:p>
        </w:tc>
      </w:tr>
      <w:tr>
        <w:trPr>
          <w:trHeight w:val="254"/>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1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595,847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492,313</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306,075</w:t>
            </w:r>
          </w:p>
        </w:tc>
      </w:tr>
      <w:tr>
        <w:trPr>
          <w:trHeight w:val="239"/>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409,766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324,328</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217,683</w:t>
            </w:r>
          </w:p>
        </w:tc>
      </w:tr>
      <w:tr>
        <w:trPr>
          <w:trHeight w:val="257"/>
        </w:trPr>
        <w:tc>
          <w:tcPr>
            <w:tcW w:w="5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57"/>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53"/>
        </w:trPr>
        <w:tc>
          <w:tcPr>
            <w:tcW w:w="5240" w:type="dxa"/>
            <w:vAlign w:val="bottom"/>
          </w:tcPr>
          <w:p>
            <w:pPr>
              <w:ind w:left="140"/>
              <w:spacing w:after="0"/>
              <w:rPr>
                <w:sz w:val="20"/>
                <w:szCs w:val="20"/>
                <w:color w:val="auto"/>
              </w:rPr>
            </w:pPr>
            <w:r>
              <w:rPr>
                <w:rFonts w:ascii="Arial" w:cs="Arial" w:eastAsia="Arial" w:hAnsi="Arial"/>
                <w:sz w:val="16"/>
                <w:szCs w:val="16"/>
                <w:color w:val="auto"/>
              </w:rPr>
              <w:t>Selling and marketing</w:t>
            </w: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112,928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94,469</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67,694</w:t>
            </w:r>
          </w:p>
        </w:tc>
      </w:tr>
      <w:tr>
        <w:trPr>
          <w:trHeight w:val="259"/>
        </w:trPr>
        <w:tc>
          <w:tcPr>
            <w:tcW w:w="5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General and administrative</w:t>
            </w: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106,181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106,251</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62,180</w:t>
            </w:r>
          </w:p>
        </w:tc>
      </w:tr>
      <w:tr>
        <w:trPr>
          <w:trHeight w:val="254"/>
        </w:trPr>
        <w:tc>
          <w:tcPr>
            <w:tcW w:w="524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16,982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15,259</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7,496</w:t>
            </w:r>
          </w:p>
        </w:tc>
      </w:tr>
      <w:tr>
        <w:trPr>
          <w:trHeight w:val="259"/>
        </w:trPr>
        <w:tc>
          <w:tcPr>
            <w:tcW w:w="5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Business transaction costs</w:t>
            </w:r>
          </w:p>
        </w:tc>
        <w:tc>
          <w:tcPr>
            <w:tcW w:w="16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27,125</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7,107</w:t>
            </w:r>
          </w:p>
        </w:tc>
      </w:tr>
      <w:tr>
        <w:trPr>
          <w:trHeight w:val="254"/>
        </w:trPr>
        <w:tc>
          <w:tcPr>
            <w:tcW w:w="5240" w:type="dxa"/>
            <w:vAlign w:val="bottom"/>
          </w:tcPr>
          <w:p>
            <w:pPr>
              <w:ind w:left="140"/>
              <w:spacing w:after="0"/>
              <w:rPr>
                <w:sz w:val="20"/>
                <w:szCs w:val="20"/>
                <w:color w:val="auto"/>
              </w:rPr>
            </w:pPr>
            <w:r>
              <w:rPr>
                <w:rFonts w:ascii="Arial" w:cs="Arial" w:eastAsia="Arial" w:hAnsi="Arial"/>
                <w:sz w:val="16"/>
                <w:szCs w:val="16"/>
                <w:color w:val="auto"/>
              </w:rPr>
              <w:t>Loss on impairment</w:t>
            </w:r>
          </w:p>
        </w:tc>
        <w:tc>
          <w:tcPr>
            <w:tcW w:w="160" w:type="dxa"/>
            <w:vAlign w:val="bottom"/>
          </w:tcPr>
          <w:p>
            <w:pPr>
              <w:spacing w:after="0"/>
              <w:rPr>
                <w:sz w:val="22"/>
                <w:szCs w:val="22"/>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3,000</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6"/>
        </w:trPr>
        <w:tc>
          <w:tcPr>
            <w:tcW w:w="5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Loss in fair value change of contingent consideration – TRA liability</w:t>
            </w:r>
          </w:p>
        </w:tc>
        <w:tc>
          <w:tcPr>
            <w:tcW w:w="16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w:t>
            </w:r>
          </w:p>
        </w:tc>
      </w:tr>
      <w:tr>
        <w:trPr>
          <w:trHeight w:val="237"/>
        </w:trPr>
        <w:tc>
          <w:tcPr>
            <w:tcW w:w="5240" w:type="dxa"/>
            <w:vAlign w:val="bottom"/>
          </w:tcPr>
          <w:p>
            <w:pPr>
              <w:ind w:left="20"/>
              <w:spacing w:after="0"/>
              <w:rPr>
                <w:sz w:val="20"/>
                <w:szCs w:val="20"/>
                <w:color w:val="auto"/>
              </w:rPr>
            </w:pPr>
            <w:r>
              <w:rPr>
                <w:rFonts w:ascii="Arial" w:cs="Arial" w:eastAsia="Arial" w:hAnsi="Arial"/>
                <w:sz w:val="16"/>
                <w:szCs w:val="16"/>
                <w:color w:val="auto"/>
              </w:rPr>
              <w:t>Total operating expenses</w:t>
            </w: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236,091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246,104</w:t>
            </w:r>
          </w:p>
        </w:tc>
        <w:tc>
          <w:tcPr>
            <w:tcW w:w="1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145,010</w:t>
            </w:r>
          </w:p>
        </w:tc>
      </w:tr>
      <w:tr>
        <w:trPr>
          <w:trHeight w:val="259"/>
        </w:trPr>
        <w:tc>
          <w:tcPr>
            <w:tcW w:w="52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53"/>
        </w:trPr>
        <w:tc>
          <w:tcPr>
            <w:tcW w:w="5240" w:type="dxa"/>
            <w:vAlign w:val="bottom"/>
          </w:tcPr>
          <w:p>
            <w:pPr>
              <w:ind w:left="20"/>
              <w:spacing w:after="0"/>
              <w:rPr>
                <w:sz w:val="20"/>
                <w:szCs w:val="20"/>
                <w:color w:val="auto"/>
              </w:rPr>
            </w:pPr>
            <w:r>
              <w:rPr>
                <w:rFonts w:ascii="Arial" w:cs="Arial" w:eastAsia="Arial" w:hAnsi="Arial"/>
                <w:sz w:val="16"/>
                <w:szCs w:val="16"/>
                <w:color w:val="auto"/>
              </w:rPr>
              <w:t>Income from operations</w:t>
            </w: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173,675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78,224</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72,673</w:t>
            </w:r>
          </w:p>
        </w:tc>
      </w:tr>
      <w:tr>
        <w:trPr>
          <w:trHeight w:val="260"/>
        </w:trPr>
        <w:tc>
          <w:tcPr>
            <w:tcW w:w="52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53"/>
        </w:trPr>
        <w:tc>
          <w:tcPr>
            <w:tcW w:w="5240" w:type="dxa"/>
            <w:vAlign w:val="bottom"/>
          </w:tcPr>
          <w:p>
            <w:pPr>
              <w:ind w:left="20"/>
              <w:spacing w:after="0"/>
              <w:rPr>
                <w:sz w:val="20"/>
                <w:szCs w:val="20"/>
                <w:color w:val="auto"/>
              </w:rPr>
            </w:pPr>
            <w:r>
              <w:rPr>
                <w:rFonts w:ascii="Arial" w:cs="Arial" w:eastAsia="Arial" w:hAnsi="Arial"/>
                <w:sz w:val="16"/>
                <w:szCs w:val="16"/>
                <w:color w:val="auto"/>
              </w:rPr>
              <w:t>Other income (expense):</w:t>
            </w: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59"/>
        </w:trPr>
        <w:tc>
          <w:tcPr>
            <w:tcW w:w="5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income</w:t>
            </w: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1,516</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3,826</w:t>
            </w:r>
          </w:p>
        </w:tc>
      </w:tr>
      <w:tr>
        <w:trPr>
          <w:trHeight w:val="253"/>
        </w:trPr>
        <w:tc>
          <w:tcPr>
            <w:tcW w:w="524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(31,557)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(32,813)</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(13,627)</w:t>
            </w:r>
          </w:p>
        </w:tc>
      </w:tr>
      <w:tr>
        <w:trPr>
          <w:trHeight w:val="260"/>
        </w:trPr>
        <w:tc>
          <w:tcPr>
            <w:tcW w:w="5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(Loss) gain in fair value change of warrant liability</w:t>
            </w: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(66,197)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30,938</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(72,673)</w:t>
            </w:r>
          </w:p>
        </w:tc>
      </w:tr>
      <w:tr>
        <w:trPr>
          <w:trHeight w:val="253"/>
        </w:trPr>
        <w:tc>
          <w:tcPr>
            <w:tcW w:w="5240" w:type="dxa"/>
            <w:vAlign w:val="bottom"/>
          </w:tcPr>
          <w:p>
            <w:pPr>
              <w:ind w:left="140"/>
              <w:spacing w:after="0"/>
              <w:rPr>
                <w:sz w:val="20"/>
                <w:szCs w:val="20"/>
                <w:color w:val="auto"/>
              </w:rPr>
            </w:pPr>
            <w:r>
              <w:rPr>
                <w:rFonts w:ascii="Arial" w:cs="Arial" w:eastAsia="Arial" w:hAnsi="Arial"/>
                <w:sz w:val="16"/>
                <w:szCs w:val="16"/>
                <w:color w:val="auto"/>
              </w:rPr>
              <w:t>Gain on legal settlement</w:t>
            </w: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5,000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60"/>
        </w:trPr>
        <w:tc>
          <w:tcPr>
            <w:tcW w:w="5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Gain on settlement of TRA liability</w:t>
            </w:r>
          </w:p>
        </w:tc>
        <w:tc>
          <w:tcPr>
            <w:tcW w:w="16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1,534</w:t>
            </w:r>
          </w:p>
        </w:tc>
      </w:tr>
      <w:tr>
        <w:trPr>
          <w:trHeight w:val="253"/>
        </w:trPr>
        <w:tc>
          <w:tcPr>
            <w:tcW w:w="5240" w:type="dxa"/>
            <w:vAlign w:val="bottom"/>
          </w:tcPr>
          <w:p>
            <w:pPr>
              <w:ind w:left="140"/>
              <w:spacing w:after="0"/>
              <w:rPr>
                <w:sz w:val="20"/>
                <w:szCs w:val="20"/>
                <w:color w:val="auto"/>
              </w:rPr>
            </w:pPr>
            <w:r>
              <w:rPr>
                <w:rFonts w:ascii="Arial" w:cs="Arial" w:eastAsia="Arial" w:hAnsi="Arial"/>
                <w:sz w:val="16"/>
                <w:szCs w:val="16"/>
                <w:color w:val="auto"/>
              </w:rPr>
              <w:t>(Loss) gain on foreign currency transactions</w:t>
            </w: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658</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(452)</w:t>
            </w:r>
          </w:p>
        </w:tc>
      </w:tr>
      <w:tr>
        <w:trPr>
          <w:trHeight w:val="256"/>
        </w:trPr>
        <w:tc>
          <w:tcPr>
            <w:tcW w:w="5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(expense) income</w:t>
            </w:r>
          </w:p>
        </w:tc>
        <w:tc>
          <w:tcPr>
            <w:tcW w:w="16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441</w:t>
            </w:r>
          </w:p>
        </w:tc>
        <w:tc>
          <w:tcPr>
            <w:tcW w:w="14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w:t>
            </w:r>
          </w:p>
        </w:tc>
      </w:tr>
      <w:tr>
        <w:trPr>
          <w:trHeight w:val="237"/>
        </w:trPr>
        <w:tc>
          <w:tcPr>
            <w:tcW w:w="5240" w:type="dxa"/>
            <w:vAlign w:val="bottom"/>
          </w:tcPr>
          <w:p>
            <w:pPr>
              <w:ind w:left="20"/>
              <w:spacing w:after="0"/>
              <w:rPr>
                <w:sz w:val="20"/>
                <w:szCs w:val="20"/>
                <w:color w:val="auto"/>
              </w:rPr>
            </w:pPr>
            <w:r>
              <w:rPr>
                <w:rFonts w:ascii="Arial" w:cs="Arial" w:eastAsia="Arial" w:hAnsi="Arial"/>
                <w:sz w:val="16"/>
                <w:szCs w:val="16"/>
                <w:color w:val="auto"/>
              </w:rPr>
              <w:t>Total other (expense) income</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(92,815)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740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(81,196)</w:t>
            </w:r>
          </w:p>
        </w:tc>
      </w:tr>
      <w:tr>
        <w:trPr>
          <w:trHeight w:val="260"/>
        </w:trPr>
        <w:tc>
          <w:tcPr>
            <w:tcW w:w="52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53"/>
        </w:trPr>
        <w:tc>
          <w:tcPr>
            <w:tcW w:w="5240" w:type="dxa"/>
            <w:vAlign w:val="bottom"/>
          </w:tcPr>
          <w:p>
            <w:pPr>
              <w:ind w:left="20"/>
              <w:spacing w:after="0"/>
              <w:rPr>
                <w:sz w:val="20"/>
                <w:szCs w:val="20"/>
                <w:color w:val="auto"/>
              </w:rPr>
            </w:pPr>
            <w:r>
              <w:rPr>
                <w:rFonts w:ascii="Arial" w:cs="Arial" w:eastAsia="Arial" w:hAnsi="Arial"/>
                <w:sz w:val="16"/>
                <w:szCs w:val="16"/>
                <w:color w:val="auto"/>
              </w:rPr>
              <w:t>Income (loss) before income taxes</w:t>
            </w: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80,860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78,964</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(8,523)</w:t>
            </w:r>
          </w:p>
        </w:tc>
      </w:tr>
      <w:tr>
        <w:trPr>
          <w:trHeight w:val="256"/>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16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39,980</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13,326</w:t>
            </w:r>
          </w:p>
        </w:tc>
        <w:tc>
          <w:tcPr>
            <w:tcW w:w="14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16,711</w:t>
            </w:r>
          </w:p>
        </w:tc>
      </w:tr>
      <w:tr>
        <w:trPr>
          <w:trHeight w:val="237"/>
        </w:trPr>
        <w:tc>
          <w:tcPr>
            <w:tcW w:w="524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40,880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65,638</w:t>
            </w: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(25,234)</w:t>
            </w:r>
          </w:p>
        </w:tc>
      </w:tr>
      <w:tr>
        <w:trPr>
          <w:trHeight w:val="260"/>
        </w:trPr>
        <w:tc>
          <w:tcPr>
            <w:tcW w:w="52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54"/>
        </w:trPr>
        <w:tc>
          <w:tcPr>
            <w:tcW w:w="524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56"/>
        </w:trPr>
        <w:tc>
          <w:tcPr>
            <w:tcW w:w="5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 currency translation adjustments</w:t>
            </w:r>
          </w:p>
        </w:tc>
        <w:tc>
          <w:tcPr>
            <w:tcW w:w="16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4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color w:val="auto"/>
              </w:rPr>
              <w:t>Comprehensive income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40,941</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65,595</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(25,272)</w:t>
            </w: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3"/>
        </w:trPr>
        <w:tc>
          <w:tcPr>
            <w:tcW w:w="5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54"/>
        </w:trPr>
        <w:tc>
          <w:tcPr>
            <w:tcW w:w="5240" w:type="dxa"/>
            <w:vAlign w:val="bottom"/>
          </w:tcPr>
          <w:p>
            <w:pPr>
              <w:ind w:left="20"/>
              <w:spacing w:after="0"/>
              <w:rPr>
                <w:sz w:val="20"/>
                <w:szCs w:val="20"/>
                <w:color w:val="auto"/>
              </w:rPr>
            </w:pPr>
            <w:r>
              <w:rPr>
                <w:rFonts w:ascii="Arial" w:cs="Arial" w:eastAsia="Arial" w:hAnsi="Arial"/>
                <w:sz w:val="16"/>
                <w:szCs w:val="16"/>
                <w:color w:val="auto"/>
              </w:rPr>
              <w:t>Earnings (loss) per share:</w:t>
            </w: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59"/>
        </w:trPr>
        <w:tc>
          <w:tcPr>
            <w:tcW w:w="5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Basic</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0.70</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(0.31)</w:t>
            </w:r>
          </w:p>
        </w:tc>
      </w:tr>
      <w:tr>
        <w:trPr>
          <w:trHeight w:val="253"/>
        </w:trPr>
        <w:tc>
          <w:tcPr>
            <w:tcW w:w="5240" w:type="dxa"/>
            <w:vAlign w:val="bottom"/>
          </w:tcPr>
          <w:p>
            <w:pPr>
              <w:ind w:left="140"/>
              <w:spacing w:after="0"/>
              <w:rPr>
                <w:sz w:val="20"/>
                <w:szCs w:val="20"/>
                <w:color w:val="auto"/>
              </w:rPr>
            </w:pPr>
            <w:r>
              <w:rPr>
                <w:rFonts w:ascii="Arial" w:cs="Arial" w:eastAsia="Arial" w:hAnsi="Arial"/>
                <w:sz w:val="16"/>
                <w:szCs w:val="16"/>
                <w:color w:val="auto"/>
              </w:rPr>
              <w:t>Diluted</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0.42</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0.35</w:t>
            </w:r>
          </w:p>
        </w:tc>
        <w:tc>
          <w:tcPr>
            <w:tcW w:w="1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(0.31)</w:t>
            </w:r>
          </w:p>
        </w:tc>
      </w:tr>
      <w:tr>
        <w:trPr>
          <w:trHeight w:val="260"/>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w:t>
            </w: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53"/>
        </w:trPr>
        <w:tc>
          <w:tcPr>
            <w:tcW w:w="5240" w:type="dxa"/>
            <w:vAlign w:val="bottom"/>
          </w:tcPr>
          <w:p>
            <w:pPr>
              <w:ind w:left="140"/>
              <w:spacing w:after="0"/>
              <w:rPr>
                <w:sz w:val="20"/>
                <w:szCs w:val="20"/>
                <w:color w:val="auto"/>
              </w:rPr>
            </w:pPr>
            <w:r>
              <w:rPr>
                <w:rFonts w:ascii="Arial" w:cs="Arial" w:eastAsia="Arial" w:hAnsi="Arial"/>
                <w:sz w:val="16"/>
                <w:szCs w:val="16"/>
                <w:color w:val="auto"/>
              </w:rPr>
              <w:t>Basic</w:t>
            </w: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95,743,413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93,968,953</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80,734,091</w:t>
            </w:r>
          </w:p>
        </w:tc>
      </w:tr>
      <w:tr>
        <w:trPr>
          <w:trHeight w:val="259"/>
        </w:trPr>
        <w:tc>
          <w:tcPr>
            <w:tcW w:w="5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97,365,598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98,343,722</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80,734,091</w:t>
            </w:r>
          </w:p>
        </w:tc>
      </w:tr>
    </w:tbl>
    <w:p>
      <w:pPr>
        <w:spacing w:after="0" w:line="314" w:lineRule="exact"/>
        <w:rPr>
          <w:sz w:val="20"/>
          <w:szCs w:val="20"/>
          <w:color w:val="auto"/>
        </w:rPr>
      </w:pPr>
    </w:p>
    <w:p>
      <w:pPr>
        <w:ind w:left="3460"/>
        <w:spacing w:after="0"/>
        <w:rPr>
          <w:sz w:val="20"/>
          <w:szCs w:val="20"/>
          <w:color w:val="auto"/>
        </w:rPr>
      </w:pPr>
      <w:r>
        <w:rPr>
          <w:rFonts w:ascii="Arial" w:cs="Arial" w:eastAsia="Arial" w:hAnsi="Arial"/>
          <w:sz w:val="16"/>
          <w:szCs w:val="16"/>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125" w:right="9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71" w:lineRule="exact"/>
        <w:rPr>
          <w:sz w:val="20"/>
          <w:szCs w:val="20"/>
          <w:color w:val="auto"/>
        </w:rPr>
      </w:pPr>
    </w:p>
    <w:p>
      <w:pPr>
        <w:jc w:val="center"/>
        <w:ind w:right="-599"/>
        <w:spacing w:after="0"/>
        <w:rPr>
          <w:sz w:val="20"/>
          <w:szCs w:val="20"/>
          <w:color w:val="auto"/>
        </w:rPr>
      </w:pPr>
      <w:r>
        <w:rPr>
          <w:rFonts w:ascii="Arial" w:cs="Arial" w:eastAsia="Arial" w:hAnsi="Arial"/>
          <w:sz w:val="14"/>
          <w:szCs w:val="14"/>
          <w:b w:val="1"/>
          <w:bCs w:val="1"/>
          <w:color w:val="auto"/>
        </w:rPr>
        <w:t>The Simply Good Foods Company and Subsidiaries</w:t>
      </w:r>
    </w:p>
    <w:p>
      <w:pPr>
        <w:spacing w:after="0" w:line="17" w:lineRule="exact"/>
        <w:rPr>
          <w:sz w:val="20"/>
          <w:szCs w:val="20"/>
          <w:color w:val="auto"/>
        </w:rPr>
      </w:pPr>
    </w:p>
    <w:p>
      <w:pPr>
        <w:jc w:val="center"/>
        <w:ind w:right="-599"/>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1" w:lineRule="exact"/>
        <w:rPr>
          <w:sz w:val="20"/>
          <w:szCs w:val="20"/>
          <w:color w:val="auto"/>
        </w:rPr>
      </w:pPr>
    </w:p>
    <w:p>
      <w:pPr>
        <w:jc w:val="center"/>
        <w:ind w:right="-599"/>
        <w:spacing w:after="0"/>
        <w:rPr>
          <w:sz w:val="20"/>
          <w:szCs w:val="20"/>
          <w:color w:val="auto"/>
        </w:rPr>
      </w:pPr>
      <w:r>
        <w:rPr>
          <w:rFonts w:ascii="Arial" w:cs="Arial" w:eastAsia="Arial" w:hAnsi="Arial"/>
          <w:sz w:val="14"/>
          <w:szCs w:val="14"/>
          <w:i w:val="1"/>
          <w:iCs w:val="1"/>
          <w:color w:val="auto"/>
        </w:rPr>
        <w:t>(In thousands)</w:t>
      </w:r>
    </w:p>
    <w:p>
      <w:pPr>
        <w:spacing w:after="0" w:line="38" w:lineRule="exact"/>
        <w:rPr>
          <w:sz w:val="20"/>
          <w:szCs w:val="20"/>
          <w:color w:val="auto"/>
        </w:rPr>
      </w:pPr>
    </w:p>
    <w:tbl>
      <w:tblPr>
        <w:tblLayout w:type="fixed"/>
        <w:tblInd w:w="600" w:type="dxa"/>
        <w:tblCellMar>
          <w:top w:w="0" w:type="dxa"/>
          <w:left w:w="0" w:type="dxa"/>
          <w:bottom w:w="0" w:type="dxa"/>
          <w:right w:w="0" w:type="dxa"/>
        </w:tblCellMar>
      </w:tblPr>
      <w:tr>
        <w:trPr>
          <w:trHeight w:val="206"/>
        </w:trPr>
        <w:tc>
          <w:tcPr>
            <w:tcW w:w="5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ind w:left="40"/>
              <w:spacing w:after="0"/>
              <w:rPr>
                <w:sz w:val="20"/>
                <w:szCs w:val="20"/>
                <w:color w:val="auto"/>
              </w:rPr>
            </w:pPr>
            <w:r>
              <w:rPr>
                <w:rFonts w:ascii="Arial" w:cs="Arial" w:eastAsia="Arial" w:hAnsi="Arial"/>
                <w:sz w:val="16"/>
                <w:szCs w:val="16"/>
                <w:color w:val="auto"/>
              </w:rPr>
              <w:t>52-Weeks Ended</w:t>
            </w:r>
          </w:p>
        </w:tc>
        <w:tc>
          <w:tcPr>
            <w:tcW w:w="140" w:type="dxa"/>
            <w:vAlign w:val="bottom"/>
          </w:tcPr>
          <w:p>
            <w:pPr>
              <w:spacing w:after="0"/>
              <w:rPr>
                <w:sz w:val="17"/>
                <w:szCs w:val="17"/>
                <w:color w:val="auto"/>
              </w:rPr>
            </w:pPr>
          </w:p>
        </w:tc>
        <w:tc>
          <w:tcPr>
            <w:tcW w:w="1480" w:type="dxa"/>
            <w:vAlign w:val="bottom"/>
            <w:gridSpan w:val="2"/>
          </w:tcPr>
          <w:p>
            <w:pPr>
              <w:ind w:left="60"/>
              <w:spacing w:after="0"/>
              <w:rPr>
                <w:sz w:val="20"/>
                <w:szCs w:val="20"/>
                <w:color w:val="auto"/>
              </w:rPr>
            </w:pPr>
            <w:r>
              <w:rPr>
                <w:rFonts w:ascii="Arial" w:cs="Arial" w:eastAsia="Arial" w:hAnsi="Arial"/>
                <w:sz w:val="16"/>
                <w:szCs w:val="16"/>
                <w:color w:val="auto"/>
              </w:rPr>
              <w:t>52-Weeks Ended</w:t>
            </w:r>
          </w:p>
        </w:tc>
        <w:tc>
          <w:tcPr>
            <w:tcW w:w="160" w:type="dxa"/>
            <w:vAlign w:val="bottom"/>
          </w:tcPr>
          <w:p>
            <w:pPr>
              <w:spacing w:after="0"/>
              <w:rPr>
                <w:sz w:val="17"/>
                <w:szCs w:val="17"/>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color w:val="auto"/>
                <w:w w:val="91"/>
              </w:rPr>
              <w:t>53-Weeks Ended</w:t>
            </w:r>
          </w:p>
        </w:tc>
      </w:tr>
      <w:tr>
        <w:trPr>
          <w:trHeight w:val="219"/>
        </w:trPr>
        <w:tc>
          <w:tcPr>
            <w:tcW w:w="5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ind w:left="60"/>
              <w:spacing w:after="0"/>
              <w:rPr>
                <w:sz w:val="20"/>
                <w:szCs w:val="20"/>
                <w:color w:val="auto"/>
              </w:rPr>
            </w:pPr>
            <w:r>
              <w:rPr>
                <w:rFonts w:ascii="Arial" w:cs="Arial" w:eastAsia="Arial" w:hAnsi="Arial"/>
                <w:sz w:val="16"/>
                <w:szCs w:val="16"/>
                <w:color w:val="auto"/>
              </w:rPr>
              <w:t>August 28, 2021</w:t>
            </w:r>
          </w:p>
        </w:tc>
        <w:tc>
          <w:tcPr>
            <w:tcW w:w="140" w:type="dxa"/>
            <w:vAlign w:val="bottom"/>
          </w:tcPr>
          <w:p>
            <w:pPr>
              <w:spacing w:after="0"/>
              <w:rPr>
                <w:sz w:val="19"/>
                <w:szCs w:val="19"/>
                <w:color w:val="auto"/>
              </w:rPr>
            </w:pPr>
          </w:p>
        </w:tc>
        <w:tc>
          <w:tcPr>
            <w:tcW w:w="1480" w:type="dxa"/>
            <w:vAlign w:val="bottom"/>
            <w:gridSpan w:val="2"/>
          </w:tcPr>
          <w:p>
            <w:pPr>
              <w:ind w:left="60"/>
              <w:spacing w:after="0"/>
              <w:rPr>
                <w:sz w:val="20"/>
                <w:szCs w:val="20"/>
                <w:color w:val="auto"/>
              </w:rPr>
            </w:pPr>
            <w:r>
              <w:rPr>
                <w:rFonts w:ascii="Arial" w:cs="Arial" w:eastAsia="Arial" w:hAnsi="Arial"/>
                <w:sz w:val="16"/>
                <w:szCs w:val="16"/>
                <w:color w:val="auto"/>
              </w:rPr>
              <w:t>August 29, 2020</w:t>
            </w:r>
          </w:p>
        </w:tc>
        <w:tc>
          <w:tcPr>
            <w:tcW w:w="160" w:type="dxa"/>
            <w:vAlign w:val="bottom"/>
          </w:tcPr>
          <w:p>
            <w:pPr>
              <w:spacing w:after="0"/>
              <w:rPr>
                <w:sz w:val="19"/>
                <w:szCs w:val="19"/>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color w:val="auto"/>
                <w:w w:val="96"/>
              </w:rPr>
              <w:t>August 31, 2019</w:t>
            </w:r>
          </w:p>
        </w:tc>
      </w:tr>
      <w:tr>
        <w:trPr>
          <w:trHeight w:val="199"/>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activities</w:t>
            </w:r>
          </w:p>
        </w:tc>
        <w:tc>
          <w:tcPr>
            <w:tcW w:w="1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r>
      <w:tr>
        <w:trPr>
          <w:trHeight w:val="213"/>
        </w:trPr>
        <w:tc>
          <w:tcPr>
            <w:tcW w:w="528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40,880</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65,638</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(25,234)</w:t>
            </w:r>
          </w:p>
        </w:tc>
      </w:tr>
      <w:tr>
        <w:trPr>
          <w:trHeight w:val="169"/>
        </w:trPr>
        <w:tc>
          <w:tcPr>
            <w:tcW w:w="52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6"/>
              </w:rPr>
              <w:t>Adjustments to reconcile net income (loss) to net cash provided by operating</w:t>
            </w:r>
          </w:p>
        </w:tc>
        <w:tc>
          <w:tcPr>
            <w:tcW w:w="1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212"/>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activities: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3"/>
        </w:trPr>
        <w:tc>
          <w:tcPr>
            <w:tcW w:w="5280" w:type="dxa"/>
            <w:vAlign w:val="bottom"/>
          </w:tcPr>
          <w:p>
            <w:pPr>
              <w:ind w:left="24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18,174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16,007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7,644</w:t>
            </w:r>
          </w:p>
        </w:tc>
      </w:tr>
      <w:tr>
        <w:trPr>
          <w:trHeight w:val="219"/>
        </w:trPr>
        <w:tc>
          <w:tcPr>
            <w:tcW w:w="5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Amortization of deferred financing costs and debt discount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1,352</w:t>
            </w:r>
          </w:p>
        </w:tc>
      </w:tr>
      <w:tr>
        <w:trPr>
          <w:trHeight w:val="213"/>
        </w:trPr>
        <w:tc>
          <w:tcPr>
            <w:tcW w:w="5280" w:type="dxa"/>
            <w:vAlign w:val="bottom"/>
          </w:tcPr>
          <w:p>
            <w:pPr>
              <w:ind w:left="240"/>
              <w:spacing w:after="0"/>
              <w:rPr>
                <w:sz w:val="20"/>
                <w:szCs w:val="20"/>
                <w:color w:val="auto"/>
              </w:rPr>
            </w:pPr>
            <w:r>
              <w:rPr>
                <w:rFonts w:ascii="Arial" w:cs="Arial" w:eastAsia="Arial" w:hAnsi="Arial"/>
                <w:sz w:val="16"/>
                <w:szCs w:val="16"/>
                <w:color w:val="auto"/>
              </w:rPr>
              <w:t>Stock compensation expense</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8,265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7,636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5,501</w:t>
            </w:r>
          </w:p>
        </w:tc>
      </w:tr>
      <w:tr>
        <w:trPr>
          <w:trHeight w:val="219"/>
        </w:trPr>
        <w:tc>
          <w:tcPr>
            <w:tcW w:w="5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Loss on impairment</w:t>
            </w: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280" w:type="dxa"/>
            <w:vAlign w:val="bottom"/>
          </w:tcPr>
          <w:p>
            <w:pPr>
              <w:ind w:left="240"/>
              <w:spacing w:after="0"/>
              <w:rPr>
                <w:sz w:val="20"/>
                <w:szCs w:val="20"/>
                <w:color w:val="auto"/>
              </w:rPr>
            </w:pPr>
            <w:r>
              <w:rPr>
                <w:rFonts w:ascii="Arial" w:cs="Arial" w:eastAsia="Arial" w:hAnsi="Arial"/>
                <w:sz w:val="16"/>
                <w:szCs w:val="16"/>
                <w:color w:val="auto"/>
              </w:rPr>
              <w:t>Loss (gain) in fair value change of warrant liability</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66,197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(30,938)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72,673</w:t>
            </w:r>
          </w:p>
        </w:tc>
      </w:tr>
      <w:tr>
        <w:trPr>
          <w:trHeight w:val="219"/>
        </w:trPr>
        <w:tc>
          <w:tcPr>
            <w:tcW w:w="5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Estimated credit losses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280" w:type="dxa"/>
            <w:vAlign w:val="bottom"/>
          </w:tcPr>
          <w:p>
            <w:pPr>
              <w:ind w:left="240"/>
              <w:spacing w:after="0"/>
              <w:rPr>
                <w:sz w:val="20"/>
                <w:szCs w:val="20"/>
                <w:color w:val="auto"/>
              </w:rPr>
            </w:pPr>
            <w:r>
              <w:rPr>
                <w:rFonts w:ascii="Arial" w:cs="Arial" w:eastAsia="Arial" w:hAnsi="Arial"/>
                <w:sz w:val="16"/>
                <w:szCs w:val="16"/>
                <w:color w:val="auto"/>
              </w:rPr>
              <w:t>Loss in fair value change of contingent consideration – TRA liability</w:t>
            </w:r>
          </w:p>
        </w:tc>
        <w:tc>
          <w:tcPr>
            <w:tcW w:w="1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533</w:t>
            </w:r>
          </w:p>
        </w:tc>
      </w:tr>
      <w:tr>
        <w:trPr>
          <w:trHeight w:val="219"/>
        </w:trPr>
        <w:tc>
          <w:tcPr>
            <w:tcW w:w="5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Gain on settlement of TRA liability</w:t>
            </w: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(1,534)</w:t>
            </w:r>
          </w:p>
        </w:tc>
      </w:tr>
      <w:tr>
        <w:trPr>
          <w:trHeight w:val="213"/>
        </w:trPr>
        <w:tc>
          <w:tcPr>
            <w:tcW w:w="5280" w:type="dxa"/>
            <w:vAlign w:val="bottom"/>
          </w:tcPr>
          <w:p>
            <w:pPr>
              <w:ind w:left="240"/>
              <w:spacing w:after="0"/>
              <w:rPr>
                <w:sz w:val="20"/>
                <w:szCs w:val="20"/>
                <w:color w:val="auto"/>
              </w:rPr>
            </w:pPr>
            <w:r>
              <w:rPr>
                <w:rFonts w:ascii="Arial" w:cs="Arial" w:eastAsia="Arial" w:hAnsi="Arial"/>
                <w:sz w:val="16"/>
                <w:szCs w:val="16"/>
                <w:color w:val="auto"/>
              </w:rPr>
              <w:t>Unrealized loss (gain) on foreign currency transactions</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(658)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452</w:t>
            </w:r>
          </w:p>
        </w:tc>
      </w:tr>
      <w:tr>
        <w:trPr>
          <w:trHeight w:val="219"/>
        </w:trPr>
        <w:tc>
          <w:tcPr>
            <w:tcW w:w="5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Deferred income taxes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9,403</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10,869</w:t>
            </w:r>
          </w:p>
        </w:tc>
      </w:tr>
      <w:tr>
        <w:trPr>
          <w:trHeight w:val="213"/>
        </w:trPr>
        <w:tc>
          <w:tcPr>
            <w:tcW w:w="5280" w:type="dxa"/>
            <w:vAlign w:val="bottom"/>
          </w:tcPr>
          <w:p>
            <w:pPr>
              <w:ind w:left="240"/>
              <w:spacing w:after="0"/>
              <w:rPr>
                <w:sz w:val="20"/>
                <w:szCs w:val="20"/>
                <w:color w:val="auto"/>
              </w:rPr>
            </w:pPr>
            <w:r>
              <w:rPr>
                <w:rFonts w:ascii="Arial" w:cs="Arial" w:eastAsia="Arial" w:hAnsi="Arial"/>
                <w:sz w:val="16"/>
                <w:szCs w:val="16"/>
                <w:color w:val="auto"/>
              </w:rPr>
              <w:t>Loss on disposal of property and equipment</w:t>
            </w:r>
          </w:p>
        </w:tc>
        <w:tc>
          <w:tcPr>
            <w:tcW w:w="1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9"/>
        </w:trPr>
        <w:tc>
          <w:tcPr>
            <w:tcW w:w="5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Amortization of operating lease right-of-use asset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280" w:type="dxa"/>
            <w:vAlign w:val="bottom"/>
          </w:tcPr>
          <w:p>
            <w:pPr>
              <w:ind w:left="240"/>
              <w:spacing w:after="0"/>
              <w:rPr>
                <w:sz w:val="20"/>
                <w:szCs w:val="20"/>
                <w:color w:val="auto"/>
              </w:rPr>
            </w:pPr>
            <w:r>
              <w:rPr>
                <w:rFonts w:ascii="Arial" w:cs="Arial" w:eastAsia="Arial" w:hAnsi="Arial"/>
                <w:sz w:val="16"/>
                <w:szCs w:val="16"/>
                <w:color w:val="auto"/>
              </w:rPr>
              <w:t>Loss on operating lease right-of-use asset impairment</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686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Gain on lease termination</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280" w:type="dxa"/>
            <w:vAlign w:val="bottom"/>
          </w:tcPr>
          <w:p>
            <w:pPr>
              <w:ind w:left="240"/>
              <w:spacing w:after="0"/>
              <w:rPr>
                <w:sz w:val="20"/>
                <w:szCs w:val="20"/>
                <w:color w:val="auto"/>
              </w:rPr>
            </w:pPr>
            <w:r>
              <w:rPr>
                <w:rFonts w:ascii="Arial" w:cs="Arial" w:eastAsia="Arial" w:hAnsi="Arial"/>
                <w:sz w:val="16"/>
                <w:szCs w:val="16"/>
                <w:color w:val="auto"/>
              </w:rPr>
              <w:t>Other</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(389)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Changes in operating assets and liabilities, net of acquisition:</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3"/>
        </w:trPr>
        <w:tc>
          <w:tcPr>
            <w:tcW w:w="5280" w:type="dxa"/>
            <w:vAlign w:val="bottom"/>
          </w:tcPr>
          <w:p>
            <w:pPr>
              <w:ind w:left="460"/>
              <w:spacing w:after="0"/>
              <w:rPr>
                <w:sz w:val="20"/>
                <w:szCs w:val="20"/>
                <w:color w:val="auto"/>
              </w:rPr>
            </w:pPr>
            <w:r>
              <w:rPr>
                <w:rFonts w:ascii="Arial" w:cs="Arial" w:eastAsia="Arial" w:hAnsi="Arial"/>
                <w:sz w:val="16"/>
                <w:szCs w:val="16"/>
                <w:color w:val="auto"/>
              </w:rPr>
              <w:t>Accounts receivable, net</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(22,284)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(18,288)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(8,360)</w:t>
            </w:r>
          </w:p>
        </w:tc>
      </w:tr>
      <w:tr>
        <w:trPr>
          <w:trHeight w:val="219"/>
        </w:trPr>
        <w:tc>
          <w:tcPr>
            <w:tcW w:w="5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Inventories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(39,349)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(8,178)</w:t>
            </w:r>
          </w:p>
        </w:tc>
      </w:tr>
      <w:tr>
        <w:trPr>
          <w:trHeight w:val="213"/>
        </w:trPr>
        <w:tc>
          <w:tcPr>
            <w:tcW w:w="5280" w:type="dxa"/>
            <w:vAlign w:val="bottom"/>
          </w:tcPr>
          <w:p>
            <w:pPr>
              <w:ind w:left="460"/>
              <w:spacing w:after="0"/>
              <w:rPr>
                <w:sz w:val="20"/>
                <w:szCs w:val="20"/>
                <w:color w:val="auto"/>
              </w:rPr>
            </w:pPr>
            <w:r>
              <w:rPr>
                <w:rFonts w:ascii="Arial" w:cs="Arial" w:eastAsia="Arial" w:hAnsi="Arial"/>
                <w:sz w:val="16"/>
                <w:szCs w:val="16"/>
                <w:color w:val="auto"/>
              </w:rPr>
              <w:t>Prepaid expenses</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(1,202)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680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(824)</w:t>
            </w:r>
          </w:p>
        </w:tc>
      </w:tr>
      <w:tr>
        <w:trPr>
          <w:trHeight w:val="219"/>
        </w:trPr>
        <w:tc>
          <w:tcPr>
            <w:tcW w:w="5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Other current assets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2,322</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(2,155)</w:t>
            </w:r>
          </w:p>
        </w:tc>
      </w:tr>
      <w:tr>
        <w:trPr>
          <w:trHeight w:val="213"/>
        </w:trPr>
        <w:tc>
          <w:tcPr>
            <w:tcW w:w="5280" w:type="dxa"/>
            <w:vAlign w:val="bottom"/>
          </w:tcPr>
          <w:p>
            <w:pPr>
              <w:ind w:left="460"/>
              <w:spacing w:after="0"/>
              <w:rPr>
                <w:sz w:val="20"/>
                <w:szCs w:val="20"/>
                <w:color w:val="auto"/>
              </w:rPr>
            </w:pPr>
            <w:r>
              <w:rPr>
                <w:rFonts w:ascii="Arial" w:cs="Arial" w:eastAsia="Arial" w:hAnsi="Arial"/>
                <w:sz w:val="16"/>
                <w:szCs w:val="16"/>
                <w:color w:val="auto"/>
              </w:rPr>
              <w:t>Accounts payable</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25,923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(8,736)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4,734</w:t>
            </w:r>
          </w:p>
        </w:tc>
      </w:tr>
      <w:tr>
        <w:trPr>
          <w:trHeight w:val="219"/>
        </w:trPr>
        <w:tc>
          <w:tcPr>
            <w:tcW w:w="5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Accrued interest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1,111</w:t>
            </w:r>
          </w:p>
        </w:tc>
      </w:tr>
      <w:tr>
        <w:trPr>
          <w:trHeight w:val="213"/>
        </w:trPr>
        <w:tc>
          <w:tcPr>
            <w:tcW w:w="5280" w:type="dxa"/>
            <w:vAlign w:val="bottom"/>
          </w:tcPr>
          <w:p>
            <w:pPr>
              <w:ind w:left="460"/>
              <w:spacing w:after="0"/>
              <w:rPr>
                <w:sz w:val="20"/>
                <w:szCs w:val="20"/>
                <w:color w:val="auto"/>
              </w:rPr>
            </w:pPr>
            <w:r>
              <w:rPr>
                <w:rFonts w:ascii="Arial" w:cs="Arial" w:eastAsia="Arial" w:hAnsi="Arial"/>
                <w:sz w:val="16"/>
                <w:szCs w:val="16"/>
                <w:color w:val="auto"/>
              </w:rPr>
              <w:t>Accrued expenses and other current liabilities</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15,423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(5,572)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14,378</w:t>
            </w:r>
          </w:p>
        </w:tc>
      </w:tr>
      <w:tr>
        <w:trPr>
          <w:trHeight w:val="219"/>
        </w:trPr>
        <w:tc>
          <w:tcPr>
            <w:tcW w:w="5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(2,083)</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w:t>
            </w:r>
          </w:p>
        </w:tc>
      </w:tr>
      <w:tr>
        <w:trPr>
          <w:trHeight w:val="207"/>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132,089</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58,921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73,042</w:t>
            </w:r>
          </w:p>
        </w:tc>
      </w:tr>
      <w:tr>
        <w:trPr>
          <w:trHeight w:val="199"/>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Investing activities</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3"/>
        </w:trPr>
        <w:tc>
          <w:tcPr>
            <w:tcW w:w="5280" w:type="dxa"/>
            <w:vAlign w:val="bottom"/>
          </w:tcPr>
          <w:p>
            <w:pPr>
              <w:ind w:left="240"/>
              <w:spacing w:after="0"/>
              <w:rPr>
                <w:sz w:val="20"/>
                <w:szCs w:val="20"/>
                <w:color w:val="auto"/>
              </w:rPr>
            </w:pPr>
            <w:r>
              <w:rPr>
                <w:rFonts w:ascii="Arial" w:cs="Arial" w:eastAsia="Arial" w:hAnsi="Arial"/>
                <w:sz w:val="16"/>
                <w:szCs w:val="16"/>
                <w:color w:val="auto"/>
              </w:rPr>
              <w:t>Purchases of property and equipment</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(5,911)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(1,736)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(1,037)</w:t>
            </w:r>
          </w:p>
        </w:tc>
      </w:tr>
      <w:tr>
        <w:trPr>
          <w:trHeight w:val="219"/>
        </w:trPr>
        <w:tc>
          <w:tcPr>
            <w:tcW w:w="5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Issuance of note receivable</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r>
      <w:tr>
        <w:trPr>
          <w:trHeight w:val="213"/>
        </w:trPr>
        <w:tc>
          <w:tcPr>
            <w:tcW w:w="5280" w:type="dxa"/>
            <w:vAlign w:val="bottom"/>
          </w:tcPr>
          <w:p>
            <w:pPr>
              <w:ind w:left="240"/>
              <w:spacing w:after="0"/>
              <w:rPr>
                <w:sz w:val="20"/>
                <w:szCs w:val="20"/>
                <w:color w:val="auto"/>
              </w:rPr>
            </w:pPr>
            <w:r>
              <w:rPr>
                <w:rFonts w:ascii="Arial" w:cs="Arial" w:eastAsia="Arial" w:hAnsi="Arial"/>
                <w:sz w:val="16"/>
                <w:szCs w:val="16"/>
                <w:color w:val="auto"/>
              </w:rPr>
              <w:t>Proceeds from note receivable</w:t>
            </w:r>
          </w:p>
        </w:tc>
        <w:tc>
          <w:tcPr>
            <w:tcW w:w="1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Acquisition of business, net of cash acquired</w:t>
            </w: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(982,075)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280" w:type="dxa"/>
            <w:vAlign w:val="bottom"/>
          </w:tcPr>
          <w:p>
            <w:pPr>
              <w:ind w:left="240"/>
              <w:spacing w:after="0"/>
              <w:rPr>
                <w:sz w:val="20"/>
                <w:szCs w:val="20"/>
                <w:color w:val="auto"/>
              </w:rPr>
            </w:pPr>
            <w:r>
              <w:rPr>
                <w:rFonts w:ascii="Arial" w:cs="Arial" w:eastAsia="Arial" w:hAnsi="Arial"/>
                <w:sz w:val="16"/>
                <w:szCs w:val="16"/>
                <w:color w:val="auto"/>
              </w:rPr>
              <w:t>Proceeds from sale of business</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5,800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Investments in intangible assets and other assets</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(795)</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investing activities</w:t>
            </w: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(2,506)</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(983,994)</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(1,787)</w:t>
            </w:r>
          </w:p>
        </w:tc>
      </w:tr>
      <w:tr>
        <w:trPr>
          <w:trHeight w:val="199"/>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Financing activities</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3"/>
        </w:trPr>
        <w:tc>
          <w:tcPr>
            <w:tcW w:w="5280" w:type="dxa"/>
            <w:vAlign w:val="bottom"/>
          </w:tcPr>
          <w:p>
            <w:pPr>
              <w:ind w:left="240"/>
              <w:spacing w:after="0"/>
              <w:rPr>
                <w:sz w:val="20"/>
                <w:szCs w:val="20"/>
                <w:color w:val="auto"/>
              </w:rPr>
            </w:pPr>
            <w:r>
              <w:rPr>
                <w:rFonts w:ascii="Arial" w:cs="Arial" w:eastAsia="Arial" w:hAnsi="Arial"/>
                <w:sz w:val="16"/>
                <w:szCs w:val="16"/>
                <w:color w:val="auto"/>
              </w:rPr>
              <w:t>Proceeds from option exercises</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4,206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706</w:t>
            </w:r>
          </w:p>
        </w:tc>
      </w:tr>
      <w:tr>
        <w:trPr>
          <w:trHeight w:val="219"/>
        </w:trPr>
        <w:tc>
          <w:tcPr>
            <w:tcW w:w="5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received from warrant exercises</w:t>
            </w: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113,464</w:t>
            </w:r>
          </w:p>
        </w:tc>
      </w:tr>
      <w:tr>
        <w:trPr>
          <w:trHeight w:val="213"/>
        </w:trPr>
        <w:tc>
          <w:tcPr>
            <w:tcW w:w="5280" w:type="dxa"/>
            <w:vAlign w:val="bottom"/>
          </w:tcPr>
          <w:p>
            <w:pPr>
              <w:ind w:left="240"/>
              <w:spacing w:after="0"/>
              <w:rPr>
                <w:sz w:val="20"/>
                <w:szCs w:val="20"/>
                <w:color w:val="auto"/>
              </w:rPr>
            </w:pPr>
            <w:r>
              <w:rPr>
                <w:rFonts w:ascii="Arial" w:cs="Arial" w:eastAsia="Arial" w:hAnsi="Arial"/>
                <w:sz w:val="16"/>
                <w:szCs w:val="16"/>
                <w:color w:val="auto"/>
              </w:rPr>
              <w:t>Tax payments related to issuance of restricted stock units</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(435)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(181)</w:t>
            </w:r>
          </w:p>
        </w:tc>
      </w:tr>
      <w:tr>
        <w:trPr>
          <w:trHeight w:val="219"/>
        </w:trPr>
        <w:tc>
          <w:tcPr>
            <w:tcW w:w="5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Proceeds from issuance of common stock</w:t>
            </w: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352,542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280" w:type="dxa"/>
            <w:vAlign w:val="bottom"/>
          </w:tcPr>
          <w:p>
            <w:pPr>
              <w:ind w:left="240"/>
              <w:spacing w:after="0"/>
              <w:rPr>
                <w:sz w:val="20"/>
                <w:szCs w:val="20"/>
                <w:color w:val="auto"/>
              </w:rPr>
            </w:pPr>
            <w:r>
              <w:rPr>
                <w:rFonts w:ascii="Arial" w:cs="Arial" w:eastAsia="Arial" w:hAnsi="Arial"/>
                <w:sz w:val="16"/>
                <w:szCs w:val="16"/>
                <w:color w:val="auto"/>
              </w:rPr>
              <w:t>Equity issuance costs</w:t>
            </w:r>
          </w:p>
        </w:tc>
        <w:tc>
          <w:tcPr>
            <w:tcW w:w="1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(3,323)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Repurchase of common stock</w:t>
            </w: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(2,145)</w:t>
            </w:r>
          </w:p>
        </w:tc>
      </w:tr>
      <w:tr>
        <w:trPr>
          <w:trHeight w:val="213"/>
        </w:trPr>
        <w:tc>
          <w:tcPr>
            <w:tcW w:w="5280" w:type="dxa"/>
            <w:vAlign w:val="bottom"/>
          </w:tcPr>
          <w:p>
            <w:pPr>
              <w:ind w:left="240"/>
              <w:spacing w:after="0"/>
              <w:rPr>
                <w:sz w:val="20"/>
                <w:szCs w:val="20"/>
                <w:color w:val="auto"/>
              </w:rPr>
            </w:pPr>
            <w:r>
              <w:rPr>
                <w:rFonts w:ascii="Arial" w:cs="Arial" w:eastAsia="Arial" w:hAnsi="Arial"/>
                <w:sz w:val="16"/>
                <w:szCs w:val="16"/>
                <w:color w:val="auto"/>
              </w:rPr>
              <w:t>Payments on finance lease obligations</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(314)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(374)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Principal payments of long-term debt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w:t>
            </w:r>
          </w:p>
        </w:tc>
      </w:tr>
      <w:tr>
        <w:trPr>
          <w:trHeight w:val="213"/>
        </w:trPr>
        <w:tc>
          <w:tcPr>
            <w:tcW w:w="5280" w:type="dxa"/>
            <w:vAlign w:val="bottom"/>
          </w:tcPr>
          <w:p>
            <w:pPr>
              <w:ind w:left="240"/>
              <w:spacing w:after="0"/>
              <w:rPr>
                <w:sz w:val="20"/>
                <w:szCs w:val="20"/>
                <w:color w:val="auto"/>
              </w:rPr>
            </w:pPr>
            <w:r>
              <w:rPr>
                <w:rFonts w:ascii="Arial" w:cs="Arial" w:eastAsia="Arial" w:hAnsi="Arial"/>
                <w:sz w:val="16"/>
                <w:szCs w:val="16"/>
                <w:color w:val="auto"/>
              </w:rPr>
              <w:t>Repayments of Revolving Credit Facility</w:t>
            </w:r>
          </w:p>
        </w:tc>
        <w:tc>
          <w:tcPr>
            <w:tcW w:w="1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(25,000)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Proceeds from issuance of long-term debt</w:t>
            </w: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280" w:type="dxa"/>
            <w:vAlign w:val="bottom"/>
          </w:tcPr>
          <w:p>
            <w:pPr>
              <w:ind w:left="240"/>
              <w:spacing w:after="0"/>
              <w:rPr>
                <w:sz w:val="20"/>
                <w:szCs w:val="20"/>
                <w:color w:val="auto"/>
              </w:rPr>
            </w:pPr>
            <w:r>
              <w:rPr>
                <w:rFonts w:ascii="Arial" w:cs="Arial" w:eastAsia="Arial" w:hAnsi="Arial"/>
                <w:sz w:val="16"/>
                <w:szCs w:val="16"/>
                <w:color w:val="auto"/>
              </w:rPr>
              <w:t>Proceeds from Revolving Credit Facility</w:t>
            </w:r>
          </w:p>
        </w:tc>
        <w:tc>
          <w:tcPr>
            <w:tcW w:w="1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25,000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Deferred financing costs</w:t>
            </w: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280" w:type="dxa"/>
            <w:vAlign w:val="bottom"/>
          </w:tcPr>
          <w:p>
            <w:pPr>
              <w:ind w:left="240"/>
              <w:spacing w:after="0"/>
              <w:rPr>
                <w:sz w:val="20"/>
                <w:szCs w:val="20"/>
                <w:color w:val="auto"/>
              </w:rPr>
            </w:pPr>
            <w:r>
              <w:rPr>
                <w:rFonts w:ascii="Arial" w:cs="Arial" w:eastAsia="Arial" w:hAnsi="Arial"/>
                <w:sz w:val="16"/>
                <w:szCs w:val="16"/>
                <w:color w:val="auto"/>
              </w:rPr>
              <w:t>Settlement of TRA liability</w:t>
            </w:r>
          </w:p>
        </w:tc>
        <w:tc>
          <w:tcPr>
            <w:tcW w:w="1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(26,468)</w:t>
            </w:r>
          </w:p>
        </w:tc>
      </w:tr>
      <w:tr>
        <w:trPr>
          <w:trHeight w:val="212"/>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(used in) provided by financing activities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(150,049)</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754,652</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83,376</w:t>
            </w:r>
          </w:p>
        </w:tc>
      </w:tr>
      <w:tr>
        <w:trPr>
          <w:trHeight w:val="34"/>
        </w:trPr>
        <w:tc>
          <w:tcPr>
            <w:tcW w:w="5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16"/>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(decrease) increase in cash</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(20,466)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(170,421)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154,631</w:t>
            </w:r>
          </w:p>
        </w:tc>
      </w:tr>
      <w:tr>
        <w:trPr>
          <w:trHeight w:val="213"/>
        </w:trPr>
        <w:tc>
          <w:tcPr>
            <w:tcW w:w="5280" w:type="dxa"/>
            <w:vAlign w:val="bottom"/>
          </w:tcPr>
          <w:p>
            <w:pPr>
              <w:ind w:left="20"/>
              <w:spacing w:after="0"/>
              <w:rPr>
                <w:sz w:val="20"/>
                <w:szCs w:val="20"/>
                <w:color w:val="auto"/>
              </w:rPr>
            </w:pPr>
            <w:r>
              <w:rPr>
                <w:rFonts w:ascii="Arial" w:cs="Arial" w:eastAsia="Arial" w:hAnsi="Arial"/>
                <w:sz w:val="16"/>
                <w:szCs w:val="16"/>
                <w:color w:val="auto"/>
              </w:rPr>
              <w:t>Effect of exchange rate on cash</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(261)</w:t>
            </w:r>
          </w:p>
        </w:tc>
      </w:tr>
      <w:tr>
        <w:trPr>
          <w:trHeight w:val="219"/>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at beginning of period</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95,847</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266,341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111,971</w:t>
            </w:r>
          </w:p>
        </w:tc>
      </w:tr>
      <w:tr>
        <w:trPr>
          <w:trHeight w:val="206"/>
        </w:trPr>
        <w:tc>
          <w:tcPr>
            <w:tcW w:w="5280" w:type="dxa"/>
            <w:vAlign w:val="bottom"/>
          </w:tcPr>
          <w:p>
            <w:pPr>
              <w:ind w:left="20"/>
              <w:spacing w:after="0"/>
              <w:rPr>
                <w:sz w:val="20"/>
                <w:szCs w:val="20"/>
                <w:color w:val="auto"/>
              </w:rPr>
            </w:pPr>
            <w:r>
              <w:rPr>
                <w:rFonts w:ascii="Arial" w:cs="Arial" w:eastAsia="Arial" w:hAnsi="Arial"/>
                <w:sz w:val="16"/>
                <w:szCs w:val="16"/>
                <w:color w:val="auto"/>
              </w:rPr>
              <w:t>Cash at end of period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75,345</w:t>
            </w:r>
          </w:p>
        </w:tc>
        <w:tc>
          <w:tcPr>
            <w:tcW w:w="14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95,847</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266,341</w:t>
            </w:r>
          </w:p>
        </w:tc>
      </w:tr>
    </w:tbl>
    <w:p>
      <w:pPr>
        <w:spacing w:after="0" w:line="200" w:lineRule="exact"/>
        <w:rPr>
          <w:sz w:val="20"/>
          <w:szCs w:val="20"/>
          <w:color w:val="auto"/>
        </w:rPr>
      </w:pPr>
    </w:p>
    <w:p>
      <w:pPr>
        <w:sectPr>
          <w:pgSz w:w="11900" w:h="16838" w:orient="portrait"/>
          <w:cols w:equalWidth="0" w:num="1">
            <w:col w:w="10640"/>
          </w:cols>
          <w:pgMar w:left="320" w:top="125" w:right="939" w:bottom="1440" w:gutter="0" w:footer="0" w:header="0"/>
        </w:sectPr>
      </w:pPr>
    </w:p>
    <w:p>
      <w:pPr>
        <w:spacing w:after="0" w:line="15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125" w:right="939" w:bottom="1440" w:gutter="0" w:footer="0" w:header="0"/>
          <w:type w:val="continuous"/>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38" w:lineRule="exact"/>
        <w:rPr>
          <w:sz w:val="20"/>
          <w:szCs w:val="20"/>
          <w:color w:val="auto"/>
        </w:rPr>
      </w:pPr>
    </w:p>
    <w:tbl>
      <w:tblPr>
        <w:tblLayout w:type="fixed"/>
        <w:tblInd w:w="600" w:type="dxa"/>
        <w:tblCellMar>
          <w:top w:w="0" w:type="dxa"/>
          <w:left w:w="0" w:type="dxa"/>
          <w:bottom w:w="0" w:type="dxa"/>
          <w:right w:w="0" w:type="dxa"/>
        </w:tblCellMar>
      </w:tblPr>
      <w:tr>
        <w:trPr>
          <w:trHeight w:val="233"/>
        </w:trPr>
        <w:tc>
          <w:tcPr>
            <w:tcW w:w="5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ind w:left="40"/>
              <w:spacing w:after="0"/>
              <w:rPr>
                <w:sz w:val="20"/>
                <w:szCs w:val="20"/>
                <w:color w:val="auto"/>
              </w:rPr>
            </w:pPr>
            <w:r>
              <w:rPr>
                <w:rFonts w:ascii="Arial" w:cs="Arial" w:eastAsia="Arial" w:hAnsi="Arial"/>
                <w:sz w:val="16"/>
                <w:szCs w:val="16"/>
                <w:color w:val="auto"/>
              </w:rPr>
              <w:t>52-Weeks Ended</w:t>
            </w:r>
          </w:p>
        </w:tc>
        <w:tc>
          <w:tcPr>
            <w:tcW w:w="140" w:type="dxa"/>
            <w:vAlign w:val="bottom"/>
          </w:tcPr>
          <w:p>
            <w:pPr>
              <w:spacing w:after="0"/>
              <w:rPr>
                <w:sz w:val="20"/>
                <w:szCs w:val="20"/>
                <w:color w:val="auto"/>
              </w:rPr>
            </w:pPr>
          </w:p>
        </w:tc>
        <w:tc>
          <w:tcPr>
            <w:tcW w:w="1480" w:type="dxa"/>
            <w:vAlign w:val="bottom"/>
            <w:gridSpan w:val="2"/>
          </w:tcPr>
          <w:p>
            <w:pPr>
              <w:ind w:left="60"/>
              <w:spacing w:after="0"/>
              <w:rPr>
                <w:sz w:val="20"/>
                <w:szCs w:val="20"/>
                <w:color w:val="auto"/>
              </w:rPr>
            </w:pPr>
            <w:r>
              <w:rPr>
                <w:rFonts w:ascii="Arial" w:cs="Arial" w:eastAsia="Arial" w:hAnsi="Arial"/>
                <w:sz w:val="16"/>
                <w:szCs w:val="16"/>
                <w:color w:val="auto"/>
              </w:rPr>
              <w:t>52-Weeks Ended</w:t>
            </w:r>
          </w:p>
        </w:tc>
        <w:tc>
          <w:tcPr>
            <w:tcW w:w="160" w:type="dxa"/>
            <w:vAlign w:val="bottom"/>
          </w:tcPr>
          <w:p>
            <w:pPr>
              <w:spacing w:after="0"/>
              <w:rPr>
                <w:sz w:val="20"/>
                <w:szCs w:val="20"/>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color w:val="auto"/>
                <w:w w:val="91"/>
              </w:rPr>
              <w:t>53-Weeks Ended</w:t>
            </w:r>
          </w:p>
        </w:tc>
        <w:tc>
          <w:tcPr>
            <w:tcW w:w="0" w:type="dxa"/>
            <w:vAlign w:val="bottom"/>
          </w:tcPr>
          <w:p>
            <w:pPr>
              <w:spacing w:after="0"/>
              <w:rPr>
                <w:sz w:val="1"/>
                <w:szCs w:val="1"/>
                <w:color w:val="auto"/>
              </w:rPr>
            </w:pPr>
          </w:p>
        </w:tc>
      </w:tr>
      <w:tr>
        <w:trPr>
          <w:trHeight w:val="260"/>
        </w:trPr>
        <w:tc>
          <w:tcPr>
            <w:tcW w:w="5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6"/>
                <w:szCs w:val="16"/>
                <w:color w:val="auto"/>
              </w:rPr>
              <w:t>August 28, 2021</w:t>
            </w:r>
          </w:p>
        </w:tc>
        <w:tc>
          <w:tcPr>
            <w:tcW w:w="14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6"/>
                <w:szCs w:val="16"/>
                <w:color w:val="auto"/>
              </w:rPr>
              <w:t>August 29, 2020</w:t>
            </w:r>
          </w:p>
        </w:tc>
        <w:tc>
          <w:tcPr>
            <w:tcW w:w="160" w:type="dxa"/>
            <w:vAlign w:val="bottom"/>
          </w:tcPr>
          <w:p>
            <w:pPr>
              <w:spacing w:after="0"/>
              <w:rPr>
                <w:sz w:val="22"/>
                <w:szCs w:val="22"/>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color w:val="auto"/>
                <w:w w:val="96"/>
              </w:rPr>
              <w:t>August 31, 2019</w:t>
            </w:r>
          </w:p>
        </w:tc>
        <w:tc>
          <w:tcPr>
            <w:tcW w:w="0" w:type="dxa"/>
            <w:vAlign w:val="bottom"/>
          </w:tcPr>
          <w:p>
            <w:pPr>
              <w:spacing w:after="0"/>
              <w:rPr>
                <w:sz w:val="1"/>
                <w:szCs w:val="1"/>
                <w:color w:val="auto"/>
              </w:rPr>
            </w:pPr>
          </w:p>
        </w:tc>
      </w:tr>
      <w:tr>
        <w:trPr>
          <w:trHeight w:val="239"/>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160" w:type="dxa"/>
            <w:vAlign w:val="bottom"/>
            <w:tcBorders>
              <w:top w:val="single" w:sz="8" w:color="auto"/>
            </w:tcBorders>
            <w:shd w:val="clear" w:color="auto" w:fill="CCEEFF"/>
          </w:tcPr>
          <w:p>
            <w:pPr>
              <w:spacing w:after="0"/>
              <w:rPr>
                <w:sz w:val="20"/>
                <w:szCs w:val="20"/>
                <w:color w:val="auto"/>
              </w:rPr>
            </w:pPr>
          </w:p>
        </w:tc>
        <w:tc>
          <w:tcPr>
            <w:tcW w:w="134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36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34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280" w:type="dxa"/>
            <w:vAlign w:val="bottom"/>
          </w:tcPr>
          <w:p>
            <w:pPr>
              <w:ind w:left="140"/>
              <w:spacing w:after="0"/>
              <w:rPr>
                <w:sz w:val="20"/>
                <w:szCs w:val="20"/>
                <w:color w:val="auto"/>
              </w:rPr>
            </w:pPr>
            <w:r>
              <w:rPr>
                <w:rFonts w:ascii="Arial" w:cs="Arial" w:eastAsia="Arial" w:hAnsi="Arial"/>
                <w:sz w:val="16"/>
                <w:szCs w:val="16"/>
                <w:color w:val="auto"/>
              </w:rPr>
              <w:t>Cash paid for interest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27,821</w:t>
            </w:r>
          </w:p>
        </w:tc>
        <w:tc>
          <w:tcPr>
            <w:tcW w:w="1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30,038</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11,164</w:t>
            </w:r>
          </w:p>
        </w:tc>
        <w:tc>
          <w:tcPr>
            <w:tcW w:w="0" w:type="dxa"/>
            <w:vAlign w:val="bottom"/>
          </w:tcPr>
          <w:p>
            <w:pPr>
              <w:spacing w:after="0"/>
              <w:rPr>
                <w:sz w:val="1"/>
                <w:szCs w:val="1"/>
                <w:color w:val="auto"/>
              </w:rPr>
            </w:pPr>
          </w:p>
        </w:tc>
      </w:tr>
      <w:tr>
        <w:trPr>
          <w:trHeight w:val="259"/>
        </w:trPr>
        <w:tc>
          <w:tcPr>
            <w:tcW w:w="5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paid for taxes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32,190</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7,451</w:t>
            </w:r>
          </w:p>
        </w:tc>
        <w:tc>
          <w:tcPr>
            <w:tcW w:w="0" w:type="dxa"/>
            <w:vAlign w:val="bottom"/>
          </w:tcPr>
          <w:p>
            <w:pPr>
              <w:spacing w:after="0"/>
              <w:rPr>
                <w:sz w:val="1"/>
                <w:szCs w:val="1"/>
                <w:color w:val="auto"/>
              </w:rPr>
            </w:pPr>
          </w:p>
        </w:tc>
      </w:tr>
      <w:tr>
        <w:trPr>
          <w:trHeight w:val="253"/>
        </w:trPr>
        <w:tc>
          <w:tcPr>
            <w:tcW w:w="5280" w:type="dxa"/>
            <w:vAlign w:val="bottom"/>
          </w:tcPr>
          <w:p>
            <w:pPr>
              <w:ind w:left="20"/>
              <w:spacing w:after="0"/>
              <w:rPr>
                <w:sz w:val="20"/>
                <w:szCs w:val="20"/>
                <w:color w:val="auto"/>
              </w:rPr>
            </w:pPr>
            <w:r>
              <w:rPr>
                <w:rFonts w:ascii="Arial" w:cs="Arial" w:eastAsia="Arial" w:hAnsi="Arial"/>
                <w:sz w:val="16"/>
                <w:szCs w:val="16"/>
                <w:color w:val="auto"/>
              </w:rPr>
              <w:t>Non-cash investing and financing transactions</w:t>
            </w: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Non-cash proceeds from sale of business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5280" w:type="dxa"/>
            <w:vAlign w:val="bottom"/>
          </w:tcPr>
          <w:p>
            <w:pPr>
              <w:ind w:left="140"/>
              <w:spacing w:after="0" w:line="166" w:lineRule="exact"/>
              <w:rPr>
                <w:sz w:val="20"/>
                <w:szCs w:val="20"/>
                <w:color w:val="auto"/>
              </w:rPr>
            </w:pPr>
            <w:r>
              <w:rPr>
                <w:rFonts w:ascii="Arial" w:cs="Arial" w:eastAsia="Arial" w:hAnsi="Arial"/>
                <w:sz w:val="16"/>
                <w:szCs w:val="16"/>
                <w:color w:val="auto"/>
              </w:rPr>
              <w:t>Operating lease right-of-use assets recognized at ASU No 2016-02</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5,102</w:t>
            </w:r>
          </w:p>
        </w:tc>
        <w:tc>
          <w:tcPr>
            <w:tcW w:w="12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280" w:type="dxa"/>
            <w:vAlign w:val="bottom"/>
          </w:tcPr>
          <w:p>
            <w:pPr>
              <w:ind w:left="140"/>
              <w:spacing w:after="0"/>
              <w:rPr>
                <w:sz w:val="20"/>
                <w:szCs w:val="20"/>
                <w:color w:val="auto"/>
              </w:rPr>
            </w:pPr>
            <w:r>
              <w:rPr>
                <w:rFonts w:ascii="Arial" w:cs="Arial" w:eastAsia="Arial" w:hAnsi="Arial"/>
                <w:sz w:val="16"/>
                <w:szCs w:val="16"/>
                <w:color w:val="auto"/>
              </w:rPr>
              <w:t>transition</w:t>
            </w:r>
          </w:p>
        </w:tc>
        <w:tc>
          <w:tcPr>
            <w:tcW w:w="160" w:type="dxa"/>
            <w:vAlign w:val="bottom"/>
            <w:vMerge w:val="continue"/>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528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6"/>
              </w:rPr>
              <w:t>Finance lease right-of-use assets recognized at ASU No 2016-02 transition</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5280" w:type="dxa"/>
            <w:vAlign w:val="bottom"/>
          </w:tcPr>
          <w:p>
            <w:pPr>
              <w:ind w:left="140"/>
              <w:spacing w:after="0" w:line="166" w:lineRule="exact"/>
              <w:rPr>
                <w:sz w:val="20"/>
                <w:szCs w:val="20"/>
                <w:color w:val="auto"/>
              </w:rPr>
            </w:pPr>
            <w:r>
              <w:rPr>
                <w:rFonts w:ascii="Arial" w:cs="Arial" w:eastAsia="Arial" w:hAnsi="Arial"/>
                <w:sz w:val="16"/>
                <w:szCs w:val="16"/>
                <w:color w:val="auto"/>
              </w:rPr>
              <w:t>Operating lease right-of-use assets recognized after ASU No 2016-02</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26,222</w:t>
            </w:r>
          </w:p>
        </w:tc>
        <w:tc>
          <w:tcPr>
            <w:tcW w:w="14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3,554</w:t>
            </w:r>
          </w:p>
        </w:tc>
        <w:tc>
          <w:tcPr>
            <w:tcW w:w="12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280" w:type="dxa"/>
            <w:vAlign w:val="bottom"/>
          </w:tcPr>
          <w:p>
            <w:pPr>
              <w:ind w:left="140"/>
              <w:spacing w:after="0"/>
              <w:rPr>
                <w:sz w:val="20"/>
                <w:szCs w:val="20"/>
                <w:color w:val="auto"/>
              </w:rPr>
            </w:pPr>
            <w:r>
              <w:rPr>
                <w:rFonts w:ascii="Arial" w:cs="Arial" w:eastAsia="Arial" w:hAnsi="Arial"/>
                <w:sz w:val="16"/>
                <w:szCs w:val="16"/>
                <w:color w:val="auto"/>
              </w:rPr>
              <w:t>transition</w:t>
            </w:r>
          </w:p>
        </w:tc>
        <w:tc>
          <w:tcPr>
            <w:tcW w:w="160" w:type="dxa"/>
            <w:vAlign w:val="bottom"/>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5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Non-cash additions to property and equipment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1,203</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5280" w:type="dxa"/>
            <w:vAlign w:val="bottom"/>
          </w:tcPr>
          <w:p>
            <w:pPr>
              <w:ind w:left="140"/>
              <w:spacing w:after="0"/>
              <w:rPr>
                <w:sz w:val="20"/>
                <w:szCs w:val="20"/>
                <w:color w:val="auto"/>
              </w:rPr>
            </w:pPr>
            <w:r>
              <w:rPr>
                <w:rFonts w:ascii="Arial" w:cs="Arial" w:eastAsia="Arial" w:hAnsi="Arial"/>
                <w:sz w:val="16"/>
                <w:szCs w:val="16"/>
                <w:color w:val="auto"/>
              </w:rPr>
              <w:t>Non-cash additions to intangible assets and other assets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218</w:t>
            </w:r>
          </w:p>
        </w:tc>
        <w:tc>
          <w:tcPr>
            <w:tcW w:w="1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334" w:lineRule="exact"/>
        <w:rPr>
          <w:sz w:val="20"/>
          <w:szCs w:val="20"/>
          <w:color w:val="auto"/>
        </w:rPr>
      </w:pPr>
    </w:p>
    <w:p>
      <w:pPr>
        <w:ind w:left="3460"/>
        <w:spacing w:after="0"/>
        <w:rPr>
          <w:sz w:val="20"/>
          <w:szCs w:val="20"/>
          <w:color w:val="auto"/>
        </w:rPr>
      </w:pPr>
      <w:r>
        <w:rPr>
          <w:rFonts w:ascii="Arial" w:cs="Arial" w:eastAsia="Arial" w:hAnsi="Arial"/>
          <w:sz w:val="16"/>
          <w:szCs w:val="16"/>
          <w:i w:val="1"/>
          <w:iCs w:val="1"/>
          <w:color w:val="auto"/>
        </w:rPr>
        <w:t>See accompanying Notes to the Consolidated Financial Statements</w:t>
      </w:r>
    </w:p>
    <w:p>
      <w:pPr>
        <w:spacing w:after="0" w:line="27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125" w:right="9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The Simply Good Foods Company and Subsidiaries</w:t>
      </w:r>
    </w:p>
    <w:p>
      <w:pPr>
        <w:spacing w:after="0" w:line="27"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599"/>
        <w:spacing w:after="0"/>
        <w:rPr>
          <w:sz w:val="20"/>
          <w:szCs w:val="20"/>
          <w:color w:val="auto"/>
        </w:rPr>
      </w:pPr>
      <w:r>
        <w:rPr>
          <w:rFonts w:ascii="Arial" w:cs="Arial" w:eastAsia="Arial" w:hAnsi="Arial"/>
          <w:sz w:val="18"/>
          <w:szCs w:val="18"/>
          <w:i w:val="1"/>
          <w:iCs w:val="1"/>
          <w:color w:val="auto"/>
        </w:rPr>
        <w:t>(In thousands, except share data)</w:t>
      </w:r>
    </w:p>
    <w:p>
      <w:pPr>
        <w:spacing w:after="0" w:line="200" w:lineRule="exact"/>
        <w:rPr>
          <w:sz w:val="20"/>
          <w:szCs w:val="20"/>
          <w:color w:val="auto"/>
        </w:rPr>
      </w:pPr>
    </w:p>
    <w:p>
      <w:pPr>
        <w:spacing w:after="0" w:line="214" w:lineRule="exact"/>
        <w:rPr>
          <w:sz w:val="20"/>
          <w:szCs w:val="20"/>
          <w:color w:val="auto"/>
        </w:rPr>
      </w:pPr>
    </w:p>
    <w:tbl>
      <w:tblPr>
        <w:tblLayout w:type="fixed"/>
        <w:tblInd w:w="60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1860" w:type="dxa"/>
            <w:vAlign w:val="bottom"/>
            <w:gridSpan w:val="5"/>
          </w:tcPr>
          <w:p>
            <w:pPr>
              <w:ind w:left="380"/>
              <w:spacing w:after="0"/>
              <w:rPr>
                <w:sz w:val="20"/>
                <w:szCs w:val="20"/>
                <w:color w:val="auto"/>
              </w:rPr>
            </w:pPr>
            <w:r>
              <w:rPr>
                <w:rFonts w:ascii="Arial" w:cs="Arial" w:eastAsia="Arial" w:hAnsi="Arial"/>
                <w:sz w:val="15"/>
                <w:szCs w:val="15"/>
                <w:color w:val="auto"/>
              </w:rPr>
              <w:t>Common Stock</w:t>
            </w:r>
          </w:p>
        </w:tc>
        <w:tc>
          <w:tcPr>
            <w:tcW w:w="1660" w:type="dxa"/>
            <w:vAlign w:val="bottom"/>
            <w:gridSpan w:val="5"/>
          </w:tcPr>
          <w:p>
            <w:pPr>
              <w:ind w:left="280"/>
              <w:spacing w:after="0"/>
              <w:rPr>
                <w:sz w:val="20"/>
                <w:szCs w:val="20"/>
                <w:color w:val="auto"/>
              </w:rPr>
            </w:pPr>
            <w:r>
              <w:rPr>
                <w:rFonts w:ascii="Arial" w:cs="Arial" w:eastAsia="Arial" w:hAnsi="Arial"/>
                <w:sz w:val="16"/>
                <w:szCs w:val="16"/>
                <w:color w:val="auto"/>
              </w:rPr>
              <w:t>Treasury Stock</w:t>
            </w:r>
          </w:p>
        </w:tc>
        <w:tc>
          <w:tcPr>
            <w:tcW w:w="140" w:type="dxa"/>
            <w:vAlign w:val="bottom"/>
          </w:tcPr>
          <w:p>
            <w:pPr>
              <w:spacing w:after="0"/>
              <w:rPr>
                <w:sz w:val="18"/>
                <w:szCs w:val="18"/>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5"/>
                <w:szCs w:val="15"/>
                <w:color w:val="auto"/>
              </w:rPr>
              <w:t>Additional</w:t>
            </w:r>
          </w:p>
        </w:tc>
        <w:tc>
          <w:tcPr>
            <w:tcW w:w="1340" w:type="dxa"/>
            <w:vAlign w:val="bottom"/>
            <w:gridSpan w:val="3"/>
          </w:tcPr>
          <w:p>
            <w:pPr>
              <w:jc w:val="center"/>
              <w:ind w:right="140"/>
              <w:spacing w:after="0"/>
              <w:rPr>
                <w:sz w:val="20"/>
                <w:szCs w:val="20"/>
                <w:color w:val="auto"/>
              </w:rPr>
            </w:pPr>
            <w:r>
              <w:rPr>
                <w:rFonts w:ascii="Arial" w:cs="Arial" w:eastAsia="Arial" w:hAnsi="Arial"/>
                <w:sz w:val="15"/>
                <w:szCs w:val="15"/>
                <w:color w:val="auto"/>
                <w:w w:val="90"/>
              </w:rPr>
              <w:t>Retained Earnings</w:t>
            </w:r>
          </w:p>
        </w:tc>
        <w:tc>
          <w:tcPr>
            <w:tcW w:w="12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5"/>
                <w:szCs w:val="15"/>
                <w:color w:val="auto"/>
                <w:w w:val="92"/>
              </w:rPr>
              <w:t>Accumulated</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gridSpan w:val="2"/>
            <w:vMerge w:val="restart"/>
          </w:tcPr>
          <w:p>
            <w:pPr>
              <w:jc w:val="center"/>
              <w:ind w:right="260"/>
              <w:spacing w:after="0" w:line="149" w:lineRule="exact"/>
              <w:rPr>
                <w:sz w:val="20"/>
                <w:szCs w:val="20"/>
                <w:color w:val="auto"/>
              </w:rPr>
            </w:pPr>
            <w:r>
              <w:rPr>
                <w:rFonts w:ascii="Arial" w:cs="Arial" w:eastAsia="Arial" w:hAnsi="Arial"/>
                <w:sz w:val="15"/>
                <w:szCs w:val="15"/>
                <w:color w:val="auto"/>
                <w:w w:val="95"/>
              </w:rPr>
              <w:t>(Accumulated</w:t>
            </w:r>
          </w:p>
        </w:tc>
        <w:tc>
          <w:tcPr>
            <w:tcW w:w="120" w:type="dxa"/>
            <w:vAlign w:val="bottom"/>
          </w:tcPr>
          <w:p>
            <w:pPr>
              <w:spacing w:after="0"/>
              <w:rPr>
                <w:sz w:val="7"/>
                <w:szCs w:val="7"/>
                <w:color w:val="auto"/>
              </w:rPr>
            </w:pPr>
          </w:p>
        </w:tc>
        <w:tc>
          <w:tcPr>
            <w:tcW w:w="1240" w:type="dxa"/>
            <w:vAlign w:val="bottom"/>
            <w:gridSpan w:val="2"/>
          </w:tcPr>
          <w:p>
            <w:pPr>
              <w:jc w:val="center"/>
              <w:ind w:right="240"/>
              <w:spacing w:after="0" w:line="82" w:lineRule="exact"/>
              <w:rPr>
                <w:sz w:val="20"/>
                <w:szCs w:val="20"/>
                <w:color w:val="auto"/>
              </w:rPr>
            </w:pPr>
            <w:r>
              <w:rPr>
                <w:rFonts w:ascii="Arial" w:cs="Arial" w:eastAsia="Arial" w:hAnsi="Arial"/>
                <w:sz w:val="9"/>
                <w:szCs w:val="9"/>
                <w:color w:val="auto"/>
              </w:rPr>
              <w:t>Other</w:t>
            </w:r>
          </w:p>
        </w:tc>
        <w:tc>
          <w:tcPr>
            <w:tcW w:w="180" w:type="dxa"/>
            <w:vAlign w:val="bottom"/>
          </w:tcPr>
          <w:p>
            <w:pPr>
              <w:spacing w:after="0"/>
              <w:rPr>
                <w:sz w:val="7"/>
                <w:szCs w:val="7"/>
                <w:color w:val="auto"/>
              </w:rPr>
            </w:pPr>
          </w:p>
        </w:tc>
        <w:tc>
          <w:tcPr>
            <w:tcW w:w="780" w:type="dxa"/>
            <w:vAlign w:val="bottom"/>
            <w:vMerge w:val="restart"/>
          </w:tcPr>
          <w:p>
            <w:pPr>
              <w:jc w:val="right"/>
              <w:ind w:right="244"/>
              <w:spacing w:after="0" w:line="149" w:lineRule="exact"/>
              <w:rPr>
                <w:sz w:val="20"/>
                <w:szCs w:val="20"/>
                <w:color w:val="auto"/>
              </w:rPr>
            </w:pPr>
            <w:r>
              <w:rPr>
                <w:rFonts w:ascii="Arial" w:cs="Arial" w:eastAsia="Arial" w:hAnsi="Arial"/>
                <w:sz w:val="15"/>
                <w:szCs w:val="15"/>
                <w:color w:val="auto"/>
              </w:rPr>
              <w:t>Total</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3"/>
            <w:vMerge w:val="restart"/>
          </w:tcPr>
          <w:p>
            <w:pPr>
              <w:jc w:val="right"/>
              <w:ind w:right="180"/>
              <w:spacing w:after="0" w:line="149" w:lineRule="exact"/>
              <w:rPr>
                <w:sz w:val="20"/>
                <w:szCs w:val="20"/>
                <w:color w:val="auto"/>
              </w:rPr>
            </w:pPr>
            <w:r>
              <w:rPr>
                <w:rFonts w:ascii="Arial" w:cs="Arial" w:eastAsia="Arial" w:hAnsi="Arial"/>
                <w:sz w:val="15"/>
                <w:szCs w:val="15"/>
                <w:color w:val="auto"/>
                <w:w w:val="97"/>
              </w:rPr>
              <w:t>Paid in Capital</w:t>
            </w:r>
          </w:p>
        </w:tc>
        <w:tc>
          <w:tcPr>
            <w:tcW w:w="12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vMerge w:val="restart"/>
          </w:tcPr>
          <w:p>
            <w:pPr>
              <w:jc w:val="center"/>
              <w:ind w:right="240"/>
              <w:spacing w:after="0" w:line="149" w:lineRule="exact"/>
              <w:rPr>
                <w:sz w:val="20"/>
                <w:szCs w:val="20"/>
                <w:color w:val="auto"/>
              </w:rPr>
            </w:pPr>
            <w:r>
              <w:rPr>
                <w:rFonts w:ascii="Arial" w:cs="Arial" w:eastAsia="Arial" w:hAnsi="Arial"/>
                <w:sz w:val="15"/>
                <w:szCs w:val="15"/>
                <w:color w:val="auto"/>
                <w:w w:val="91"/>
              </w:rPr>
              <w:t>Comprehensive</w:t>
            </w:r>
          </w:p>
        </w:tc>
        <w:tc>
          <w:tcPr>
            <w:tcW w:w="18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1720" w:type="dxa"/>
            <w:vAlign w:val="bottom"/>
          </w:tcPr>
          <w:p>
            <w:pPr>
              <w:spacing w:after="0"/>
              <w:rPr>
                <w:sz w:val="7"/>
                <w:szCs w:val="7"/>
                <w:color w:val="auto"/>
              </w:rPr>
            </w:pPr>
          </w:p>
        </w:tc>
        <w:tc>
          <w:tcPr>
            <w:tcW w:w="1020" w:type="dxa"/>
            <w:vAlign w:val="bottom"/>
            <w:gridSpan w:val="2"/>
            <w:vMerge w:val="restart"/>
          </w:tcPr>
          <w:p>
            <w:pPr>
              <w:ind w:left="240"/>
              <w:spacing w:after="0"/>
              <w:rPr>
                <w:sz w:val="20"/>
                <w:szCs w:val="20"/>
                <w:color w:val="auto"/>
              </w:rPr>
            </w:pPr>
            <w:r>
              <w:rPr>
                <w:rFonts w:ascii="Arial" w:cs="Arial" w:eastAsia="Arial" w:hAnsi="Arial"/>
                <w:sz w:val="15"/>
                <w:szCs w:val="15"/>
                <w:color w:val="auto"/>
              </w:rPr>
              <w:t>Shares</w:t>
            </w:r>
          </w:p>
        </w:tc>
        <w:tc>
          <w:tcPr>
            <w:tcW w:w="100" w:type="dxa"/>
            <w:vAlign w:val="bottom"/>
          </w:tcPr>
          <w:p>
            <w:pPr>
              <w:spacing w:after="0"/>
              <w:rPr>
                <w:sz w:val="7"/>
                <w:szCs w:val="7"/>
                <w:color w:val="auto"/>
              </w:rPr>
            </w:pPr>
          </w:p>
        </w:tc>
        <w:tc>
          <w:tcPr>
            <w:tcW w:w="740" w:type="dxa"/>
            <w:vAlign w:val="bottom"/>
            <w:gridSpan w:val="2"/>
            <w:vMerge w:val="restart"/>
          </w:tcPr>
          <w:p>
            <w:pPr>
              <w:spacing w:after="0"/>
              <w:rPr>
                <w:sz w:val="20"/>
                <w:szCs w:val="20"/>
                <w:color w:val="auto"/>
              </w:rPr>
            </w:pPr>
            <w:r>
              <w:rPr>
                <w:rFonts w:ascii="Arial" w:cs="Arial" w:eastAsia="Arial" w:hAnsi="Arial"/>
                <w:sz w:val="15"/>
                <w:szCs w:val="15"/>
                <w:color w:val="auto"/>
              </w:rPr>
              <w:t>Amount</w:t>
            </w:r>
          </w:p>
        </w:tc>
        <w:tc>
          <w:tcPr>
            <w:tcW w:w="800" w:type="dxa"/>
            <w:vAlign w:val="bottom"/>
            <w:gridSpan w:val="2"/>
            <w:vMerge w:val="restart"/>
          </w:tcPr>
          <w:p>
            <w:pPr>
              <w:ind w:left="120"/>
              <w:spacing w:after="0"/>
              <w:rPr>
                <w:sz w:val="20"/>
                <w:szCs w:val="20"/>
                <w:color w:val="auto"/>
              </w:rPr>
            </w:pPr>
            <w:r>
              <w:rPr>
                <w:rFonts w:ascii="Arial" w:cs="Arial" w:eastAsia="Arial" w:hAnsi="Arial"/>
                <w:sz w:val="16"/>
                <w:szCs w:val="16"/>
                <w:color w:val="auto"/>
              </w:rPr>
              <w:t>Shares</w:t>
            </w:r>
          </w:p>
        </w:tc>
        <w:tc>
          <w:tcPr>
            <w:tcW w:w="100" w:type="dxa"/>
            <w:vAlign w:val="bottom"/>
          </w:tcPr>
          <w:p>
            <w:pPr>
              <w:spacing w:after="0"/>
              <w:rPr>
                <w:sz w:val="7"/>
                <w:szCs w:val="7"/>
                <w:color w:val="auto"/>
              </w:rPr>
            </w:pPr>
          </w:p>
        </w:tc>
        <w:tc>
          <w:tcPr>
            <w:tcW w:w="760" w:type="dxa"/>
            <w:vAlign w:val="bottom"/>
            <w:gridSpan w:val="2"/>
            <w:vMerge w:val="restart"/>
          </w:tcPr>
          <w:p>
            <w:pPr>
              <w:spacing w:after="0"/>
              <w:rPr>
                <w:sz w:val="20"/>
                <w:szCs w:val="20"/>
                <w:color w:val="auto"/>
              </w:rPr>
            </w:pPr>
            <w:r>
              <w:rPr>
                <w:rFonts w:ascii="Arial" w:cs="Arial" w:eastAsia="Arial" w:hAnsi="Arial"/>
                <w:sz w:val="16"/>
                <w:szCs w:val="16"/>
                <w:color w:val="auto"/>
              </w:rPr>
              <w:t>Amount</w:t>
            </w:r>
          </w:p>
        </w:tc>
        <w:tc>
          <w:tcPr>
            <w:tcW w:w="114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5"/>
                <w:szCs w:val="15"/>
                <w:color w:val="auto"/>
              </w:rPr>
              <w:t>Deficit)</w:t>
            </w:r>
          </w:p>
        </w:tc>
        <w:tc>
          <w:tcPr>
            <w:tcW w:w="12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17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5"/>
                <w:szCs w:val="15"/>
                <w:color w:val="auto"/>
                <w:w w:val="92"/>
              </w:rPr>
              <w:t>Income (Loss)</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
        </w:trPr>
        <w:tc>
          <w:tcPr>
            <w:tcW w:w="172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172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color w:val="auto"/>
              </w:rPr>
              <w:t>Balance, August 25,</w:t>
            </w:r>
          </w:p>
        </w:tc>
        <w:tc>
          <w:tcPr>
            <w:tcW w:w="8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70,605,675</w:t>
            </w:r>
          </w:p>
        </w:tc>
        <w:tc>
          <w:tcPr>
            <w:tcW w:w="14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706</w:t>
            </w:r>
          </w:p>
        </w:tc>
        <w:tc>
          <w:tcPr>
            <w:tcW w:w="14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40" w:type="dxa"/>
            <w:vAlign w:val="bottom"/>
            <w:vMerge w:val="restart"/>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vMerge w:val="restart"/>
            <w:shd w:val="clear" w:color="auto" w:fill="CCEEFF"/>
          </w:tcPr>
          <w:p>
            <w:pPr>
              <w:ind w:left="400"/>
              <w:spacing w:after="0"/>
              <w:rPr>
                <w:sz w:val="20"/>
                <w:szCs w:val="20"/>
                <w:color w:val="auto"/>
              </w:rPr>
            </w:pPr>
            <w:r>
              <w:rPr>
                <w:rFonts w:ascii="Arial" w:cs="Arial" w:eastAsia="Arial" w:hAnsi="Arial"/>
                <w:sz w:val="15"/>
                <w:szCs w:val="15"/>
                <w:color w:val="auto"/>
              </w:rPr>
              <w:t>—</w:t>
            </w:r>
          </w:p>
        </w:tc>
        <w:tc>
          <w:tcPr>
            <w:tcW w:w="140" w:type="dxa"/>
            <w:vAlign w:val="bottom"/>
            <w:vMerge w:val="restart"/>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596,364</w:t>
            </w:r>
          </w:p>
        </w:tc>
        <w:tc>
          <w:tcPr>
            <w:tcW w:w="14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24,523</w:t>
            </w:r>
          </w:p>
        </w:tc>
        <w:tc>
          <w:tcPr>
            <w:tcW w:w="14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(798)</w:t>
            </w:r>
          </w:p>
        </w:tc>
        <w:tc>
          <w:tcPr>
            <w:tcW w:w="12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7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620,795</w:t>
            </w:r>
          </w:p>
        </w:tc>
        <w:tc>
          <w:tcPr>
            <w:tcW w:w="0" w:type="dxa"/>
            <w:vAlign w:val="bottom"/>
          </w:tcPr>
          <w:p>
            <w:pPr>
              <w:spacing w:after="0"/>
              <w:rPr>
                <w:sz w:val="1"/>
                <w:szCs w:val="1"/>
                <w:color w:val="auto"/>
              </w:rPr>
            </w:pPr>
          </w:p>
        </w:tc>
      </w:tr>
      <w:tr>
        <w:trPr>
          <w:trHeight w:val="195"/>
        </w:trPr>
        <w:tc>
          <w:tcPr>
            <w:tcW w:w="1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2018</w:t>
            </w: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14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620" w:type="dxa"/>
            <w:vAlign w:val="bottom"/>
            <w:tcBorders>
              <w:bottom w:val="single" w:sz="8" w:color="auto"/>
            </w:tcBorders>
            <w:vMerge w:val="continue"/>
            <w:shd w:val="clear" w:color="auto" w:fill="CCEEFF"/>
          </w:tcPr>
          <w:p>
            <w:pPr>
              <w:spacing w:after="0"/>
              <w:rPr>
                <w:sz w:val="16"/>
                <w:szCs w:val="16"/>
                <w:color w:val="auto"/>
              </w:rPr>
            </w:pPr>
          </w:p>
        </w:tc>
        <w:tc>
          <w:tcPr>
            <w:tcW w:w="140" w:type="dxa"/>
            <w:vAlign w:val="bottom"/>
            <w:tcBorders>
              <w:bottom w:val="single" w:sz="8" w:color="CCEEFF"/>
            </w:tcBorders>
            <w:vMerge w:val="continue"/>
            <w:shd w:val="clear" w:color="auto" w:fill="CCEEFF"/>
          </w:tcPr>
          <w:p>
            <w:pPr>
              <w:spacing w:after="0"/>
              <w:rPr>
                <w:sz w:val="16"/>
                <w:szCs w:val="16"/>
                <w:color w:val="auto"/>
              </w:rPr>
            </w:pPr>
          </w:p>
        </w:tc>
        <w:tc>
          <w:tcPr>
            <w:tcW w:w="140" w:type="dxa"/>
            <w:vAlign w:val="bottom"/>
            <w:tcBorders>
              <w:bottom w:val="single" w:sz="8" w:color="auto"/>
            </w:tcBorders>
            <w:vMerge w:val="continue"/>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11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vMerge w:val="continue"/>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720" w:type="dxa"/>
            <w:vAlign w:val="bottom"/>
          </w:tcPr>
          <w:p>
            <w:pPr>
              <w:ind w:left="140"/>
              <w:spacing w:after="0"/>
              <w:rPr>
                <w:sz w:val="20"/>
                <w:szCs w:val="20"/>
                <w:color w:val="auto"/>
              </w:rPr>
            </w:pPr>
            <w:r>
              <w:rPr>
                <w:rFonts w:ascii="Arial" w:cs="Arial" w:eastAsia="Arial" w:hAnsi="Arial"/>
                <w:sz w:val="15"/>
                <w:szCs w:val="15"/>
                <w:color w:val="auto"/>
              </w:rPr>
              <w:t>Net income</w:t>
            </w: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760" w:type="dxa"/>
            <w:vAlign w:val="bottom"/>
            <w:gridSpan w:val="2"/>
          </w:tcPr>
          <w:p>
            <w:pPr>
              <w:ind w:left="4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(25,234)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ind w:left="8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(25,234)</w:t>
            </w:r>
          </w:p>
        </w:tc>
        <w:tc>
          <w:tcPr>
            <w:tcW w:w="0" w:type="dxa"/>
            <w:vAlign w:val="bottom"/>
          </w:tcPr>
          <w:p>
            <w:pPr>
              <w:spacing w:after="0"/>
              <w:rPr>
                <w:sz w:val="1"/>
                <w:szCs w:val="1"/>
                <w:color w:val="auto"/>
              </w:rPr>
            </w:pPr>
          </w:p>
        </w:tc>
      </w:tr>
      <w:tr>
        <w:trPr>
          <w:trHeight w:val="153"/>
        </w:trPr>
        <w:tc>
          <w:tcPr>
            <w:tcW w:w="1720" w:type="dxa"/>
            <w:vAlign w:val="bottom"/>
            <w:shd w:val="clear" w:color="auto" w:fill="CCEEFF"/>
          </w:tcPr>
          <w:p>
            <w:pPr>
              <w:ind w:left="140"/>
              <w:spacing w:after="0" w:line="153" w:lineRule="exact"/>
              <w:rPr>
                <w:sz w:val="20"/>
                <w:szCs w:val="20"/>
                <w:color w:val="auto"/>
              </w:rPr>
            </w:pPr>
            <w:r>
              <w:rPr>
                <w:rFonts w:ascii="Arial" w:cs="Arial" w:eastAsia="Arial" w:hAnsi="Arial"/>
                <w:sz w:val="15"/>
                <w:szCs w:val="15"/>
                <w:color w:val="auto"/>
              </w:rPr>
              <w:t>Stock-based</w:t>
            </w: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ind w:left="4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5,501</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ind w:left="8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5,501</w:t>
            </w:r>
          </w:p>
        </w:tc>
        <w:tc>
          <w:tcPr>
            <w:tcW w:w="0" w:type="dxa"/>
            <w:vAlign w:val="bottom"/>
          </w:tcPr>
          <w:p>
            <w:pPr>
              <w:spacing w:after="0"/>
              <w:rPr>
                <w:sz w:val="1"/>
                <w:szCs w:val="1"/>
                <w:color w:val="auto"/>
              </w:rPr>
            </w:pPr>
          </w:p>
        </w:tc>
      </w:tr>
      <w:tr>
        <w:trPr>
          <w:trHeight w:val="202"/>
        </w:trPr>
        <w:tc>
          <w:tcPr>
            <w:tcW w:w="17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compensation</w:t>
            </w:r>
          </w:p>
        </w:tc>
        <w:tc>
          <w:tcPr>
            <w:tcW w:w="10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720" w:type="dxa"/>
            <w:vAlign w:val="bottom"/>
          </w:tcPr>
          <w:p>
            <w:pPr>
              <w:ind w:left="140"/>
              <w:spacing w:after="0" w:line="149" w:lineRule="exact"/>
              <w:rPr>
                <w:sz w:val="20"/>
                <w:szCs w:val="20"/>
                <w:color w:val="auto"/>
              </w:rPr>
            </w:pPr>
            <w:r>
              <w:rPr>
                <w:rFonts w:ascii="Arial" w:cs="Arial" w:eastAsia="Arial" w:hAnsi="Arial"/>
                <w:sz w:val="15"/>
                <w:szCs w:val="15"/>
                <w:color w:val="auto"/>
              </w:rPr>
              <w:t>Foreign currency</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20" w:type="dxa"/>
            <w:vAlign w:val="bottom"/>
          </w:tcPr>
          <w:p>
            <w:pPr>
              <w:ind w:left="140"/>
              <w:spacing w:after="0" w:line="149" w:lineRule="exact"/>
              <w:rPr>
                <w:sz w:val="20"/>
                <w:szCs w:val="20"/>
                <w:color w:val="auto"/>
              </w:rPr>
            </w:pPr>
            <w:r>
              <w:rPr>
                <w:rFonts w:ascii="Arial" w:cs="Arial" w:eastAsia="Arial" w:hAnsi="Arial"/>
                <w:sz w:val="15"/>
                <w:szCs w:val="15"/>
                <w:color w:val="auto"/>
              </w:rPr>
              <w:t>translation</w:t>
            </w: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2"/>
                <w:szCs w:val="12"/>
                <w:color w:val="auto"/>
              </w:rPr>
            </w:pP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2"/>
                <w:szCs w:val="12"/>
                <w:color w:val="auto"/>
              </w:rPr>
            </w:pPr>
          </w:p>
        </w:tc>
        <w:tc>
          <w:tcPr>
            <w:tcW w:w="760" w:type="dxa"/>
            <w:vAlign w:val="bottom"/>
            <w:gridSpan w:val="2"/>
            <w:vMerge w:val="restart"/>
          </w:tcPr>
          <w:p>
            <w:pPr>
              <w:ind w:left="4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2"/>
                <w:szCs w:val="12"/>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122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(38)</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rPr>
              <w:t>(38)</w:t>
            </w:r>
          </w:p>
        </w:tc>
        <w:tc>
          <w:tcPr>
            <w:tcW w:w="0" w:type="dxa"/>
            <w:vAlign w:val="bottom"/>
          </w:tcPr>
          <w:p>
            <w:pPr>
              <w:spacing w:after="0"/>
              <w:rPr>
                <w:sz w:val="1"/>
                <w:szCs w:val="1"/>
                <w:color w:val="auto"/>
              </w:rPr>
            </w:pPr>
          </w:p>
        </w:tc>
      </w:tr>
      <w:tr>
        <w:trPr>
          <w:trHeight w:val="198"/>
        </w:trPr>
        <w:tc>
          <w:tcPr>
            <w:tcW w:w="1720" w:type="dxa"/>
            <w:vAlign w:val="bottom"/>
          </w:tcPr>
          <w:p>
            <w:pPr>
              <w:ind w:left="140"/>
              <w:spacing w:after="0"/>
              <w:rPr>
                <w:sz w:val="20"/>
                <w:szCs w:val="20"/>
                <w:color w:val="auto"/>
              </w:rPr>
            </w:pPr>
            <w:r>
              <w:rPr>
                <w:rFonts w:ascii="Arial" w:cs="Arial" w:eastAsia="Arial" w:hAnsi="Arial"/>
                <w:sz w:val="15"/>
                <w:szCs w:val="15"/>
                <w:color w:val="auto"/>
              </w:rPr>
              <w:t>adjustments</w:t>
            </w:r>
          </w:p>
        </w:tc>
        <w:tc>
          <w:tcPr>
            <w:tcW w:w="10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720" w:type="dxa"/>
            <w:vAlign w:val="bottom"/>
            <w:shd w:val="clear" w:color="auto" w:fill="CCEEFF"/>
          </w:tcPr>
          <w:p>
            <w:pPr>
              <w:ind w:left="140"/>
              <w:spacing w:after="0" w:line="153" w:lineRule="exact"/>
              <w:rPr>
                <w:sz w:val="20"/>
                <w:szCs w:val="20"/>
                <w:color w:val="auto"/>
              </w:rPr>
            </w:pPr>
            <w:r>
              <w:rPr>
                <w:rFonts w:ascii="Arial" w:cs="Arial" w:eastAsia="Arial" w:hAnsi="Arial"/>
                <w:sz w:val="15"/>
                <w:szCs w:val="15"/>
                <w:color w:val="auto"/>
              </w:rPr>
              <w:t>Repurchase of</w:t>
            </w: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66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98,234</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ind w:left="140"/>
              <w:spacing w:after="0"/>
              <w:rPr>
                <w:sz w:val="20"/>
                <w:szCs w:val="20"/>
                <w:color w:val="auto"/>
              </w:rPr>
            </w:pPr>
            <w:r>
              <w:rPr>
                <w:rFonts w:ascii="Arial" w:cs="Arial" w:eastAsia="Arial" w:hAnsi="Arial"/>
                <w:sz w:val="15"/>
                <w:szCs w:val="15"/>
                <w:color w:val="auto"/>
                <w:w w:val="96"/>
              </w:rPr>
              <w:t>(2,145)</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12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ind w:left="8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(2,145)</w:t>
            </w:r>
          </w:p>
        </w:tc>
        <w:tc>
          <w:tcPr>
            <w:tcW w:w="0" w:type="dxa"/>
            <w:vAlign w:val="bottom"/>
          </w:tcPr>
          <w:p>
            <w:pPr>
              <w:spacing w:after="0"/>
              <w:rPr>
                <w:sz w:val="1"/>
                <w:szCs w:val="1"/>
                <w:color w:val="auto"/>
              </w:rPr>
            </w:pPr>
          </w:p>
        </w:tc>
      </w:tr>
      <w:tr>
        <w:trPr>
          <w:trHeight w:val="202"/>
        </w:trPr>
        <w:tc>
          <w:tcPr>
            <w:tcW w:w="17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common stock</w:t>
            </w:r>
          </w:p>
        </w:tc>
        <w:tc>
          <w:tcPr>
            <w:tcW w:w="10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720" w:type="dxa"/>
            <w:vAlign w:val="bottom"/>
          </w:tcPr>
          <w:p>
            <w:pPr>
              <w:ind w:left="140"/>
              <w:spacing w:after="0" w:line="149" w:lineRule="exact"/>
              <w:rPr>
                <w:sz w:val="20"/>
                <w:szCs w:val="20"/>
                <w:color w:val="auto"/>
              </w:rPr>
            </w:pPr>
            <w:r>
              <w:rPr>
                <w:rFonts w:ascii="Arial" w:cs="Arial" w:eastAsia="Arial" w:hAnsi="Arial"/>
                <w:sz w:val="15"/>
                <w:szCs w:val="15"/>
                <w:color w:val="auto"/>
              </w:rPr>
              <w:t>Shares issued upon</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20" w:type="dxa"/>
            <w:vAlign w:val="bottom"/>
          </w:tcPr>
          <w:p>
            <w:pPr>
              <w:ind w:left="140"/>
              <w:spacing w:after="0" w:line="149" w:lineRule="exact"/>
              <w:rPr>
                <w:sz w:val="20"/>
                <w:szCs w:val="20"/>
                <w:color w:val="auto"/>
              </w:rPr>
            </w:pPr>
            <w:r>
              <w:rPr>
                <w:rFonts w:ascii="Arial" w:cs="Arial" w:eastAsia="Arial" w:hAnsi="Arial"/>
                <w:sz w:val="15"/>
                <w:szCs w:val="15"/>
                <w:color w:val="auto"/>
              </w:rPr>
              <w:t>vesting of restricted</w:t>
            </w:r>
          </w:p>
        </w:tc>
        <w:tc>
          <w:tcPr>
            <w:tcW w:w="880" w:type="dxa"/>
            <w:vAlign w:val="bottom"/>
            <w:vMerge w:val="restart"/>
          </w:tcPr>
          <w:p>
            <w:pPr>
              <w:jc w:val="right"/>
              <w:ind w:right="4"/>
              <w:spacing w:after="0"/>
              <w:rPr>
                <w:sz w:val="20"/>
                <w:szCs w:val="20"/>
                <w:color w:val="auto"/>
              </w:rPr>
            </w:pPr>
            <w:r>
              <w:rPr>
                <w:rFonts w:ascii="Arial" w:cs="Arial" w:eastAsia="Arial" w:hAnsi="Arial"/>
                <w:sz w:val="15"/>
                <w:szCs w:val="15"/>
                <w:color w:val="auto"/>
              </w:rPr>
              <w:t>80,293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ind w:right="4"/>
              <w:spacing w:after="0"/>
              <w:rPr>
                <w:sz w:val="20"/>
                <w:szCs w:val="20"/>
                <w:color w:val="auto"/>
              </w:rPr>
            </w:pPr>
            <w:r>
              <w:rPr>
                <w:rFonts w:ascii="Arial" w:cs="Arial" w:eastAsia="Arial" w:hAnsi="Arial"/>
                <w:sz w:val="15"/>
                <w:szCs w:val="15"/>
                <w:color w:val="auto"/>
              </w:rPr>
              <w:t>1</w:t>
            </w:r>
          </w:p>
        </w:tc>
        <w:tc>
          <w:tcPr>
            <w:tcW w:w="14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2"/>
                <w:szCs w:val="12"/>
                <w:color w:val="auto"/>
              </w:rPr>
            </w:pPr>
          </w:p>
        </w:tc>
        <w:tc>
          <w:tcPr>
            <w:tcW w:w="760" w:type="dxa"/>
            <w:vAlign w:val="bottom"/>
            <w:gridSpan w:val="2"/>
            <w:vMerge w:val="restart"/>
          </w:tcPr>
          <w:p>
            <w:pPr>
              <w:ind w:left="4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(182)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1240" w:type="dxa"/>
            <w:vAlign w:val="bottom"/>
            <w:gridSpan w:val="2"/>
            <w:vMerge w:val="restart"/>
          </w:tcPr>
          <w:p>
            <w:pPr>
              <w:ind w:left="8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rPr>
              <w:t>(181)</w:t>
            </w:r>
          </w:p>
        </w:tc>
        <w:tc>
          <w:tcPr>
            <w:tcW w:w="0" w:type="dxa"/>
            <w:vAlign w:val="bottom"/>
          </w:tcPr>
          <w:p>
            <w:pPr>
              <w:spacing w:after="0"/>
              <w:rPr>
                <w:sz w:val="1"/>
                <w:szCs w:val="1"/>
                <w:color w:val="auto"/>
              </w:rPr>
            </w:pPr>
          </w:p>
        </w:tc>
      </w:tr>
      <w:tr>
        <w:trPr>
          <w:trHeight w:val="198"/>
        </w:trPr>
        <w:tc>
          <w:tcPr>
            <w:tcW w:w="1720" w:type="dxa"/>
            <w:vAlign w:val="bottom"/>
          </w:tcPr>
          <w:p>
            <w:pPr>
              <w:ind w:left="140"/>
              <w:spacing w:after="0"/>
              <w:rPr>
                <w:sz w:val="20"/>
                <w:szCs w:val="20"/>
                <w:color w:val="auto"/>
              </w:rPr>
            </w:pPr>
            <w:r>
              <w:rPr>
                <w:rFonts w:ascii="Arial" w:cs="Arial" w:eastAsia="Arial" w:hAnsi="Arial"/>
                <w:sz w:val="15"/>
                <w:szCs w:val="15"/>
                <w:color w:val="auto"/>
              </w:rPr>
              <w:t>stock units</w:t>
            </w:r>
          </w:p>
        </w:tc>
        <w:tc>
          <w:tcPr>
            <w:tcW w:w="8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720" w:type="dxa"/>
            <w:vAlign w:val="bottom"/>
            <w:shd w:val="clear" w:color="auto" w:fill="CCEEFF"/>
          </w:tcPr>
          <w:p>
            <w:pPr>
              <w:ind w:left="140"/>
              <w:spacing w:after="0" w:line="153" w:lineRule="exact"/>
              <w:rPr>
                <w:sz w:val="20"/>
                <w:szCs w:val="20"/>
                <w:color w:val="auto"/>
              </w:rPr>
            </w:pPr>
            <w:r>
              <w:rPr>
                <w:rFonts w:ascii="Arial" w:cs="Arial" w:eastAsia="Arial" w:hAnsi="Arial"/>
                <w:sz w:val="15"/>
                <w:szCs w:val="15"/>
                <w:color w:val="auto"/>
              </w:rPr>
              <w:t>Exercise of options to</w:t>
            </w:r>
          </w:p>
        </w:tc>
        <w:tc>
          <w:tcPr>
            <w:tcW w:w="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20" w:type="dxa"/>
            <w:vAlign w:val="bottom"/>
            <w:shd w:val="clear" w:color="auto" w:fill="CCEEFF"/>
          </w:tcPr>
          <w:p>
            <w:pPr>
              <w:ind w:left="140"/>
              <w:spacing w:after="0" w:line="149" w:lineRule="exact"/>
              <w:rPr>
                <w:sz w:val="20"/>
                <w:szCs w:val="20"/>
                <w:color w:val="auto"/>
              </w:rPr>
            </w:pPr>
            <w:r>
              <w:rPr>
                <w:rFonts w:ascii="Arial" w:cs="Arial" w:eastAsia="Arial" w:hAnsi="Arial"/>
                <w:sz w:val="15"/>
                <w:szCs w:val="15"/>
                <w:color w:val="auto"/>
              </w:rPr>
              <w:t>purchase common</w:t>
            </w:r>
          </w:p>
        </w:tc>
        <w:tc>
          <w:tcPr>
            <w:tcW w:w="8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87,017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1</w:t>
            </w: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ind w:left="4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705</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2"/>
                <w:szCs w:val="12"/>
                <w:color w:val="auto"/>
              </w:rPr>
            </w:pPr>
          </w:p>
        </w:tc>
        <w:tc>
          <w:tcPr>
            <w:tcW w:w="1240" w:type="dxa"/>
            <w:vAlign w:val="bottom"/>
            <w:gridSpan w:val="2"/>
            <w:vMerge w:val="restart"/>
            <w:shd w:val="clear" w:color="auto" w:fill="CCEEFF"/>
          </w:tcPr>
          <w:p>
            <w:pPr>
              <w:ind w:left="8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706</w:t>
            </w:r>
          </w:p>
        </w:tc>
        <w:tc>
          <w:tcPr>
            <w:tcW w:w="0" w:type="dxa"/>
            <w:vAlign w:val="bottom"/>
          </w:tcPr>
          <w:p>
            <w:pPr>
              <w:spacing w:after="0"/>
              <w:rPr>
                <w:sz w:val="1"/>
                <w:szCs w:val="1"/>
                <w:color w:val="auto"/>
              </w:rPr>
            </w:pPr>
          </w:p>
        </w:tc>
      </w:tr>
      <w:tr>
        <w:trPr>
          <w:trHeight w:val="202"/>
        </w:trPr>
        <w:tc>
          <w:tcPr>
            <w:tcW w:w="17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stock</w:t>
            </w:r>
          </w:p>
        </w:tc>
        <w:tc>
          <w:tcPr>
            <w:tcW w:w="8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1720" w:type="dxa"/>
            <w:vAlign w:val="bottom"/>
          </w:tcPr>
          <w:p>
            <w:pPr>
              <w:ind w:left="140"/>
              <w:spacing w:after="0"/>
              <w:rPr>
                <w:sz w:val="20"/>
                <w:szCs w:val="20"/>
                <w:color w:val="auto"/>
              </w:rPr>
            </w:pPr>
            <w:r>
              <w:rPr>
                <w:rFonts w:ascii="Arial" w:cs="Arial" w:eastAsia="Arial" w:hAnsi="Arial"/>
                <w:sz w:val="15"/>
                <w:szCs w:val="15"/>
                <w:color w:val="auto"/>
              </w:rPr>
              <w:t>Warrant conversion</w:t>
            </w:r>
          </w:p>
        </w:tc>
        <w:tc>
          <w:tcPr>
            <w:tcW w:w="880" w:type="dxa"/>
            <w:vAlign w:val="bottom"/>
          </w:tcPr>
          <w:p>
            <w:pPr>
              <w:jc w:val="right"/>
              <w:ind w:right="4"/>
              <w:spacing w:after="0"/>
              <w:rPr>
                <w:sz w:val="20"/>
                <w:szCs w:val="20"/>
                <w:color w:val="auto"/>
              </w:rPr>
            </w:pPr>
            <w:r>
              <w:rPr>
                <w:rFonts w:ascii="Arial" w:cs="Arial" w:eastAsia="Arial" w:hAnsi="Arial"/>
                <w:sz w:val="15"/>
                <w:szCs w:val="15"/>
                <w:color w:val="auto"/>
              </w:rPr>
              <w:t>11,200,299</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ind w:right="4"/>
              <w:spacing w:after="0"/>
              <w:rPr>
                <w:sz w:val="20"/>
                <w:szCs w:val="20"/>
                <w:color w:val="auto"/>
              </w:rPr>
            </w:pPr>
            <w:r>
              <w:rPr>
                <w:rFonts w:ascii="Arial" w:cs="Arial" w:eastAsia="Arial" w:hAnsi="Arial"/>
                <w:sz w:val="15"/>
                <w:szCs w:val="15"/>
                <w:color w:val="auto"/>
              </w:rPr>
              <w:t>112</w:t>
            </w:r>
          </w:p>
        </w:tc>
        <w:tc>
          <w:tcPr>
            <w:tcW w:w="14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1"/>
                <w:szCs w:val="21"/>
                <w:color w:val="auto"/>
              </w:rPr>
            </w:pPr>
          </w:p>
        </w:tc>
        <w:tc>
          <w:tcPr>
            <w:tcW w:w="760" w:type="dxa"/>
            <w:vAlign w:val="bottom"/>
            <w:gridSpan w:val="2"/>
          </w:tcPr>
          <w:p>
            <w:pPr>
              <w:ind w:left="4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1"/>
                <w:szCs w:val="21"/>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113,352</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1"/>
                <w:szCs w:val="21"/>
                <w:color w:val="auto"/>
              </w:rPr>
            </w:pPr>
          </w:p>
        </w:tc>
        <w:tc>
          <w:tcPr>
            <w:tcW w:w="1240" w:type="dxa"/>
            <w:vAlign w:val="bottom"/>
            <w:gridSpan w:val="2"/>
          </w:tcPr>
          <w:p>
            <w:pPr>
              <w:ind w:left="8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1"/>
                <w:szCs w:val="21"/>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113,464</w:t>
            </w:r>
          </w:p>
        </w:tc>
        <w:tc>
          <w:tcPr>
            <w:tcW w:w="0" w:type="dxa"/>
            <w:vAlign w:val="bottom"/>
          </w:tcPr>
          <w:p>
            <w:pPr>
              <w:spacing w:after="0"/>
              <w:rPr>
                <w:sz w:val="1"/>
                <w:szCs w:val="1"/>
                <w:color w:val="auto"/>
              </w:rPr>
            </w:pPr>
          </w:p>
        </w:tc>
      </w:tr>
      <w:tr>
        <w:trPr>
          <w:trHeight w:val="133"/>
        </w:trPr>
        <w:tc>
          <w:tcPr>
            <w:tcW w:w="1720" w:type="dxa"/>
            <w:vAlign w:val="bottom"/>
            <w:tcBorders>
              <w:top w:val="single" w:sz="8" w:color="CCEEFF"/>
            </w:tcBorders>
            <w:shd w:val="clear" w:color="auto" w:fill="CCEEFF"/>
          </w:tcPr>
          <w:p>
            <w:pPr>
              <w:ind w:left="20"/>
              <w:spacing w:after="0" w:line="133" w:lineRule="exact"/>
              <w:rPr>
                <w:sz w:val="20"/>
                <w:szCs w:val="20"/>
                <w:color w:val="auto"/>
              </w:rPr>
            </w:pPr>
            <w:r>
              <w:rPr>
                <w:rFonts w:ascii="Arial" w:cs="Arial" w:eastAsia="Arial" w:hAnsi="Arial"/>
                <w:sz w:val="15"/>
                <w:szCs w:val="15"/>
                <w:color w:val="auto"/>
              </w:rPr>
              <w:t>Balance, August 31,</w:t>
            </w:r>
          </w:p>
        </w:tc>
        <w:tc>
          <w:tcPr>
            <w:tcW w:w="880" w:type="dxa"/>
            <w:vAlign w:val="bottom"/>
            <w:tcBorders>
              <w:top w:val="single" w:sz="8" w:color="auto"/>
            </w:tcBorders>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81,973,284</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tcBorders>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820</w:t>
            </w:r>
          </w:p>
        </w:tc>
        <w:tc>
          <w:tcPr>
            <w:tcW w:w="1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98,234</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Borders>
              <w:top w:val="single" w:sz="8" w:color="auto"/>
            </w:tcBorders>
            <w:vMerge w:val="restart"/>
            <w:shd w:val="clear" w:color="auto" w:fill="CCEEFF"/>
          </w:tcPr>
          <w:p>
            <w:pPr>
              <w:ind w:left="140"/>
              <w:spacing w:after="0"/>
              <w:rPr>
                <w:sz w:val="20"/>
                <w:szCs w:val="20"/>
                <w:color w:val="auto"/>
              </w:rPr>
            </w:pPr>
            <w:r>
              <w:rPr>
                <w:rFonts w:ascii="Arial" w:cs="Arial" w:eastAsia="Arial" w:hAnsi="Arial"/>
                <w:sz w:val="15"/>
                <w:szCs w:val="15"/>
                <w:color w:val="auto"/>
                <w:w w:val="96"/>
              </w:rPr>
              <w:t>(2,145)</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tcBorders>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715,740</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(711)</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(836)</w:t>
            </w: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vMerge w:val="restart"/>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780" w:type="dxa"/>
            <w:vAlign w:val="bottom"/>
            <w:tcBorders>
              <w:top w:val="single" w:sz="8" w:color="auto"/>
            </w:tcBorders>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712,868</w:t>
            </w:r>
          </w:p>
        </w:tc>
        <w:tc>
          <w:tcPr>
            <w:tcW w:w="0" w:type="dxa"/>
            <w:vAlign w:val="bottom"/>
          </w:tcPr>
          <w:p>
            <w:pPr>
              <w:spacing w:after="0"/>
              <w:rPr>
                <w:sz w:val="1"/>
                <w:szCs w:val="1"/>
                <w:color w:val="auto"/>
              </w:rPr>
            </w:pPr>
          </w:p>
        </w:tc>
      </w:tr>
      <w:tr>
        <w:trPr>
          <w:trHeight w:val="195"/>
        </w:trPr>
        <w:tc>
          <w:tcPr>
            <w:tcW w:w="1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2019</w:t>
            </w: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620" w:type="dxa"/>
            <w:vAlign w:val="bottom"/>
            <w:tcBorders>
              <w:bottom w:val="single" w:sz="8" w:color="auto"/>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vMerge w:val="continue"/>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11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vMerge w:val="continue"/>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720" w:type="dxa"/>
            <w:vAlign w:val="bottom"/>
          </w:tcPr>
          <w:p>
            <w:pPr>
              <w:ind w:left="140"/>
              <w:spacing w:after="0"/>
              <w:rPr>
                <w:sz w:val="20"/>
                <w:szCs w:val="20"/>
                <w:color w:val="auto"/>
              </w:rPr>
            </w:pPr>
            <w:r>
              <w:rPr>
                <w:rFonts w:ascii="Arial" w:cs="Arial" w:eastAsia="Arial" w:hAnsi="Arial"/>
                <w:sz w:val="15"/>
                <w:szCs w:val="15"/>
                <w:color w:val="auto"/>
              </w:rPr>
              <w:t>Net loss</w:t>
            </w: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760" w:type="dxa"/>
            <w:vAlign w:val="bottom"/>
            <w:gridSpan w:val="2"/>
          </w:tcPr>
          <w:p>
            <w:pPr>
              <w:ind w:left="4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65,638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ind w:left="8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65,638</w:t>
            </w:r>
          </w:p>
        </w:tc>
        <w:tc>
          <w:tcPr>
            <w:tcW w:w="0" w:type="dxa"/>
            <w:vAlign w:val="bottom"/>
          </w:tcPr>
          <w:p>
            <w:pPr>
              <w:spacing w:after="0"/>
              <w:rPr>
                <w:sz w:val="1"/>
                <w:szCs w:val="1"/>
                <w:color w:val="auto"/>
              </w:rPr>
            </w:pPr>
          </w:p>
        </w:tc>
      </w:tr>
      <w:tr>
        <w:trPr>
          <w:trHeight w:val="153"/>
        </w:trPr>
        <w:tc>
          <w:tcPr>
            <w:tcW w:w="1720" w:type="dxa"/>
            <w:vAlign w:val="bottom"/>
            <w:shd w:val="clear" w:color="auto" w:fill="CCEEFF"/>
          </w:tcPr>
          <w:p>
            <w:pPr>
              <w:ind w:left="140"/>
              <w:spacing w:after="0" w:line="153" w:lineRule="exact"/>
              <w:rPr>
                <w:sz w:val="20"/>
                <w:szCs w:val="20"/>
                <w:color w:val="auto"/>
              </w:rPr>
            </w:pPr>
            <w:r>
              <w:rPr>
                <w:rFonts w:ascii="Arial" w:cs="Arial" w:eastAsia="Arial" w:hAnsi="Arial"/>
                <w:sz w:val="15"/>
                <w:szCs w:val="15"/>
                <w:color w:val="auto"/>
              </w:rPr>
              <w:t>Stock-based</w:t>
            </w: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ind w:left="4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7,636</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ind w:left="8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7,636</w:t>
            </w:r>
          </w:p>
        </w:tc>
        <w:tc>
          <w:tcPr>
            <w:tcW w:w="0" w:type="dxa"/>
            <w:vAlign w:val="bottom"/>
          </w:tcPr>
          <w:p>
            <w:pPr>
              <w:spacing w:after="0"/>
              <w:rPr>
                <w:sz w:val="1"/>
                <w:szCs w:val="1"/>
                <w:color w:val="auto"/>
              </w:rPr>
            </w:pPr>
          </w:p>
        </w:tc>
      </w:tr>
      <w:tr>
        <w:trPr>
          <w:trHeight w:val="202"/>
        </w:trPr>
        <w:tc>
          <w:tcPr>
            <w:tcW w:w="17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compensation</w:t>
            </w:r>
          </w:p>
        </w:tc>
        <w:tc>
          <w:tcPr>
            <w:tcW w:w="10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720" w:type="dxa"/>
            <w:vAlign w:val="bottom"/>
          </w:tcPr>
          <w:p>
            <w:pPr>
              <w:ind w:left="140"/>
              <w:spacing w:after="0" w:line="149" w:lineRule="exact"/>
              <w:rPr>
                <w:sz w:val="20"/>
                <w:szCs w:val="20"/>
                <w:color w:val="auto"/>
              </w:rPr>
            </w:pPr>
            <w:r>
              <w:rPr>
                <w:rFonts w:ascii="Arial" w:cs="Arial" w:eastAsia="Arial" w:hAnsi="Arial"/>
                <w:sz w:val="15"/>
                <w:szCs w:val="15"/>
                <w:color w:val="auto"/>
              </w:rPr>
              <w:t>Foreign currency</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20" w:type="dxa"/>
            <w:vAlign w:val="bottom"/>
          </w:tcPr>
          <w:p>
            <w:pPr>
              <w:ind w:left="140"/>
              <w:spacing w:after="0" w:line="149" w:lineRule="exact"/>
              <w:rPr>
                <w:sz w:val="20"/>
                <w:szCs w:val="20"/>
                <w:color w:val="auto"/>
              </w:rPr>
            </w:pPr>
            <w:r>
              <w:rPr>
                <w:rFonts w:ascii="Arial" w:cs="Arial" w:eastAsia="Arial" w:hAnsi="Arial"/>
                <w:sz w:val="15"/>
                <w:szCs w:val="15"/>
                <w:color w:val="auto"/>
              </w:rPr>
              <w:t>translation</w:t>
            </w: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2"/>
                <w:szCs w:val="12"/>
                <w:color w:val="auto"/>
              </w:rPr>
            </w:pP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2"/>
                <w:szCs w:val="12"/>
                <w:color w:val="auto"/>
              </w:rPr>
            </w:pPr>
          </w:p>
        </w:tc>
        <w:tc>
          <w:tcPr>
            <w:tcW w:w="760" w:type="dxa"/>
            <w:vAlign w:val="bottom"/>
            <w:gridSpan w:val="2"/>
            <w:vMerge w:val="restart"/>
          </w:tcPr>
          <w:p>
            <w:pPr>
              <w:ind w:left="4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2"/>
                <w:szCs w:val="12"/>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122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(43)</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rPr>
              <w:t>(43)</w:t>
            </w:r>
          </w:p>
        </w:tc>
        <w:tc>
          <w:tcPr>
            <w:tcW w:w="0" w:type="dxa"/>
            <w:vAlign w:val="bottom"/>
          </w:tcPr>
          <w:p>
            <w:pPr>
              <w:spacing w:after="0"/>
              <w:rPr>
                <w:sz w:val="1"/>
                <w:szCs w:val="1"/>
                <w:color w:val="auto"/>
              </w:rPr>
            </w:pPr>
          </w:p>
        </w:tc>
      </w:tr>
      <w:tr>
        <w:trPr>
          <w:trHeight w:val="198"/>
        </w:trPr>
        <w:tc>
          <w:tcPr>
            <w:tcW w:w="1720" w:type="dxa"/>
            <w:vAlign w:val="bottom"/>
          </w:tcPr>
          <w:p>
            <w:pPr>
              <w:ind w:left="140"/>
              <w:spacing w:after="0"/>
              <w:rPr>
                <w:sz w:val="20"/>
                <w:szCs w:val="20"/>
                <w:color w:val="auto"/>
              </w:rPr>
            </w:pPr>
            <w:r>
              <w:rPr>
                <w:rFonts w:ascii="Arial" w:cs="Arial" w:eastAsia="Arial" w:hAnsi="Arial"/>
                <w:sz w:val="15"/>
                <w:szCs w:val="15"/>
                <w:color w:val="auto"/>
              </w:rPr>
              <w:t>adjustments</w:t>
            </w:r>
          </w:p>
        </w:tc>
        <w:tc>
          <w:tcPr>
            <w:tcW w:w="10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17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Public equity offering</w:t>
            </w: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13,379,205</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134</w:t>
            </w:r>
          </w:p>
        </w:tc>
        <w:tc>
          <w:tcPr>
            <w:tcW w:w="14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349,085</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349,219</w:t>
            </w:r>
          </w:p>
        </w:tc>
        <w:tc>
          <w:tcPr>
            <w:tcW w:w="0" w:type="dxa"/>
            <w:vAlign w:val="bottom"/>
          </w:tcPr>
          <w:p>
            <w:pPr>
              <w:spacing w:after="0"/>
              <w:rPr>
                <w:sz w:val="1"/>
                <w:szCs w:val="1"/>
                <w:color w:val="auto"/>
              </w:rPr>
            </w:pPr>
          </w:p>
        </w:tc>
      </w:tr>
      <w:tr>
        <w:trPr>
          <w:trHeight w:val="149"/>
        </w:trPr>
        <w:tc>
          <w:tcPr>
            <w:tcW w:w="1720" w:type="dxa"/>
            <w:vAlign w:val="bottom"/>
          </w:tcPr>
          <w:p>
            <w:pPr>
              <w:ind w:left="140"/>
              <w:spacing w:after="0" w:line="149" w:lineRule="exact"/>
              <w:rPr>
                <w:sz w:val="20"/>
                <w:szCs w:val="20"/>
                <w:color w:val="auto"/>
              </w:rPr>
            </w:pPr>
            <w:r>
              <w:rPr>
                <w:rFonts w:ascii="Arial" w:cs="Arial" w:eastAsia="Arial" w:hAnsi="Arial"/>
                <w:sz w:val="15"/>
                <w:szCs w:val="15"/>
                <w:color w:val="auto"/>
              </w:rPr>
              <w:t>Shares issued upon</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20" w:type="dxa"/>
            <w:vAlign w:val="bottom"/>
          </w:tcPr>
          <w:p>
            <w:pPr>
              <w:ind w:left="140"/>
              <w:spacing w:after="0" w:line="149" w:lineRule="exact"/>
              <w:rPr>
                <w:sz w:val="20"/>
                <w:szCs w:val="20"/>
                <w:color w:val="auto"/>
              </w:rPr>
            </w:pPr>
            <w:r>
              <w:rPr>
                <w:rFonts w:ascii="Arial" w:cs="Arial" w:eastAsia="Arial" w:hAnsi="Arial"/>
                <w:sz w:val="15"/>
                <w:szCs w:val="15"/>
                <w:color w:val="auto"/>
              </w:rPr>
              <w:t>vesting of restricted</w:t>
            </w:r>
          </w:p>
        </w:tc>
        <w:tc>
          <w:tcPr>
            <w:tcW w:w="880" w:type="dxa"/>
            <w:vAlign w:val="bottom"/>
            <w:vMerge w:val="restart"/>
          </w:tcPr>
          <w:p>
            <w:pPr>
              <w:jc w:val="right"/>
              <w:ind w:right="4"/>
              <w:spacing w:after="0"/>
              <w:rPr>
                <w:sz w:val="20"/>
                <w:szCs w:val="20"/>
                <w:color w:val="auto"/>
              </w:rPr>
            </w:pPr>
            <w:r>
              <w:rPr>
                <w:rFonts w:ascii="Arial" w:cs="Arial" w:eastAsia="Arial" w:hAnsi="Arial"/>
                <w:sz w:val="15"/>
                <w:szCs w:val="15"/>
                <w:color w:val="auto"/>
              </w:rPr>
              <w:t>58,974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ind w:right="4"/>
              <w:spacing w:after="0"/>
              <w:rPr>
                <w:sz w:val="20"/>
                <w:szCs w:val="20"/>
                <w:color w:val="auto"/>
              </w:rPr>
            </w:pPr>
            <w:r>
              <w:rPr>
                <w:rFonts w:ascii="Arial" w:cs="Arial" w:eastAsia="Arial" w:hAnsi="Arial"/>
                <w:sz w:val="15"/>
                <w:szCs w:val="15"/>
                <w:color w:val="auto"/>
              </w:rPr>
              <w:t>1</w:t>
            </w:r>
          </w:p>
        </w:tc>
        <w:tc>
          <w:tcPr>
            <w:tcW w:w="14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2"/>
                <w:szCs w:val="12"/>
                <w:color w:val="auto"/>
              </w:rPr>
            </w:pPr>
          </w:p>
        </w:tc>
        <w:tc>
          <w:tcPr>
            <w:tcW w:w="760" w:type="dxa"/>
            <w:vAlign w:val="bottom"/>
            <w:gridSpan w:val="2"/>
            <w:vMerge w:val="restart"/>
          </w:tcPr>
          <w:p>
            <w:pPr>
              <w:ind w:left="4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(192)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1240" w:type="dxa"/>
            <w:vAlign w:val="bottom"/>
            <w:gridSpan w:val="2"/>
            <w:vMerge w:val="restart"/>
          </w:tcPr>
          <w:p>
            <w:pPr>
              <w:ind w:left="8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rPr>
              <w:t>(191)</w:t>
            </w:r>
          </w:p>
        </w:tc>
        <w:tc>
          <w:tcPr>
            <w:tcW w:w="0" w:type="dxa"/>
            <w:vAlign w:val="bottom"/>
          </w:tcPr>
          <w:p>
            <w:pPr>
              <w:spacing w:after="0"/>
              <w:rPr>
                <w:sz w:val="1"/>
                <w:szCs w:val="1"/>
                <w:color w:val="auto"/>
              </w:rPr>
            </w:pPr>
          </w:p>
        </w:tc>
      </w:tr>
      <w:tr>
        <w:trPr>
          <w:trHeight w:val="198"/>
        </w:trPr>
        <w:tc>
          <w:tcPr>
            <w:tcW w:w="1720" w:type="dxa"/>
            <w:vAlign w:val="bottom"/>
          </w:tcPr>
          <w:p>
            <w:pPr>
              <w:ind w:left="140"/>
              <w:spacing w:after="0"/>
              <w:rPr>
                <w:sz w:val="20"/>
                <w:szCs w:val="20"/>
                <w:color w:val="auto"/>
              </w:rPr>
            </w:pPr>
            <w:r>
              <w:rPr>
                <w:rFonts w:ascii="Arial" w:cs="Arial" w:eastAsia="Arial" w:hAnsi="Arial"/>
                <w:sz w:val="15"/>
                <w:szCs w:val="15"/>
                <w:color w:val="auto"/>
              </w:rPr>
              <w:t>stock units</w:t>
            </w:r>
          </w:p>
        </w:tc>
        <w:tc>
          <w:tcPr>
            <w:tcW w:w="8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720" w:type="dxa"/>
            <w:vAlign w:val="bottom"/>
            <w:shd w:val="clear" w:color="auto" w:fill="CCEEFF"/>
          </w:tcPr>
          <w:p>
            <w:pPr>
              <w:ind w:left="140"/>
              <w:spacing w:after="0" w:line="153" w:lineRule="exact"/>
              <w:rPr>
                <w:sz w:val="20"/>
                <w:szCs w:val="20"/>
                <w:color w:val="auto"/>
              </w:rPr>
            </w:pPr>
            <w:r>
              <w:rPr>
                <w:rFonts w:ascii="Arial" w:cs="Arial" w:eastAsia="Arial" w:hAnsi="Arial"/>
                <w:sz w:val="15"/>
                <w:szCs w:val="15"/>
                <w:color w:val="auto"/>
              </w:rPr>
              <w:t>Exercise of options to</w:t>
            </w:r>
          </w:p>
        </w:tc>
        <w:tc>
          <w:tcPr>
            <w:tcW w:w="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20" w:type="dxa"/>
            <w:vAlign w:val="bottom"/>
            <w:shd w:val="clear" w:color="auto" w:fill="CCEEFF"/>
          </w:tcPr>
          <w:p>
            <w:pPr>
              <w:ind w:left="140"/>
              <w:spacing w:after="0" w:line="149" w:lineRule="exact"/>
              <w:rPr>
                <w:sz w:val="20"/>
                <w:szCs w:val="20"/>
                <w:color w:val="auto"/>
              </w:rPr>
            </w:pPr>
            <w:r>
              <w:rPr>
                <w:rFonts w:ascii="Arial" w:cs="Arial" w:eastAsia="Arial" w:hAnsi="Arial"/>
                <w:sz w:val="15"/>
                <w:szCs w:val="15"/>
                <w:color w:val="auto"/>
              </w:rPr>
              <w:t>purchase common</w:t>
            </w:r>
          </w:p>
        </w:tc>
        <w:tc>
          <w:tcPr>
            <w:tcW w:w="8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340,382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3</w:t>
            </w: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ind w:left="4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4,203</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2"/>
                <w:szCs w:val="12"/>
                <w:color w:val="auto"/>
              </w:rPr>
            </w:pPr>
          </w:p>
        </w:tc>
        <w:tc>
          <w:tcPr>
            <w:tcW w:w="1240" w:type="dxa"/>
            <w:vAlign w:val="bottom"/>
            <w:gridSpan w:val="2"/>
            <w:vMerge w:val="restart"/>
            <w:shd w:val="clear" w:color="auto" w:fill="CCEEFF"/>
          </w:tcPr>
          <w:p>
            <w:pPr>
              <w:ind w:left="8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4,206</w:t>
            </w:r>
          </w:p>
        </w:tc>
        <w:tc>
          <w:tcPr>
            <w:tcW w:w="0" w:type="dxa"/>
            <w:vAlign w:val="bottom"/>
          </w:tcPr>
          <w:p>
            <w:pPr>
              <w:spacing w:after="0"/>
              <w:rPr>
                <w:sz w:val="1"/>
                <w:szCs w:val="1"/>
                <w:color w:val="auto"/>
              </w:rPr>
            </w:pPr>
          </w:p>
        </w:tc>
      </w:tr>
      <w:tr>
        <w:trPr>
          <w:trHeight w:val="202"/>
        </w:trPr>
        <w:tc>
          <w:tcPr>
            <w:tcW w:w="17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stock</w:t>
            </w:r>
          </w:p>
        </w:tc>
        <w:tc>
          <w:tcPr>
            <w:tcW w:w="8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1720" w:type="dxa"/>
            <w:vAlign w:val="bottom"/>
          </w:tcPr>
          <w:p>
            <w:pPr>
              <w:ind w:left="20"/>
              <w:spacing w:after="0" w:line="129" w:lineRule="exact"/>
              <w:rPr>
                <w:sz w:val="20"/>
                <w:szCs w:val="20"/>
                <w:color w:val="auto"/>
              </w:rPr>
            </w:pPr>
            <w:r>
              <w:rPr>
                <w:rFonts w:ascii="Arial" w:cs="Arial" w:eastAsia="Arial" w:hAnsi="Arial"/>
                <w:sz w:val="14"/>
                <w:szCs w:val="14"/>
                <w:color w:val="auto"/>
              </w:rPr>
              <w:t>Balance, August 29,</w:t>
            </w:r>
          </w:p>
        </w:tc>
        <w:tc>
          <w:tcPr>
            <w:tcW w:w="880" w:type="dxa"/>
            <w:vAlign w:val="bottom"/>
            <w:tcBorders>
              <w:top w:val="single" w:sz="8" w:color="auto"/>
            </w:tcBorders>
            <w:vMerge w:val="restart"/>
          </w:tcPr>
          <w:p>
            <w:pPr>
              <w:jc w:val="right"/>
              <w:ind w:right="4"/>
              <w:spacing w:after="0"/>
              <w:rPr>
                <w:sz w:val="20"/>
                <w:szCs w:val="20"/>
                <w:color w:val="auto"/>
              </w:rPr>
            </w:pPr>
            <w:r>
              <w:rPr>
                <w:rFonts w:ascii="Arial" w:cs="Arial" w:eastAsia="Arial" w:hAnsi="Arial"/>
                <w:sz w:val="15"/>
                <w:szCs w:val="15"/>
                <w:color w:val="auto"/>
              </w:rPr>
              <w:t>95,751,845</w:t>
            </w:r>
          </w:p>
        </w:tc>
        <w:tc>
          <w:tcPr>
            <w:tcW w:w="140" w:type="dxa"/>
            <w:vAlign w:val="bottom"/>
          </w:tcPr>
          <w:p>
            <w:pPr>
              <w:spacing w:after="0"/>
              <w:rPr>
                <w:sz w:val="11"/>
                <w:szCs w:val="11"/>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tcBorders>
            <w:vMerge w:val="restart"/>
          </w:tcPr>
          <w:p>
            <w:pPr>
              <w:jc w:val="right"/>
              <w:ind w:right="4"/>
              <w:spacing w:after="0"/>
              <w:rPr>
                <w:sz w:val="20"/>
                <w:szCs w:val="20"/>
                <w:color w:val="auto"/>
              </w:rPr>
            </w:pPr>
            <w:r>
              <w:rPr>
                <w:rFonts w:ascii="Arial" w:cs="Arial" w:eastAsia="Arial" w:hAnsi="Arial"/>
                <w:sz w:val="15"/>
                <w:szCs w:val="15"/>
                <w:color w:val="auto"/>
              </w:rPr>
              <w:t>958</w:t>
            </w:r>
          </w:p>
        </w:tc>
        <w:tc>
          <w:tcPr>
            <w:tcW w:w="140" w:type="dxa"/>
            <w:vAlign w:val="bottom"/>
          </w:tcPr>
          <w:p>
            <w:pPr>
              <w:spacing w:after="0"/>
              <w:rPr>
                <w:sz w:val="11"/>
                <w:szCs w:val="11"/>
                <w:color w:val="auto"/>
              </w:rPr>
            </w:pPr>
          </w:p>
        </w:tc>
        <w:tc>
          <w:tcPr>
            <w:tcW w:w="660" w:type="dxa"/>
            <w:vAlign w:val="bottom"/>
            <w:tcBorders>
              <w:top w:val="single" w:sz="8" w:color="auto"/>
            </w:tcBorders>
            <w:vMerge w:val="restart"/>
          </w:tcPr>
          <w:p>
            <w:pPr>
              <w:jc w:val="right"/>
              <w:ind w:right="3"/>
              <w:spacing w:after="0"/>
              <w:rPr>
                <w:sz w:val="20"/>
                <w:szCs w:val="20"/>
                <w:color w:val="auto"/>
              </w:rPr>
            </w:pPr>
            <w:r>
              <w:rPr>
                <w:rFonts w:ascii="Arial" w:cs="Arial" w:eastAsia="Arial" w:hAnsi="Arial"/>
                <w:sz w:val="15"/>
                <w:szCs w:val="15"/>
                <w:color w:val="auto"/>
              </w:rPr>
              <w:t>98,234</w:t>
            </w:r>
          </w:p>
        </w:tc>
        <w:tc>
          <w:tcPr>
            <w:tcW w:w="140" w:type="dxa"/>
            <w:vAlign w:val="bottom"/>
          </w:tcPr>
          <w:p>
            <w:pPr>
              <w:spacing w:after="0"/>
              <w:rPr>
                <w:sz w:val="11"/>
                <w:szCs w:val="11"/>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Borders>
              <w:top w:val="single" w:sz="8" w:color="auto"/>
            </w:tcBorders>
            <w:vMerge w:val="restart"/>
          </w:tcPr>
          <w:p>
            <w:pPr>
              <w:ind w:left="140"/>
              <w:spacing w:after="0"/>
              <w:rPr>
                <w:sz w:val="20"/>
                <w:szCs w:val="20"/>
                <w:color w:val="auto"/>
              </w:rPr>
            </w:pPr>
            <w:r>
              <w:rPr>
                <w:rFonts w:ascii="Arial" w:cs="Arial" w:eastAsia="Arial" w:hAnsi="Arial"/>
                <w:sz w:val="15"/>
                <w:szCs w:val="15"/>
                <w:color w:val="auto"/>
                <w:w w:val="96"/>
              </w:rPr>
              <w:t>(2,145)</w:t>
            </w:r>
          </w:p>
        </w:tc>
        <w:tc>
          <w:tcPr>
            <w:tcW w:w="140" w:type="dxa"/>
            <w:vAlign w:val="bottom"/>
          </w:tcPr>
          <w:p>
            <w:pPr>
              <w:spacing w:after="0"/>
              <w:rPr>
                <w:sz w:val="11"/>
                <w:szCs w:val="11"/>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tcBorders>
            <w:vMerge w:val="restart"/>
          </w:tcPr>
          <w:p>
            <w:pPr>
              <w:jc w:val="right"/>
              <w:ind w:right="4"/>
              <w:spacing w:after="0"/>
              <w:rPr>
                <w:sz w:val="20"/>
                <w:szCs w:val="20"/>
                <w:color w:val="auto"/>
              </w:rPr>
            </w:pPr>
            <w:r>
              <w:rPr>
                <w:rFonts w:ascii="Arial" w:cs="Arial" w:eastAsia="Arial" w:hAnsi="Arial"/>
                <w:sz w:val="15"/>
                <w:szCs w:val="15"/>
                <w:color w:val="auto"/>
              </w:rPr>
              <w:t>1,076,472</w:t>
            </w:r>
          </w:p>
        </w:tc>
        <w:tc>
          <w:tcPr>
            <w:tcW w:w="14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64,927</w:t>
            </w:r>
          </w:p>
        </w:tc>
        <w:tc>
          <w:tcPr>
            <w:tcW w:w="14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(879)</w:t>
            </w:r>
          </w:p>
        </w:tc>
        <w:tc>
          <w:tcPr>
            <w:tcW w:w="120" w:type="dxa"/>
            <w:vAlign w:val="bottom"/>
          </w:tcPr>
          <w:p>
            <w:pPr>
              <w:spacing w:after="0"/>
              <w:rPr>
                <w:sz w:val="11"/>
                <w:szCs w:val="11"/>
                <w:color w:val="auto"/>
              </w:rPr>
            </w:pPr>
          </w:p>
        </w:tc>
        <w:tc>
          <w:tcPr>
            <w:tcW w:w="180" w:type="dxa"/>
            <w:vAlign w:val="bottom"/>
            <w:tcBorders>
              <w:top w:val="single" w:sz="8" w:color="auto"/>
            </w:tcBorders>
            <w:vMerge w:val="restart"/>
          </w:tcPr>
          <w:p>
            <w:pPr>
              <w:jc w:val="right"/>
              <w:ind w:right="4"/>
              <w:spacing w:after="0"/>
              <w:rPr>
                <w:sz w:val="20"/>
                <w:szCs w:val="20"/>
                <w:color w:val="auto"/>
              </w:rPr>
            </w:pPr>
            <w:r>
              <w:rPr>
                <w:rFonts w:ascii="Arial" w:cs="Arial" w:eastAsia="Arial" w:hAnsi="Arial"/>
                <w:sz w:val="15"/>
                <w:szCs w:val="15"/>
                <w:color w:val="auto"/>
                <w:w w:val="95"/>
              </w:rPr>
              <w:t>$</w:t>
            </w:r>
          </w:p>
        </w:tc>
        <w:tc>
          <w:tcPr>
            <w:tcW w:w="780" w:type="dxa"/>
            <w:vAlign w:val="bottom"/>
            <w:tcBorders>
              <w:top w:val="single" w:sz="8" w:color="auto"/>
            </w:tcBorders>
            <w:vMerge w:val="restart"/>
          </w:tcPr>
          <w:p>
            <w:pPr>
              <w:jc w:val="right"/>
              <w:ind w:right="4"/>
              <w:spacing w:after="0"/>
              <w:rPr>
                <w:sz w:val="20"/>
                <w:szCs w:val="20"/>
                <w:color w:val="auto"/>
              </w:rPr>
            </w:pPr>
            <w:r>
              <w:rPr>
                <w:rFonts w:ascii="Arial" w:cs="Arial" w:eastAsia="Arial" w:hAnsi="Arial"/>
                <w:sz w:val="15"/>
                <w:szCs w:val="15"/>
                <w:color w:val="auto"/>
              </w:rPr>
              <w:t>1,139,333</w:t>
            </w:r>
          </w:p>
        </w:tc>
        <w:tc>
          <w:tcPr>
            <w:tcW w:w="0" w:type="dxa"/>
            <w:vAlign w:val="bottom"/>
          </w:tcPr>
          <w:p>
            <w:pPr>
              <w:spacing w:after="0"/>
              <w:rPr>
                <w:sz w:val="1"/>
                <w:szCs w:val="1"/>
                <w:color w:val="auto"/>
              </w:rPr>
            </w:pPr>
          </w:p>
        </w:tc>
      </w:tr>
      <w:tr>
        <w:trPr>
          <w:trHeight w:val="180"/>
        </w:trPr>
        <w:tc>
          <w:tcPr>
            <w:tcW w:w="1720" w:type="dxa"/>
            <w:vAlign w:val="bottom"/>
          </w:tcPr>
          <w:p>
            <w:pPr>
              <w:ind w:left="20"/>
              <w:spacing w:after="0"/>
              <w:rPr>
                <w:sz w:val="20"/>
                <w:szCs w:val="20"/>
                <w:color w:val="auto"/>
              </w:rPr>
            </w:pPr>
            <w:r>
              <w:rPr>
                <w:rFonts w:ascii="Arial" w:cs="Arial" w:eastAsia="Arial" w:hAnsi="Arial"/>
                <w:sz w:val="15"/>
                <w:szCs w:val="15"/>
                <w:color w:val="auto"/>
              </w:rPr>
              <w:t>2020</w:t>
            </w:r>
          </w:p>
        </w:tc>
        <w:tc>
          <w:tcPr>
            <w:tcW w:w="88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7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Net income</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40,880</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40,880</w:t>
            </w:r>
          </w:p>
        </w:tc>
        <w:tc>
          <w:tcPr>
            <w:tcW w:w="0" w:type="dxa"/>
            <w:vAlign w:val="bottom"/>
          </w:tcPr>
          <w:p>
            <w:pPr>
              <w:spacing w:after="0"/>
              <w:rPr>
                <w:sz w:val="1"/>
                <w:szCs w:val="1"/>
                <w:color w:val="auto"/>
              </w:rPr>
            </w:pPr>
          </w:p>
        </w:tc>
      </w:tr>
      <w:tr>
        <w:trPr>
          <w:trHeight w:val="149"/>
        </w:trPr>
        <w:tc>
          <w:tcPr>
            <w:tcW w:w="1720" w:type="dxa"/>
            <w:vAlign w:val="bottom"/>
          </w:tcPr>
          <w:p>
            <w:pPr>
              <w:ind w:left="140"/>
              <w:spacing w:after="0" w:line="149" w:lineRule="exact"/>
              <w:rPr>
                <w:sz w:val="20"/>
                <w:szCs w:val="20"/>
                <w:color w:val="auto"/>
              </w:rPr>
            </w:pPr>
            <w:r>
              <w:rPr>
                <w:rFonts w:ascii="Arial" w:cs="Arial" w:eastAsia="Arial" w:hAnsi="Arial"/>
                <w:sz w:val="15"/>
                <w:szCs w:val="15"/>
                <w:color w:val="auto"/>
              </w:rPr>
              <w:t>Stock-based</w:t>
            </w: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2"/>
                <w:szCs w:val="12"/>
                <w:color w:val="auto"/>
              </w:rPr>
            </w:pP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2"/>
                <w:szCs w:val="12"/>
                <w:color w:val="auto"/>
              </w:rPr>
            </w:pPr>
          </w:p>
        </w:tc>
        <w:tc>
          <w:tcPr>
            <w:tcW w:w="760" w:type="dxa"/>
            <w:vAlign w:val="bottom"/>
            <w:gridSpan w:val="2"/>
            <w:vMerge w:val="restart"/>
          </w:tcPr>
          <w:p>
            <w:pPr>
              <w:ind w:left="4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2"/>
                <w:szCs w:val="12"/>
                <w:color w:val="auto"/>
              </w:rPr>
            </w:pPr>
          </w:p>
        </w:tc>
        <w:tc>
          <w:tcPr>
            <w:tcW w:w="860" w:type="dxa"/>
            <w:vAlign w:val="bottom"/>
            <w:vMerge w:val="restart"/>
          </w:tcPr>
          <w:p>
            <w:pPr>
              <w:jc w:val="right"/>
              <w:ind w:right="4"/>
              <w:spacing w:after="0"/>
              <w:rPr>
                <w:sz w:val="20"/>
                <w:szCs w:val="20"/>
                <w:color w:val="auto"/>
              </w:rPr>
            </w:pPr>
            <w:r>
              <w:rPr>
                <w:rFonts w:ascii="Arial" w:cs="Arial" w:eastAsia="Arial" w:hAnsi="Arial"/>
                <w:sz w:val="15"/>
                <w:szCs w:val="15"/>
                <w:color w:val="auto"/>
              </w:rPr>
              <w:t>8,265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1240" w:type="dxa"/>
            <w:vAlign w:val="bottom"/>
            <w:gridSpan w:val="2"/>
            <w:vMerge w:val="restart"/>
          </w:tcPr>
          <w:p>
            <w:pPr>
              <w:ind w:left="8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2"/>
                <w:szCs w:val="12"/>
                <w:color w:val="auto"/>
              </w:rPr>
            </w:pPr>
          </w:p>
        </w:tc>
        <w:tc>
          <w:tcPr>
            <w:tcW w:w="780" w:type="dxa"/>
            <w:vAlign w:val="bottom"/>
            <w:vMerge w:val="restart"/>
          </w:tcPr>
          <w:p>
            <w:pPr>
              <w:jc w:val="right"/>
              <w:ind w:right="4"/>
              <w:spacing w:after="0"/>
              <w:rPr>
                <w:sz w:val="20"/>
                <w:szCs w:val="20"/>
                <w:color w:val="auto"/>
              </w:rPr>
            </w:pPr>
            <w:r>
              <w:rPr>
                <w:rFonts w:ascii="Arial" w:cs="Arial" w:eastAsia="Arial" w:hAnsi="Arial"/>
                <w:sz w:val="15"/>
                <w:szCs w:val="15"/>
                <w:color w:val="auto"/>
              </w:rPr>
              <w:t>8,265</w:t>
            </w:r>
          </w:p>
        </w:tc>
        <w:tc>
          <w:tcPr>
            <w:tcW w:w="0" w:type="dxa"/>
            <w:vAlign w:val="bottom"/>
          </w:tcPr>
          <w:p>
            <w:pPr>
              <w:spacing w:after="0"/>
              <w:rPr>
                <w:sz w:val="1"/>
                <w:szCs w:val="1"/>
                <w:color w:val="auto"/>
              </w:rPr>
            </w:pPr>
          </w:p>
        </w:tc>
      </w:tr>
      <w:tr>
        <w:trPr>
          <w:trHeight w:val="198"/>
        </w:trPr>
        <w:tc>
          <w:tcPr>
            <w:tcW w:w="1720" w:type="dxa"/>
            <w:vAlign w:val="bottom"/>
          </w:tcPr>
          <w:p>
            <w:pPr>
              <w:ind w:left="140"/>
              <w:spacing w:after="0"/>
              <w:rPr>
                <w:sz w:val="20"/>
                <w:szCs w:val="20"/>
                <w:color w:val="auto"/>
              </w:rPr>
            </w:pPr>
            <w:r>
              <w:rPr>
                <w:rFonts w:ascii="Arial" w:cs="Arial" w:eastAsia="Arial" w:hAnsi="Arial"/>
                <w:sz w:val="15"/>
                <w:szCs w:val="15"/>
                <w:color w:val="auto"/>
              </w:rPr>
              <w:t>compensation</w:t>
            </w:r>
          </w:p>
        </w:tc>
        <w:tc>
          <w:tcPr>
            <w:tcW w:w="10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720" w:type="dxa"/>
            <w:vAlign w:val="bottom"/>
            <w:shd w:val="clear" w:color="auto" w:fill="CCEEFF"/>
          </w:tcPr>
          <w:p>
            <w:pPr>
              <w:ind w:left="140"/>
              <w:spacing w:after="0" w:line="153" w:lineRule="exact"/>
              <w:rPr>
                <w:sz w:val="20"/>
                <w:szCs w:val="20"/>
                <w:color w:val="auto"/>
              </w:rPr>
            </w:pPr>
            <w:r>
              <w:rPr>
                <w:rFonts w:ascii="Arial" w:cs="Arial" w:eastAsia="Arial" w:hAnsi="Arial"/>
                <w:sz w:val="15"/>
                <w:szCs w:val="15"/>
                <w:color w:val="auto"/>
              </w:rPr>
              <w:t>Foreign currency</w:t>
            </w:r>
          </w:p>
        </w:tc>
        <w:tc>
          <w:tcPr>
            <w:tcW w:w="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20" w:type="dxa"/>
            <w:vAlign w:val="bottom"/>
            <w:shd w:val="clear" w:color="auto" w:fill="CCEEFF"/>
          </w:tcPr>
          <w:p>
            <w:pPr>
              <w:ind w:left="140"/>
              <w:spacing w:after="0" w:line="149" w:lineRule="exact"/>
              <w:rPr>
                <w:sz w:val="20"/>
                <w:szCs w:val="20"/>
                <w:color w:val="auto"/>
              </w:rPr>
            </w:pPr>
            <w:r>
              <w:rPr>
                <w:rFonts w:ascii="Arial" w:cs="Arial" w:eastAsia="Arial" w:hAnsi="Arial"/>
                <w:sz w:val="15"/>
                <w:szCs w:val="15"/>
                <w:color w:val="auto"/>
              </w:rPr>
              <w:t>translation</w:t>
            </w: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ind w:left="4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ind w:left="880"/>
              <w:spacing w:after="0"/>
              <w:rPr>
                <w:sz w:val="20"/>
                <w:szCs w:val="20"/>
                <w:color w:val="auto"/>
              </w:rPr>
            </w:pPr>
            <w:r>
              <w:rPr>
                <w:rFonts w:ascii="Arial" w:cs="Arial" w:eastAsia="Arial" w:hAnsi="Arial"/>
                <w:sz w:val="15"/>
                <w:szCs w:val="15"/>
                <w:color w:val="auto"/>
              </w:rPr>
              <w:t>61</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61</w:t>
            </w:r>
          </w:p>
        </w:tc>
        <w:tc>
          <w:tcPr>
            <w:tcW w:w="0" w:type="dxa"/>
            <w:vAlign w:val="bottom"/>
          </w:tcPr>
          <w:p>
            <w:pPr>
              <w:spacing w:after="0"/>
              <w:rPr>
                <w:sz w:val="1"/>
                <w:szCs w:val="1"/>
                <w:color w:val="auto"/>
              </w:rPr>
            </w:pPr>
          </w:p>
        </w:tc>
      </w:tr>
      <w:tr>
        <w:trPr>
          <w:trHeight w:val="202"/>
        </w:trPr>
        <w:tc>
          <w:tcPr>
            <w:tcW w:w="17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adjustments</w:t>
            </w:r>
          </w:p>
        </w:tc>
        <w:tc>
          <w:tcPr>
            <w:tcW w:w="10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720" w:type="dxa"/>
            <w:vAlign w:val="bottom"/>
          </w:tcPr>
          <w:p>
            <w:pPr>
              <w:ind w:left="140"/>
              <w:spacing w:after="0" w:line="149" w:lineRule="exact"/>
              <w:rPr>
                <w:sz w:val="20"/>
                <w:szCs w:val="20"/>
                <w:color w:val="auto"/>
              </w:rPr>
            </w:pPr>
            <w:r>
              <w:rPr>
                <w:rFonts w:ascii="Arial" w:cs="Arial" w:eastAsia="Arial" w:hAnsi="Arial"/>
                <w:sz w:val="15"/>
                <w:szCs w:val="15"/>
                <w:color w:val="auto"/>
              </w:rPr>
              <w:t>Shares issued upon</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Pr>
          <w:p>
            <w:pPr>
              <w:ind w:left="140"/>
              <w:spacing w:after="0" w:line="149" w:lineRule="exact"/>
              <w:rPr>
                <w:sz w:val="20"/>
                <w:szCs w:val="20"/>
                <w:color w:val="auto"/>
              </w:rPr>
            </w:pPr>
            <w:r>
              <w:rPr>
                <w:rFonts w:ascii="Arial" w:cs="Arial" w:eastAsia="Arial" w:hAnsi="Arial"/>
                <w:sz w:val="15"/>
                <w:szCs w:val="15"/>
                <w:color w:val="auto"/>
              </w:rPr>
              <w:t>vesting of restricted</w:t>
            </w:r>
          </w:p>
        </w:tc>
        <w:tc>
          <w:tcPr>
            <w:tcW w:w="880" w:type="dxa"/>
            <w:vAlign w:val="bottom"/>
            <w:vMerge w:val="restart"/>
          </w:tcPr>
          <w:p>
            <w:pPr>
              <w:jc w:val="right"/>
              <w:ind w:right="4"/>
              <w:spacing w:after="0"/>
              <w:rPr>
                <w:sz w:val="20"/>
                <w:szCs w:val="20"/>
                <w:color w:val="auto"/>
              </w:rPr>
            </w:pPr>
            <w:r>
              <w:rPr>
                <w:rFonts w:ascii="Arial" w:cs="Arial" w:eastAsia="Arial" w:hAnsi="Arial"/>
                <w:sz w:val="15"/>
                <w:szCs w:val="15"/>
                <w:color w:val="auto"/>
              </w:rPr>
              <w:t>72,755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ind w:right="4"/>
              <w:spacing w:after="0"/>
              <w:rPr>
                <w:sz w:val="20"/>
                <w:szCs w:val="20"/>
                <w:color w:val="auto"/>
              </w:rPr>
            </w:pPr>
            <w:r>
              <w:rPr>
                <w:rFonts w:ascii="Arial" w:cs="Arial" w:eastAsia="Arial" w:hAnsi="Arial"/>
                <w:sz w:val="15"/>
                <w:szCs w:val="15"/>
                <w:color w:val="auto"/>
              </w:rPr>
              <w:t>1</w:t>
            </w:r>
          </w:p>
        </w:tc>
        <w:tc>
          <w:tcPr>
            <w:tcW w:w="14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2"/>
                <w:szCs w:val="12"/>
                <w:color w:val="auto"/>
              </w:rPr>
            </w:pPr>
          </w:p>
        </w:tc>
        <w:tc>
          <w:tcPr>
            <w:tcW w:w="760" w:type="dxa"/>
            <w:vAlign w:val="bottom"/>
            <w:gridSpan w:val="2"/>
            <w:vMerge w:val="restart"/>
          </w:tcPr>
          <w:p>
            <w:pPr>
              <w:ind w:left="4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(436)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1240" w:type="dxa"/>
            <w:vAlign w:val="bottom"/>
            <w:gridSpan w:val="2"/>
            <w:vMerge w:val="restart"/>
          </w:tcPr>
          <w:p>
            <w:pPr>
              <w:ind w:left="8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rPr>
              <w:t>(435)</w:t>
            </w:r>
          </w:p>
        </w:tc>
        <w:tc>
          <w:tcPr>
            <w:tcW w:w="0" w:type="dxa"/>
            <w:vAlign w:val="bottom"/>
          </w:tcPr>
          <w:p>
            <w:pPr>
              <w:spacing w:after="0"/>
              <w:rPr>
                <w:sz w:val="1"/>
                <w:szCs w:val="1"/>
                <w:color w:val="auto"/>
              </w:rPr>
            </w:pPr>
          </w:p>
        </w:tc>
      </w:tr>
      <w:tr>
        <w:trPr>
          <w:trHeight w:val="198"/>
        </w:trPr>
        <w:tc>
          <w:tcPr>
            <w:tcW w:w="1720" w:type="dxa"/>
            <w:vAlign w:val="bottom"/>
          </w:tcPr>
          <w:p>
            <w:pPr>
              <w:ind w:left="140"/>
              <w:spacing w:after="0"/>
              <w:rPr>
                <w:sz w:val="20"/>
                <w:szCs w:val="20"/>
                <w:color w:val="auto"/>
              </w:rPr>
            </w:pPr>
            <w:r>
              <w:rPr>
                <w:rFonts w:ascii="Arial" w:cs="Arial" w:eastAsia="Arial" w:hAnsi="Arial"/>
                <w:sz w:val="15"/>
                <w:szCs w:val="15"/>
                <w:color w:val="auto"/>
              </w:rPr>
              <w:t>stock units</w:t>
            </w:r>
          </w:p>
        </w:tc>
        <w:tc>
          <w:tcPr>
            <w:tcW w:w="8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720" w:type="dxa"/>
            <w:vAlign w:val="bottom"/>
            <w:shd w:val="clear" w:color="auto" w:fill="CCEEFF"/>
          </w:tcPr>
          <w:p>
            <w:pPr>
              <w:ind w:left="140"/>
              <w:spacing w:after="0" w:line="153" w:lineRule="exact"/>
              <w:rPr>
                <w:sz w:val="20"/>
                <w:szCs w:val="20"/>
                <w:color w:val="auto"/>
              </w:rPr>
            </w:pPr>
            <w:r>
              <w:rPr>
                <w:rFonts w:ascii="Arial" w:cs="Arial" w:eastAsia="Arial" w:hAnsi="Arial"/>
                <w:sz w:val="15"/>
                <w:szCs w:val="15"/>
                <w:color w:val="auto"/>
              </w:rPr>
              <w:t>Exercise of options to</w:t>
            </w:r>
          </w:p>
        </w:tc>
        <w:tc>
          <w:tcPr>
            <w:tcW w:w="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20" w:type="dxa"/>
            <w:vAlign w:val="bottom"/>
            <w:shd w:val="clear" w:color="auto" w:fill="CCEEFF"/>
          </w:tcPr>
          <w:p>
            <w:pPr>
              <w:ind w:left="140"/>
              <w:spacing w:after="0" w:line="149" w:lineRule="exact"/>
              <w:rPr>
                <w:sz w:val="20"/>
                <w:szCs w:val="20"/>
                <w:color w:val="auto"/>
              </w:rPr>
            </w:pPr>
            <w:r>
              <w:rPr>
                <w:rFonts w:ascii="Arial" w:cs="Arial" w:eastAsia="Arial" w:hAnsi="Arial"/>
                <w:sz w:val="15"/>
                <w:szCs w:val="15"/>
                <w:color w:val="auto"/>
              </w:rPr>
              <w:t>purchase common</w:t>
            </w:r>
          </w:p>
        </w:tc>
        <w:tc>
          <w:tcPr>
            <w:tcW w:w="8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58,308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ind w:left="4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700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2"/>
                <w:szCs w:val="12"/>
                <w:color w:val="auto"/>
              </w:rPr>
            </w:pPr>
          </w:p>
        </w:tc>
        <w:tc>
          <w:tcPr>
            <w:tcW w:w="1240" w:type="dxa"/>
            <w:vAlign w:val="bottom"/>
            <w:gridSpan w:val="2"/>
            <w:vMerge w:val="restart"/>
            <w:shd w:val="clear" w:color="auto" w:fill="CCEEFF"/>
          </w:tcPr>
          <w:p>
            <w:pPr>
              <w:ind w:left="8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700</w:t>
            </w:r>
          </w:p>
        </w:tc>
        <w:tc>
          <w:tcPr>
            <w:tcW w:w="0" w:type="dxa"/>
            <w:vAlign w:val="bottom"/>
          </w:tcPr>
          <w:p>
            <w:pPr>
              <w:spacing w:after="0"/>
              <w:rPr>
                <w:sz w:val="1"/>
                <w:szCs w:val="1"/>
                <w:color w:val="auto"/>
              </w:rPr>
            </w:pPr>
          </w:p>
        </w:tc>
      </w:tr>
      <w:tr>
        <w:trPr>
          <w:trHeight w:val="202"/>
        </w:trPr>
        <w:tc>
          <w:tcPr>
            <w:tcW w:w="17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stock</w:t>
            </w:r>
          </w:p>
        </w:tc>
        <w:tc>
          <w:tcPr>
            <w:tcW w:w="8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1720" w:type="dxa"/>
            <w:vAlign w:val="bottom"/>
          </w:tcPr>
          <w:p>
            <w:pPr>
              <w:ind w:left="20"/>
              <w:spacing w:after="0" w:line="129" w:lineRule="exact"/>
              <w:rPr>
                <w:sz w:val="20"/>
                <w:szCs w:val="20"/>
                <w:color w:val="auto"/>
              </w:rPr>
            </w:pPr>
            <w:r>
              <w:rPr>
                <w:rFonts w:ascii="Arial" w:cs="Arial" w:eastAsia="Arial" w:hAnsi="Arial"/>
                <w:sz w:val="14"/>
                <w:szCs w:val="14"/>
                <w:color w:val="auto"/>
              </w:rPr>
              <w:t>Balance, August 28,</w:t>
            </w:r>
          </w:p>
        </w:tc>
        <w:tc>
          <w:tcPr>
            <w:tcW w:w="880" w:type="dxa"/>
            <w:vAlign w:val="bottom"/>
            <w:tcBorders>
              <w:top w:val="single" w:sz="8" w:color="auto"/>
            </w:tcBorders>
            <w:vMerge w:val="restart"/>
          </w:tcPr>
          <w:p>
            <w:pPr>
              <w:jc w:val="right"/>
              <w:ind w:right="4"/>
              <w:spacing w:after="0"/>
              <w:rPr>
                <w:sz w:val="20"/>
                <w:szCs w:val="20"/>
                <w:color w:val="auto"/>
              </w:rPr>
            </w:pPr>
            <w:r>
              <w:rPr>
                <w:rFonts w:ascii="Arial" w:cs="Arial" w:eastAsia="Arial" w:hAnsi="Arial"/>
                <w:sz w:val="15"/>
                <w:szCs w:val="15"/>
                <w:color w:val="auto"/>
              </w:rPr>
              <w:t>95,882,908</w:t>
            </w:r>
          </w:p>
        </w:tc>
        <w:tc>
          <w:tcPr>
            <w:tcW w:w="140" w:type="dxa"/>
            <w:vAlign w:val="bottom"/>
          </w:tcPr>
          <w:p>
            <w:pPr>
              <w:spacing w:after="0"/>
              <w:rPr>
                <w:sz w:val="11"/>
                <w:szCs w:val="11"/>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tcBorders>
            <w:vMerge w:val="restart"/>
          </w:tcPr>
          <w:p>
            <w:pPr>
              <w:jc w:val="right"/>
              <w:ind w:right="4"/>
              <w:spacing w:after="0"/>
              <w:rPr>
                <w:sz w:val="20"/>
                <w:szCs w:val="20"/>
                <w:color w:val="auto"/>
              </w:rPr>
            </w:pPr>
            <w:r>
              <w:rPr>
                <w:rFonts w:ascii="Arial" w:cs="Arial" w:eastAsia="Arial" w:hAnsi="Arial"/>
                <w:sz w:val="15"/>
                <w:szCs w:val="15"/>
                <w:color w:val="auto"/>
              </w:rPr>
              <w:t>959</w:t>
            </w:r>
          </w:p>
        </w:tc>
        <w:tc>
          <w:tcPr>
            <w:tcW w:w="140" w:type="dxa"/>
            <w:vAlign w:val="bottom"/>
          </w:tcPr>
          <w:p>
            <w:pPr>
              <w:spacing w:after="0"/>
              <w:rPr>
                <w:sz w:val="11"/>
                <w:szCs w:val="11"/>
                <w:color w:val="auto"/>
              </w:rPr>
            </w:pPr>
          </w:p>
        </w:tc>
        <w:tc>
          <w:tcPr>
            <w:tcW w:w="660" w:type="dxa"/>
            <w:vAlign w:val="bottom"/>
            <w:tcBorders>
              <w:top w:val="single" w:sz="8" w:color="auto"/>
            </w:tcBorders>
            <w:vMerge w:val="restart"/>
          </w:tcPr>
          <w:p>
            <w:pPr>
              <w:jc w:val="right"/>
              <w:ind w:right="3"/>
              <w:spacing w:after="0"/>
              <w:rPr>
                <w:sz w:val="20"/>
                <w:szCs w:val="20"/>
                <w:color w:val="auto"/>
              </w:rPr>
            </w:pPr>
            <w:r>
              <w:rPr>
                <w:rFonts w:ascii="Arial" w:cs="Arial" w:eastAsia="Arial" w:hAnsi="Arial"/>
                <w:sz w:val="15"/>
                <w:szCs w:val="15"/>
                <w:color w:val="auto"/>
              </w:rPr>
              <w:t>98,234</w:t>
            </w:r>
          </w:p>
        </w:tc>
        <w:tc>
          <w:tcPr>
            <w:tcW w:w="140" w:type="dxa"/>
            <w:vAlign w:val="bottom"/>
          </w:tcPr>
          <w:p>
            <w:pPr>
              <w:spacing w:after="0"/>
              <w:rPr>
                <w:sz w:val="11"/>
                <w:szCs w:val="11"/>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Borders>
              <w:top w:val="single" w:sz="8" w:color="auto"/>
            </w:tcBorders>
            <w:vMerge w:val="restart"/>
          </w:tcPr>
          <w:p>
            <w:pPr>
              <w:ind w:left="140"/>
              <w:spacing w:after="0"/>
              <w:rPr>
                <w:sz w:val="20"/>
                <w:szCs w:val="20"/>
                <w:color w:val="auto"/>
              </w:rPr>
            </w:pPr>
            <w:r>
              <w:rPr>
                <w:rFonts w:ascii="Arial" w:cs="Arial" w:eastAsia="Arial" w:hAnsi="Arial"/>
                <w:sz w:val="15"/>
                <w:szCs w:val="15"/>
                <w:color w:val="auto"/>
                <w:w w:val="96"/>
              </w:rPr>
              <w:t>(2,145)</w:t>
            </w:r>
          </w:p>
        </w:tc>
        <w:tc>
          <w:tcPr>
            <w:tcW w:w="140" w:type="dxa"/>
            <w:vAlign w:val="bottom"/>
          </w:tcPr>
          <w:p>
            <w:pPr>
              <w:spacing w:after="0"/>
              <w:rPr>
                <w:sz w:val="11"/>
                <w:szCs w:val="11"/>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tcBorders>
            <w:vMerge w:val="restart"/>
          </w:tcPr>
          <w:p>
            <w:pPr>
              <w:jc w:val="right"/>
              <w:ind w:right="4"/>
              <w:spacing w:after="0"/>
              <w:rPr>
                <w:sz w:val="20"/>
                <w:szCs w:val="20"/>
                <w:color w:val="auto"/>
              </w:rPr>
            </w:pPr>
            <w:r>
              <w:rPr>
                <w:rFonts w:ascii="Arial" w:cs="Arial" w:eastAsia="Arial" w:hAnsi="Arial"/>
                <w:sz w:val="15"/>
                <w:szCs w:val="15"/>
                <w:color w:val="auto"/>
              </w:rPr>
              <w:t>1,085,001</w:t>
            </w:r>
          </w:p>
        </w:tc>
        <w:tc>
          <w:tcPr>
            <w:tcW w:w="14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105,807</w:t>
            </w:r>
          </w:p>
        </w:tc>
        <w:tc>
          <w:tcPr>
            <w:tcW w:w="14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(818)</w:t>
            </w:r>
          </w:p>
        </w:tc>
        <w:tc>
          <w:tcPr>
            <w:tcW w:w="120" w:type="dxa"/>
            <w:vAlign w:val="bottom"/>
          </w:tcPr>
          <w:p>
            <w:pPr>
              <w:spacing w:after="0"/>
              <w:rPr>
                <w:sz w:val="11"/>
                <w:szCs w:val="11"/>
                <w:color w:val="auto"/>
              </w:rPr>
            </w:pPr>
          </w:p>
        </w:tc>
        <w:tc>
          <w:tcPr>
            <w:tcW w:w="180" w:type="dxa"/>
            <w:vAlign w:val="bottom"/>
            <w:tcBorders>
              <w:top w:val="single" w:sz="8" w:color="auto"/>
            </w:tcBorders>
            <w:vMerge w:val="restart"/>
          </w:tcPr>
          <w:p>
            <w:pPr>
              <w:jc w:val="right"/>
              <w:ind w:right="4"/>
              <w:spacing w:after="0"/>
              <w:rPr>
                <w:sz w:val="20"/>
                <w:szCs w:val="20"/>
                <w:color w:val="auto"/>
              </w:rPr>
            </w:pPr>
            <w:r>
              <w:rPr>
                <w:rFonts w:ascii="Arial" w:cs="Arial" w:eastAsia="Arial" w:hAnsi="Arial"/>
                <w:sz w:val="15"/>
                <w:szCs w:val="15"/>
                <w:color w:val="auto"/>
                <w:w w:val="95"/>
              </w:rPr>
              <w:t>$</w:t>
            </w:r>
          </w:p>
        </w:tc>
        <w:tc>
          <w:tcPr>
            <w:tcW w:w="780" w:type="dxa"/>
            <w:vAlign w:val="bottom"/>
            <w:tcBorders>
              <w:top w:val="single" w:sz="8" w:color="auto"/>
            </w:tcBorders>
            <w:vMerge w:val="restart"/>
          </w:tcPr>
          <w:p>
            <w:pPr>
              <w:jc w:val="right"/>
              <w:ind w:right="4"/>
              <w:spacing w:after="0"/>
              <w:rPr>
                <w:sz w:val="20"/>
                <w:szCs w:val="20"/>
                <w:color w:val="auto"/>
              </w:rPr>
            </w:pPr>
            <w:r>
              <w:rPr>
                <w:rFonts w:ascii="Arial" w:cs="Arial" w:eastAsia="Arial" w:hAnsi="Arial"/>
                <w:sz w:val="15"/>
                <w:szCs w:val="15"/>
                <w:color w:val="auto"/>
              </w:rPr>
              <w:t>1,188,804</w:t>
            </w:r>
          </w:p>
        </w:tc>
        <w:tc>
          <w:tcPr>
            <w:tcW w:w="0" w:type="dxa"/>
            <w:vAlign w:val="bottom"/>
          </w:tcPr>
          <w:p>
            <w:pPr>
              <w:spacing w:after="0"/>
              <w:rPr>
                <w:sz w:val="1"/>
                <w:szCs w:val="1"/>
                <w:color w:val="auto"/>
              </w:rPr>
            </w:pPr>
          </w:p>
        </w:tc>
      </w:tr>
      <w:tr>
        <w:trPr>
          <w:trHeight w:val="180"/>
        </w:trPr>
        <w:tc>
          <w:tcPr>
            <w:tcW w:w="1720" w:type="dxa"/>
            <w:vAlign w:val="bottom"/>
          </w:tcPr>
          <w:p>
            <w:pPr>
              <w:ind w:left="20"/>
              <w:spacing w:after="0"/>
              <w:rPr>
                <w:sz w:val="20"/>
                <w:szCs w:val="20"/>
                <w:color w:val="auto"/>
              </w:rPr>
            </w:pPr>
            <w:r>
              <w:rPr>
                <w:rFonts w:ascii="Arial" w:cs="Arial" w:eastAsia="Arial" w:hAnsi="Arial"/>
                <w:sz w:val="15"/>
                <w:szCs w:val="15"/>
                <w:color w:val="auto"/>
              </w:rPr>
              <w:t>2021</w:t>
            </w:r>
          </w:p>
        </w:tc>
        <w:tc>
          <w:tcPr>
            <w:tcW w:w="88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ind w:left="3460"/>
        <w:spacing w:after="0"/>
        <w:rPr>
          <w:sz w:val="20"/>
          <w:szCs w:val="20"/>
          <w:color w:val="auto"/>
        </w:rPr>
      </w:pPr>
      <w:r>
        <w:rPr>
          <w:rFonts w:ascii="Arial" w:cs="Arial" w:eastAsia="Arial" w:hAnsi="Arial"/>
          <w:sz w:val="16"/>
          <w:szCs w:val="16"/>
          <w:i w:val="1"/>
          <w:iCs w:val="1"/>
          <w:color w:val="auto"/>
        </w:rPr>
        <w:t>See accompanying Notes to the Consolidated Financial Statements</w:t>
      </w:r>
    </w:p>
    <w:p>
      <w:pPr>
        <w:spacing w:after="0" w:line="35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125" w:right="9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for share and per share data)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 and Principles of Consolidation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52" w:lineRule="exact"/>
        <w:rPr>
          <w:sz w:val="20"/>
          <w:szCs w:val="20"/>
          <w:color w:val="auto"/>
        </w:rPr>
      </w:pPr>
    </w:p>
    <w:p>
      <w:pPr>
        <w:jc w:val="both"/>
        <w:ind w:firstLine="244"/>
        <w:spacing w:after="0" w:line="257" w:lineRule="auto"/>
        <w:rPr>
          <w:sz w:val="20"/>
          <w:szCs w:val="20"/>
          <w:color w:val="auto"/>
        </w:rPr>
      </w:pPr>
      <w:r>
        <w:rPr>
          <w:rFonts w:ascii="Arial" w:cs="Arial" w:eastAsia="Arial" w:hAnsi="Arial"/>
          <w:sz w:val="18"/>
          <w:szCs w:val="18"/>
          <w:color w:val="auto"/>
        </w:rPr>
        <w:t>The Simply Good Foods Company (“Simply Good Foods” or the “Company”) was formed by Conyers Park Acquisition Corp. (“Conyers Park”) on March 30, 2017. On April 10, 2017, Conyers Park and NCP-ATK Holdings, Inc., among others, entered into a definitive merger agreement (the “Merger Agreement”), pursuant to which on July 7, 2017, Conyers Park merged into Simply Good Foods and as a result acquired the companies which conducted the Atkins® brand business (the “Business Combination”). The common stock of Simply Good Foods is listed on the Nasdaq Capital Market under the symbol “SMPL.”</w:t>
      </w:r>
    </w:p>
    <w:p>
      <w:pPr>
        <w:spacing w:after="0" w:line="215" w:lineRule="exact"/>
        <w:rPr>
          <w:sz w:val="20"/>
          <w:szCs w:val="20"/>
          <w:color w:val="auto"/>
        </w:rPr>
      </w:pPr>
    </w:p>
    <w:p>
      <w:pPr>
        <w:jc w:val="both"/>
        <w:ind w:firstLine="229"/>
        <w:spacing w:after="0" w:line="255" w:lineRule="auto"/>
        <w:rPr>
          <w:sz w:val="20"/>
          <w:szCs w:val="20"/>
          <w:color w:val="auto"/>
        </w:rPr>
      </w:pPr>
      <w:r>
        <w:rPr>
          <w:rFonts w:ascii="Arial" w:cs="Arial" w:eastAsia="Arial" w:hAnsi="Arial"/>
          <w:sz w:val="18"/>
          <w:szCs w:val="18"/>
          <w:color w:val="auto"/>
        </w:rPr>
        <w:t>On August 21, 2019, the Company’s wholly-owned subsidiary Simply Good Foods USA, Inc., formerly known as Atkins Nutritionals, Inc., (“Simply Good USA”) entered into a Stock and Unit Purchase Agreement (the “Purchase Agreement”) to acquire Quest Nutrition, LLC (“Quest”), a healthy lifestyle food company (the “Quest Acquisition”). On November 7, 2019, Simply Good USA completed the Quest Acquisition via Simply Good USA’s acquisition of 100% of the equity interests of Voyage Holdings, LLC, and VMG Quest Blocker, Inc. (the “Target Companies”) for a cash purchase price of approximately $1.0 billion subject to customary post-closing adjustments for the Target Companies’ levels of cash, indebtedness, net working capital and transaction expenses as of the closing date.</w:t>
      </w:r>
    </w:p>
    <w:p>
      <w:pPr>
        <w:spacing w:after="0" w:line="219" w:lineRule="exact"/>
        <w:rPr>
          <w:sz w:val="20"/>
          <w:szCs w:val="20"/>
          <w:color w:val="auto"/>
        </w:rPr>
      </w:pPr>
    </w:p>
    <w:p>
      <w:pPr>
        <w:jc w:val="both"/>
        <w:ind w:firstLine="189"/>
        <w:spacing w:after="0" w:line="257" w:lineRule="auto"/>
        <w:rPr>
          <w:sz w:val="20"/>
          <w:szCs w:val="20"/>
          <w:color w:val="auto"/>
        </w:rPr>
      </w:pPr>
      <w:r>
        <w:rPr>
          <w:rFonts w:ascii="Arial" w:cs="Arial" w:eastAsia="Arial" w:hAnsi="Arial"/>
          <w:sz w:val="18"/>
          <w:szCs w:val="18"/>
          <w:color w:val="auto"/>
        </w:rPr>
        <w:t>The Simply Good Foods Company is a consumer packaged food and beverage company that aims to lead the nutritious snacking movement with trusted brands that offer a variety of convenient, innovative, great-tasting, better-for-you snacks and meal replacements. The product portfolio the Company develops, markets and sells consists primarily of protein bars, ready-to-drink (“RTD”) shakes, sweet and salty snacks and confectionery products marketed under the Atkins®, Atkins Endulge®, and Quest® brand names. Simply Good Foods is poised to expand its wellness platform through innovation and organic growth along with acquisition opportunities in the nutritional snacking space.</w:t>
      </w:r>
    </w:p>
    <w:p>
      <w:pPr>
        <w:spacing w:after="0" w:line="215" w:lineRule="exact"/>
        <w:rPr>
          <w:sz w:val="20"/>
          <w:szCs w:val="20"/>
          <w:color w:val="auto"/>
        </w:rPr>
      </w:pPr>
    </w:p>
    <w:p>
      <w:pPr>
        <w:jc w:val="both"/>
        <w:ind w:firstLine="285"/>
        <w:spacing w:after="0" w:line="296" w:lineRule="auto"/>
        <w:rPr>
          <w:sz w:val="20"/>
          <w:szCs w:val="20"/>
          <w:color w:val="auto"/>
        </w:rPr>
      </w:pPr>
      <w:r>
        <w:rPr>
          <w:rFonts w:ascii="Arial" w:cs="Arial" w:eastAsia="Arial" w:hAnsi="Arial"/>
          <w:sz w:val="16"/>
          <w:szCs w:val="16"/>
          <w:color w:val="auto"/>
        </w:rPr>
        <w:t>The Company’s nutritious snacking platform consists of brands that specialize in providing products for consumers that follow certain nutritional philosophies and health-and-wellness trends: Atkins® for those following a low-carb lifestyle and Quest® for consumers seeking a variety of protein-rich foods and beverages that also limit sugars and simple carbs. The Company distributes its products in major retail channels, primarily in North America, including grocery, club, and mass merchandise, as well as through e-commerce, convenience, specialty, and other channels. The Company’s portfolio of nutritious snacking brands gives it a strong platform with which to introduce new products, expand distribution, and attract new consumers to its products.</w:t>
      </w:r>
    </w:p>
    <w:p>
      <w:pPr>
        <w:spacing w:after="0" w:line="188" w:lineRule="exact"/>
        <w:rPr>
          <w:sz w:val="20"/>
          <w:szCs w:val="20"/>
          <w:color w:val="auto"/>
        </w:rPr>
      </w:pPr>
    </w:p>
    <w:p>
      <w:pPr>
        <w:jc w:val="both"/>
        <w:ind w:firstLine="179"/>
        <w:spacing w:after="0" w:line="273" w:lineRule="auto"/>
        <w:rPr>
          <w:sz w:val="20"/>
          <w:szCs w:val="20"/>
          <w:color w:val="auto"/>
        </w:rPr>
      </w:pPr>
      <w:r>
        <w:rPr>
          <w:rFonts w:ascii="Arial" w:cs="Arial" w:eastAsia="Arial" w:hAnsi="Arial"/>
          <w:sz w:val="17"/>
          <w:szCs w:val="17"/>
          <w:color w:val="auto"/>
        </w:rPr>
        <w:t>The Company remains uncertain of the ultimate effect COVID-19 could have on its business notwithstanding the distribution of several U.S. government approved vaccines and the easing of movement restrictions. This uncertainty stems from the potential for, among other things, (i) the presence of current mutations of COVID-19 which have resulted in increased rates of reported cases for which currently approved vaccines are not as effective along with the possibility of future mutations occurring for which current approved vaccines are less effective, (ii) unexpected supply chain disruptions, including disruptions resulting from labor shortages or other human capital challenges, (iii) changes to customer operations, (iv) a reversal in recently improving consumer purchasing and consumption behavior, and (v) the closure of customer establishments.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52" w:lineRule="exact"/>
        <w:rPr>
          <w:sz w:val="20"/>
          <w:szCs w:val="20"/>
          <w:color w:val="auto"/>
        </w:rPr>
      </w:pPr>
    </w:p>
    <w:p>
      <w:pPr>
        <w:jc w:val="both"/>
        <w:ind w:firstLine="190"/>
        <w:spacing w:after="0" w:line="277" w:lineRule="auto"/>
        <w:rPr>
          <w:sz w:val="20"/>
          <w:szCs w:val="20"/>
          <w:color w:val="auto"/>
        </w:rPr>
      </w:pPr>
      <w:r>
        <w:rPr>
          <w:rFonts w:ascii="Arial" w:cs="Arial" w:eastAsia="Arial" w:hAnsi="Arial"/>
          <w:sz w:val="18"/>
          <w:szCs w:val="18"/>
          <w:color w:val="auto"/>
        </w:rPr>
        <w:t>The consolidated financial statements have been prepared in accordance with U.S. Generally Accepted Accounting Principles (“GAAP”). The Company maintains its accounting records on a 52/53-week fiscal year, ending on the last Saturday in August.</w:t>
      </w:r>
    </w:p>
    <w:p>
      <w:pPr>
        <w:spacing w:after="0" w:line="197" w:lineRule="exact"/>
        <w:rPr>
          <w:sz w:val="20"/>
          <w:szCs w:val="20"/>
          <w:color w:val="auto"/>
        </w:rPr>
      </w:pPr>
    </w:p>
    <w:p>
      <w:pPr>
        <w:jc w:val="both"/>
        <w:ind w:firstLine="212"/>
        <w:spacing w:after="0" w:line="259" w:lineRule="auto"/>
        <w:rPr>
          <w:sz w:val="20"/>
          <w:szCs w:val="20"/>
          <w:color w:val="auto"/>
        </w:rPr>
      </w:pPr>
      <w:r>
        <w:rPr>
          <w:rFonts w:ascii="Arial" w:cs="Arial" w:eastAsia="Arial" w:hAnsi="Arial"/>
          <w:sz w:val="18"/>
          <w:szCs w:val="18"/>
          <w:color w:val="auto"/>
        </w:rPr>
        <w:t>The financial information presented within the Company’s consolidated financial statements has been prepared pursuant to the rules and regulations of the Securities and Exchange Commission (the “SEC”). The accompanying financial statements include Consolidated Balance Sheets for the periods ended August 28, 2021 and August 29, 2020. The remaining financial statements include the fifty-two weeks ended August 28, 2021, the fifty-two weeks ended August 29, 2020, and the fifty-three weeks ended August 31, 2019.</w:t>
      </w:r>
    </w:p>
    <w:p>
      <w:pPr>
        <w:spacing w:after="0" w:line="214" w:lineRule="exact"/>
        <w:rPr>
          <w:sz w:val="20"/>
          <w:szCs w:val="20"/>
          <w:color w:val="auto"/>
        </w:rPr>
      </w:pPr>
    </w:p>
    <w:p>
      <w:pPr>
        <w:jc w:val="both"/>
        <w:ind w:firstLine="326"/>
        <w:spacing w:after="0" w:line="263"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intercompany accounts and transactions have been eliminated. Unless the context otherwise requires, “we,” “us,” “our” and the “Company” refer to Simply Good Foods and its subsidiaries on a consolidated basis.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52" w:lineRule="exact"/>
        <w:rPr>
          <w:sz w:val="20"/>
          <w:szCs w:val="20"/>
          <w:color w:val="auto"/>
        </w:rPr>
      </w:pPr>
    </w:p>
    <w:p>
      <w:pPr>
        <w:jc w:val="both"/>
        <w:ind w:right="20" w:firstLine="203"/>
        <w:spacing w:after="0" w:line="311"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Estimates also affect the reported amounts of revenue and expenses during the reporting period. Actual results could differ from those estimates.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252" w:lineRule="exact"/>
        <w:rPr>
          <w:sz w:val="20"/>
          <w:szCs w:val="20"/>
          <w:color w:val="auto"/>
        </w:rPr>
      </w:pPr>
    </w:p>
    <w:p>
      <w:pPr>
        <w:jc w:val="both"/>
        <w:ind w:firstLine="206"/>
        <w:spacing w:after="0" w:line="287" w:lineRule="auto"/>
        <w:rPr>
          <w:sz w:val="20"/>
          <w:szCs w:val="20"/>
          <w:color w:val="auto"/>
        </w:rPr>
      </w:pPr>
      <w:r>
        <w:rPr>
          <w:rFonts w:ascii="Arial" w:cs="Arial" w:eastAsia="Arial" w:hAnsi="Arial"/>
          <w:sz w:val="16"/>
          <w:szCs w:val="16"/>
          <w:color w:val="auto"/>
        </w:rPr>
        <w:t>On November 7, 2019, pursuant to the Purchase Agreement, the Company completed the Quest Acquisition for a cash purchase price of approximately $1.0 billion, subject to customary post-closing adjustments. The Quest Acquisition was accounted for using the acquisition method of accounting prescribed by ASC Topic 805, Business Combinations (“ASC 805”), whereby the results of operations, including the revenues and earnings of Quest, are included in the financial statements from the date of acquisition. Additionally, assets acquired and liabilities assumed were recognized at their fair values based on widely accepted valuation techniques in accordance with ASC Topic 820, Fair Value Measurements, as of the closing date. The process for estimating fair values requires the use of significant estimates, assumptions and judgments, including determining the timing and estimates of future cash flows and developing appropriate discount rates. ASC 805 establishes a measurement period to provide companies with a reasonable amount of time to obtain the information necessary to identify and measure various items in a business combination and cannot extend beyond one year from the acquisition date. The Company completed its final assessment of purchase price allocation for the Quest Acquisition to the estimated fair value of the net assets acquired at the date of acquisition during the first quarter of fiscal year 2021. Measurement period adjustments were recognized in the reporting period in which the adjustments were determined and calculated as if the accounting had been completed at the acquisition date.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52" w:lineRule="exact"/>
        <w:rPr>
          <w:sz w:val="20"/>
          <w:szCs w:val="20"/>
          <w:color w:val="auto"/>
        </w:rPr>
      </w:pPr>
    </w:p>
    <w:p>
      <w:pPr>
        <w:jc w:val="both"/>
        <w:ind w:firstLine="211"/>
        <w:spacing w:after="0" w:line="293" w:lineRule="auto"/>
        <w:rPr>
          <w:sz w:val="20"/>
          <w:szCs w:val="20"/>
          <w:color w:val="auto"/>
        </w:rPr>
      </w:pPr>
      <w:r>
        <w:rPr>
          <w:rFonts w:ascii="Arial" w:cs="Arial" w:eastAsia="Arial" w:hAnsi="Arial"/>
          <w:sz w:val="16"/>
          <w:szCs w:val="16"/>
          <w:color w:val="auto"/>
        </w:rPr>
        <w:t>Fair value represents the price that would be received to sell an asset or paid to transfer a liability in the principal or most advantageous market for the asset or liability in an orderly transaction between market participants at the measurement date. Assets and liabilities are valued based upon observable and non-observable inputs. Valuations using Level 1 inputs are based on unadjusted quoted prices that are available in active markets for the identical assets or liabilities at the measurement date. Level 2 inputs utilize significant other observable inputs available at the measurement date, other than quoted prices included in Level 1. Valuations using Level 3 inputs are based on significant unobservable inputs that cannot be corroborated by observable market data and require significant judgment. There were no significant transfers between levels during any period presented.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w:t>
      </w:r>
    </w:p>
    <w:p>
      <w:pPr>
        <w:spacing w:after="0" w:line="252" w:lineRule="exact"/>
        <w:rPr>
          <w:sz w:val="20"/>
          <w:szCs w:val="20"/>
          <w:color w:val="auto"/>
        </w:rPr>
      </w:pPr>
    </w:p>
    <w:p>
      <w:pPr>
        <w:jc w:val="both"/>
        <w:ind w:firstLine="193"/>
        <w:spacing w:after="0" w:line="277" w:lineRule="auto"/>
        <w:rPr>
          <w:sz w:val="20"/>
          <w:szCs w:val="20"/>
          <w:color w:val="auto"/>
        </w:rPr>
      </w:pPr>
      <w:r>
        <w:rPr>
          <w:rFonts w:ascii="Arial" w:cs="Arial" w:eastAsia="Arial" w:hAnsi="Arial"/>
          <w:sz w:val="18"/>
          <w:szCs w:val="18"/>
          <w:i w:val="1"/>
          <w:iCs w:val="1"/>
          <w:color w:val="auto"/>
        </w:rPr>
        <w:t xml:space="preserve">Cash </w:t>
      </w:r>
      <w:r>
        <w:rPr>
          <w:rFonts w:ascii="Arial" w:cs="Arial" w:eastAsia="Arial" w:hAnsi="Arial"/>
          <w:sz w:val="18"/>
          <w:szCs w:val="18"/>
          <w:color w:val="auto"/>
        </w:rPr>
        <w:t>consists of cash on hand, deposits available on demand and other short-term, highly liquid investments with original maturities of three months or</w:t>
      </w:r>
      <w:r>
        <w:rPr>
          <w:rFonts w:ascii="Arial" w:cs="Arial" w:eastAsia="Arial" w:hAnsi="Arial"/>
          <w:sz w:val="18"/>
          <w:szCs w:val="18"/>
          <w:i w:val="1"/>
          <w:iCs w:val="1"/>
          <w:color w:val="auto"/>
        </w:rPr>
        <w:t xml:space="preserve"> </w:t>
      </w:r>
      <w:r>
        <w:rPr>
          <w:rFonts w:ascii="Arial" w:cs="Arial" w:eastAsia="Arial" w:hAnsi="Arial"/>
          <w:sz w:val="18"/>
          <w:szCs w:val="18"/>
          <w:color w:val="auto"/>
        </w:rPr>
        <w:t>less.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Net and Expected Credit Losses</w:t>
      </w:r>
    </w:p>
    <w:p>
      <w:pPr>
        <w:spacing w:after="0" w:line="252" w:lineRule="exact"/>
        <w:rPr>
          <w:sz w:val="20"/>
          <w:szCs w:val="20"/>
          <w:color w:val="auto"/>
        </w:rPr>
      </w:pPr>
    </w:p>
    <w:p>
      <w:pPr>
        <w:jc w:val="both"/>
        <w:ind w:firstLine="220"/>
        <w:spacing w:after="0" w:line="275" w:lineRule="auto"/>
        <w:rPr>
          <w:sz w:val="20"/>
          <w:szCs w:val="20"/>
          <w:color w:val="auto"/>
        </w:rPr>
      </w:pPr>
      <w:r>
        <w:rPr>
          <w:rFonts w:ascii="Arial" w:cs="Arial" w:eastAsia="Arial" w:hAnsi="Arial"/>
          <w:sz w:val="17"/>
          <w:szCs w:val="17"/>
          <w:i w:val="1"/>
          <w:iCs w:val="1"/>
          <w:color w:val="auto"/>
        </w:rPr>
        <w:t xml:space="preserve">Accounts receivable, net </w:t>
      </w:r>
      <w:r>
        <w:rPr>
          <w:rFonts w:ascii="Arial" w:cs="Arial" w:eastAsia="Arial" w:hAnsi="Arial"/>
          <w:sz w:val="17"/>
          <w:szCs w:val="17"/>
          <w:color w:val="auto"/>
        </w:rPr>
        <w:t>consists primarily of trade receivables, net of allowances for doubtful accounts, returns, and trade promotions.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sells its products for cash or on credit terms, which are established in accordance with local and industry practices and typically require payment within 30 days of delivery and may allow discounts for early payment. The Company estimates its allowance for doubtful accounts and the related expected credit loss based upon the Company’s historical credit loss experience, adjusted for asset-specific risk characteristics, current economic conditions, and reasonable forecasts. Accounts receivable are written off when determined to be uncollectible.</w:t>
      </w:r>
    </w:p>
    <w:p>
      <w:pPr>
        <w:spacing w:after="0" w:line="203" w:lineRule="exact"/>
        <w:rPr>
          <w:sz w:val="20"/>
          <w:szCs w:val="20"/>
          <w:color w:val="auto"/>
        </w:rPr>
      </w:pPr>
    </w:p>
    <w:p>
      <w:pPr>
        <w:jc w:val="both"/>
        <w:ind w:firstLine="253"/>
        <w:spacing w:after="0" w:line="257" w:lineRule="auto"/>
        <w:rPr>
          <w:sz w:val="20"/>
          <w:szCs w:val="20"/>
          <w:color w:val="auto"/>
        </w:rPr>
      </w:pPr>
      <w:r>
        <w:rPr>
          <w:rFonts w:ascii="Arial" w:cs="Arial" w:eastAsia="Arial" w:hAnsi="Arial"/>
          <w:sz w:val="18"/>
          <w:szCs w:val="18"/>
          <w:color w:val="auto"/>
        </w:rPr>
        <w:t>Charges related to credit loss on accounts receivables from transactions with external customers were approximately $0.6 million, $0.5 million, and $0.1 million for the fifty-two weeks ended August 28, 2021, fifty-two weeks ended August 29, 2020, and fifty-three weeks ended August 31, 2019, respectively. At August 28, 2021 and August 29, 2020, the allowance for doubtful accounts was $1.1 million and $0.5 million, respectively. Additionally, during the fifty-two weeks ended August 28, 2021 the Company recorded a $0.5 million expected credit loss reserve on its $3.0 million note receivable related to the SimplyProtein Sale, which is defined in Note 5, Goodwill and Intangibles.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52" w:lineRule="exact"/>
        <w:rPr>
          <w:sz w:val="20"/>
          <w:szCs w:val="20"/>
          <w:color w:val="auto"/>
        </w:rPr>
      </w:pPr>
    </w:p>
    <w:p>
      <w:pPr>
        <w:jc w:val="both"/>
        <w:ind w:firstLine="193"/>
        <w:spacing w:after="0" w:line="311" w:lineRule="auto"/>
        <w:rPr>
          <w:sz w:val="20"/>
          <w:szCs w:val="20"/>
          <w:color w:val="auto"/>
        </w:rPr>
      </w:pPr>
      <w:r>
        <w:rPr>
          <w:rFonts w:ascii="Arial" w:cs="Arial" w:eastAsia="Arial" w:hAnsi="Arial"/>
          <w:sz w:val="16"/>
          <w:szCs w:val="16"/>
          <w:i w:val="1"/>
          <w:iCs w:val="1"/>
          <w:color w:val="auto"/>
        </w:rPr>
        <w:t xml:space="preserve">Inventories </w:t>
      </w:r>
      <w:r>
        <w:rPr>
          <w:rFonts w:ascii="Arial" w:cs="Arial" w:eastAsia="Arial" w:hAnsi="Arial"/>
          <w:sz w:val="16"/>
          <w:szCs w:val="16"/>
          <w:color w:val="auto"/>
        </w:rPr>
        <w:t>are valued at the lower of cost or net realizable value on a first-in, first-out basis, adjusted for the value of inventory that is determined to be</w:t>
      </w:r>
      <w:r>
        <w:rPr>
          <w:rFonts w:ascii="Arial" w:cs="Arial" w:eastAsia="Arial" w:hAnsi="Arial"/>
          <w:sz w:val="16"/>
          <w:szCs w:val="16"/>
          <w:i w:val="1"/>
          <w:iCs w:val="1"/>
          <w:color w:val="auto"/>
        </w:rPr>
        <w:t xml:space="preserve"> </w:t>
      </w:r>
      <w:r>
        <w:rPr>
          <w:rFonts w:ascii="Arial" w:cs="Arial" w:eastAsia="Arial" w:hAnsi="Arial"/>
          <w:sz w:val="16"/>
          <w:szCs w:val="16"/>
          <w:color w:val="auto"/>
        </w:rPr>
        <w:t>excess, obsolete, expired or unsaleable. Obsolete inventory is reserved at 50% for inventory four to six months from expiration, and 100% for items within three months of expiration. Reserves are also taken for certain products or packaging materials when it is determined their cost may not be recoverable.</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as presented with the Consolidated Balance Sheets, is summarized as follows:</w:t>
      </w:r>
    </w:p>
    <w:p>
      <w:pPr>
        <w:spacing w:after="0" w:line="351" w:lineRule="exact"/>
        <w:rPr>
          <w:sz w:val="20"/>
          <w:szCs w:val="20"/>
          <w:color w:val="auto"/>
        </w:rPr>
      </w:pPr>
    </w:p>
    <w:tbl>
      <w:tblPr>
        <w:tblLayout w:type="fixed"/>
        <w:tblInd w:w="2320" w:type="dxa"/>
        <w:tblCellMar>
          <w:top w:w="0" w:type="dxa"/>
          <w:left w:w="0" w:type="dxa"/>
          <w:bottom w:w="0" w:type="dxa"/>
          <w:right w:w="0" w:type="dxa"/>
        </w:tblCellMar>
      </w:tblPr>
      <w:tr>
        <w:trPr>
          <w:trHeight w:val="209"/>
        </w:trPr>
        <w:tc>
          <w:tcPr>
            <w:tcW w:w="338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94"/>
              </w:rPr>
              <w:t>August 28, 2021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94"/>
              </w:rPr>
              <w:t>August 29, 2020</w:t>
            </w:r>
          </w:p>
        </w:tc>
      </w:tr>
      <w:tr>
        <w:trPr>
          <w:trHeight w:val="253"/>
        </w:trPr>
        <w:tc>
          <w:tcPr>
            <w:tcW w:w="3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Finished goods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91,893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56,117</w:t>
            </w:r>
          </w:p>
        </w:tc>
      </w:tr>
      <w:tr>
        <w:trPr>
          <w:trHeight w:val="267"/>
        </w:trPr>
        <w:tc>
          <w:tcPr>
            <w:tcW w:w="3500" w:type="dxa"/>
            <w:vAlign w:val="bottom"/>
            <w:gridSpan w:val="2"/>
          </w:tcPr>
          <w:p>
            <w:pPr>
              <w:spacing w:after="0"/>
              <w:rPr>
                <w:sz w:val="20"/>
                <w:szCs w:val="20"/>
                <w:color w:val="auto"/>
              </w:rPr>
            </w:pPr>
            <w:r>
              <w:rPr>
                <w:rFonts w:ascii="Arial" w:cs="Arial" w:eastAsia="Arial" w:hAnsi="Arial"/>
                <w:sz w:val="16"/>
                <w:szCs w:val="16"/>
                <w:color w:val="auto"/>
              </w:rPr>
              <w:t>Raw materials</w:t>
            </w:r>
          </w:p>
        </w:tc>
        <w:tc>
          <w:tcPr>
            <w:tcW w:w="160" w:type="dxa"/>
            <w:vAlign w:val="bottom"/>
          </w:tcPr>
          <w:p>
            <w:pPr>
              <w:spacing w:after="0"/>
              <w:rPr>
                <w:sz w:val="23"/>
                <w:szCs w:val="23"/>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6,007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3,457</w:t>
            </w:r>
          </w:p>
        </w:tc>
      </w:tr>
      <w:tr>
        <w:trPr>
          <w:trHeight w:val="270"/>
        </w:trPr>
        <w:tc>
          <w:tcPr>
            <w:tcW w:w="3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Reserve for obsolete inventory</w:t>
            </w:r>
          </w:p>
        </w:tc>
        <w:tc>
          <w:tcPr>
            <w:tcW w:w="1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(631)</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(489)</w:t>
            </w:r>
          </w:p>
        </w:tc>
      </w:tr>
      <w:tr>
        <w:trPr>
          <w:trHeight w:val="226"/>
        </w:trPr>
        <w:tc>
          <w:tcPr>
            <w:tcW w:w="3500" w:type="dxa"/>
            <w:vAlign w:val="bottom"/>
            <w:gridSpan w:val="2"/>
          </w:tcPr>
          <w:p>
            <w:pPr>
              <w:spacing w:after="0"/>
              <w:rPr>
                <w:sz w:val="20"/>
                <w:szCs w:val="20"/>
                <w:color w:val="auto"/>
              </w:rPr>
            </w:pPr>
            <w:r>
              <w:rPr>
                <w:rFonts w:ascii="Arial" w:cs="Arial" w:eastAsia="Arial" w:hAnsi="Arial"/>
                <w:sz w:val="16"/>
                <w:szCs w:val="16"/>
                <w:color w:val="auto"/>
              </w:rPr>
              <w:t>Total inventories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97,269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59,085</w:t>
            </w:r>
          </w:p>
        </w:tc>
      </w:tr>
      <w:tr>
        <w:trPr>
          <w:trHeight w:val="21"/>
        </w:trPr>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52" w:lineRule="exact"/>
        <w:rPr>
          <w:sz w:val="20"/>
          <w:szCs w:val="20"/>
          <w:color w:val="auto"/>
        </w:rPr>
      </w:pPr>
    </w:p>
    <w:p>
      <w:pPr>
        <w:jc w:val="both"/>
        <w:ind w:firstLine="261"/>
        <w:spacing w:after="0" w:line="277" w:lineRule="auto"/>
        <w:rPr>
          <w:sz w:val="20"/>
          <w:szCs w:val="20"/>
          <w:color w:val="auto"/>
        </w:rPr>
      </w:pPr>
      <w:r>
        <w:rPr>
          <w:rFonts w:ascii="Arial" w:cs="Arial" w:eastAsia="Arial" w:hAnsi="Arial"/>
          <w:sz w:val="18"/>
          <w:szCs w:val="18"/>
          <w:i w:val="1"/>
          <w:iCs w:val="1"/>
          <w:color w:val="auto"/>
        </w:rPr>
        <w:t xml:space="preserve">Property and equipment, net </w:t>
      </w:r>
      <w:r>
        <w:rPr>
          <w:rFonts w:ascii="Arial" w:cs="Arial" w:eastAsia="Arial" w:hAnsi="Arial"/>
          <w:sz w:val="18"/>
          <w:szCs w:val="18"/>
          <w:color w:val="auto"/>
        </w:rPr>
        <w:t>is stated at the allocated fair value for acquired assets. Additions to property and equipment are recorded at cost and</w:t>
      </w:r>
      <w:r>
        <w:rPr>
          <w:rFonts w:ascii="Arial" w:cs="Arial" w:eastAsia="Arial" w:hAnsi="Arial"/>
          <w:sz w:val="18"/>
          <w:szCs w:val="18"/>
          <w:i w:val="1"/>
          <w:iCs w:val="1"/>
          <w:color w:val="auto"/>
        </w:rPr>
        <w:t xml:space="preserve"> </w:t>
      </w:r>
      <w:r>
        <w:rPr>
          <w:rFonts w:ascii="Arial" w:cs="Arial" w:eastAsia="Arial" w:hAnsi="Arial"/>
          <w:sz w:val="18"/>
          <w:szCs w:val="18"/>
          <w:color w:val="auto"/>
        </w:rPr>
        <w:t>depreciated on a straight-line basis over their estimated useful lives. The general ranges of estimated useful lives are:</w:t>
      </w:r>
    </w:p>
    <w:p>
      <w:pPr>
        <w:spacing w:after="0" w:line="239" w:lineRule="exact"/>
        <w:rPr>
          <w:sz w:val="20"/>
          <w:szCs w:val="20"/>
          <w:color w:val="auto"/>
        </w:rPr>
      </w:pPr>
    </w:p>
    <w:tbl>
      <w:tblPr>
        <w:tblLayout w:type="fixed"/>
        <w:tblInd w:w="2760" w:type="dxa"/>
        <w:tblCellMar>
          <w:top w:w="0" w:type="dxa"/>
          <w:left w:w="0" w:type="dxa"/>
          <w:bottom w:w="0" w:type="dxa"/>
          <w:right w:w="0" w:type="dxa"/>
        </w:tblCellMar>
      </w:tblPr>
      <w:tr>
        <w:trPr>
          <w:trHeight w:val="270"/>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Furniture and fixtures</w:t>
            </w:r>
          </w:p>
        </w:tc>
        <w:tc>
          <w:tcPr>
            <w:tcW w:w="6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ind w:left="140"/>
              <w:spacing w:after="0"/>
              <w:rPr>
                <w:sz w:val="20"/>
                <w:szCs w:val="20"/>
                <w:color w:val="auto"/>
              </w:rPr>
            </w:pPr>
            <w:r>
              <w:rPr>
                <w:rFonts w:ascii="Arial" w:cs="Arial" w:eastAsia="Arial" w:hAnsi="Arial"/>
                <w:sz w:val="16"/>
                <w:szCs w:val="16"/>
                <w:color w:val="auto"/>
                <w:w w:val="87"/>
              </w:rPr>
              <w:t>7 years</w:t>
            </w:r>
          </w:p>
        </w:tc>
        <w:tc>
          <w:tcPr>
            <w:tcW w:w="0" w:type="dxa"/>
            <w:vAlign w:val="bottom"/>
          </w:tcPr>
          <w:p>
            <w:pPr>
              <w:spacing w:after="0"/>
              <w:rPr>
                <w:sz w:val="1"/>
                <w:szCs w:val="1"/>
                <w:color w:val="auto"/>
              </w:rPr>
            </w:pPr>
          </w:p>
        </w:tc>
      </w:tr>
      <w:tr>
        <w:trPr>
          <w:trHeight w:val="166"/>
        </w:trPr>
        <w:tc>
          <w:tcPr>
            <w:tcW w:w="4200" w:type="dxa"/>
            <w:vAlign w:val="bottom"/>
          </w:tcPr>
          <w:p>
            <w:pPr>
              <w:ind w:left="20"/>
              <w:spacing w:after="0" w:line="166" w:lineRule="exact"/>
              <w:rPr>
                <w:sz w:val="20"/>
                <w:szCs w:val="20"/>
                <w:color w:val="auto"/>
              </w:rPr>
            </w:pPr>
            <w:r>
              <w:rPr>
                <w:rFonts w:ascii="Arial" w:cs="Arial" w:eastAsia="Arial" w:hAnsi="Arial"/>
                <w:sz w:val="16"/>
                <w:szCs w:val="16"/>
                <w:color w:val="auto"/>
              </w:rPr>
              <w:t>Computer equipment, software and website development</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620" w:type="dxa"/>
            <w:vAlign w:val="bottom"/>
            <w:vMerge w:val="restart"/>
          </w:tcPr>
          <w:p>
            <w:pPr>
              <w:ind w:left="140"/>
              <w:spacing w:after="0"/>
              <w:rPr>
                <w:sz w:val="20"/>
                <w:szCs w:val="20"/>
                <w:color w:val="auto"/>
              </w:rPr>
            </w:pPr>
            <w:r>
              <w:rPr>
                <w:rFonts w:ascii="Arial" w:cs="Arial" w:eastAsia="Arial" w:hAnsi="Arial"/>
                <w:sz w:val="16"/>
                <w:szCs w:val="16"/>
                <w:color w:val="auto"/>
                <w:w w:val="87"/>
              </w:rPr>
              <w:t>5 years</w:t>
            </w:r>
          </w:p>
        </w:tc>
        <w:tc>
          <w:tcPr>
            <w:tcW w:w="0" w:type="dxa"/>
            <w:vAlign w:val="bottom"/>
          </w:tcPr>
          <w:p>
            <w:pPr>
              <w:spacing w:after="0"/>
              <w:rPr>
                <w:sz w:val="1"/>
                <w:szCs w:val="1"/>
                <w:color w:val="auto"/>
              </w:rPr>
            </w:pPr>
          </w:p>
        </w:tc>
      </w:tr>
      <w:tr>
        <w:trPr>
          <w:trHeight w:val="209"/>
        </w:trPr>
        <w:tc>
          <w:tcPr>
            <w:tcW w:w="4200" w:type="dxa"/>
            <w:vAlign w:val="bottom"/>
          </w:tcPr>
          <w:p>
            <w:pPr>
              <w:ind w:left="20"/>
              <w:spacing w:after="0"/>
              <w:rPr>
                <w:sz w:val="20"/>
                <w:szCs w:val="20"/>
                <w:color w:val="auto"/>
              </w:rPr>
            </w:pPr>
            <w:r>
              <w:rPr>
                <w:rFonts w:ascii="Arial" w:cs="Arial" w:eastAsia="Arial" w:hAnsi="Arial"/>
                <w:sz w:val="16"/>
                <w:szCs w:val="16"/>
                <w:color w:val="auto"/>
              </w:rPr>
              <w:t>costs</w:t>
            </w:r>
          </w:p>
        </w:tc>
        <w:tc>
          <w:tcPr>
            <w:tcW w:w="64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Machinery and equipment</w:t>
            </w:r>
          </w:p>
        </w:tc>
        <w:tc>
          <w:tcPr>
            <w:tcW w:w="6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ind w:left="140"/>
              <w:spacing w:after="0"/>
              <w:rPr>
                <w:sz w:val="20"/>
                <w:szCs w:val="20"/>
                <w:color w:val="auto"/>
              </w:rPr>
            </w:pPr>
            <w:r>
              <w:rPr>
                <w:rFonts w:ascii="Arial" w:cs="Arial" w:eastAsia="Arial" w:hAnsi="Arial"/>
                <w:sz w:val="16"/>
                <w:szCs w:val="16"/>
                <w:color w:val="auto"/>
                <w:w w:val="87"/>
              </w:rPr>
              <w:t>7 years</w:t>
            </w:r>
          </w:p>
        </w:tc>
        <w:tc>
          <w:tcPr>
            <w:tcW w:w="0" w:type="dxa"/>
            <w:vAlign w:val="bottom"/>
          </w:tcPr>
          <w:p>
            <w:pPr>
              <w:spacing w:after="0"/>
              <w:rPr>
                <w:sz w:val="1"/>
                <w:szCs w:val="1"/>
                <w:color w:val="auto"/>
              </w:rPr>
            </w:pPr>
          </w:p>
        </w:tc>
      </w:tr>
      <w:tr>
        <w:trPr>
          <w:trHeight w:val="264"/>
        </w:trPr>
        <w:tc>
          <w:tcPr>
            <w:tcW w:w="4200" w:type="dxa"/>
            <w:vAlign w:val="bottom"/>
          </w:tcPr>
          <w:p>
            <w:pPr>
              <w:ind w:left="20"/>
              <w:spacing w:after="0"/>
              <w:rPr>
                <w:sz w:val="20"/>
                <w:szCs w:val="20"/>
                <w:color w:val="auto"/>
              </w:rPr>
            </w:pPr>
            <w:r>
              <w:rPr>
                <w:rFonts w:ascii="Arial" w:cs="Arial" w:eastAsia="Arial" w:hAnsi="Arial"/>
                <w:sz w:val="16"/>
                <w:szCs w:val="16"/>
                <w:color w:val="auto"/>
              </w:rPr>
              <w:t>Office equipment</w:t>
            </w:r>
          </w:p>
        </w:tc>
        <w:tc>
          <w:tcPr>
            <w:tcW w:w="640" w:type="dxa"/>
            <w:vAlign w:val="bottom"/>
          </w:tcPr>
          <w:p>
            <w:pPr>
              <w:jc w:val="right"/>
              <w:spacing w:after="0"/>
              <w:rPr>
                <w:sz w:val="20"/>
                <w:szCs w:val="20"/>
                <w:color w:val="auto"/>
              </w:rPr>
            </w:pPr>
            <w:r>
              <w:rPr>
                <w:rFonts w:ascii="Arial" w:cs="Arial" w:eastAsia="Arial" w:hAnsi="Arial"/>
                <w:sz w:val="16"/>
                <w:szCs w:val="16"/>
                <w:color w:val="auto"/>
              </w:rPr>
              <w:t>3</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20" w:type="dxa"/>
            <w:vAlign w:val="bottom"/>
          </w:tcPr>
          <w:p>
            <w:pPr>
              <w:ind w:left="140"/>
              <w:spacing w:after="0"/>
              <w:rPr>
                <w:sz w:val="20"/>
                <w:szCs w:val="20"/>
                <w:color w:val="auto"/>
              </w:rPr>
            </w:pPr>
            <w:r>
              <w:rPr>
                <w:rFonts w:ascii="Arial" w:cs="Arial" w:eastAsia="Arial" w:hAnsi="Arial"/>
                <w:sz w:val="16"/>
                <w:szCs w:val="16"/>
                <w:color w:val="auto"/>
                <w:w w:val="87"/>
              </w:rPr>
              <w:t>5 years</w:t>
            </w:r>
          </w:p>
        </w:tc>
        <w:tc>
          <w:tcPr>
            <w:tcW w:w="0" w:type="dxa"/>
            <w:vAlign w:val="bottom"/>
          </w:tcPr>
          <w:p>
            <w:pPr>
              <w:spacing w:after="0"/>
              <w:rPr>
                <w:sz w:val="1"/>
                <w:szCs w:val="1"/>
                <w:color w:val="auto"/>
              </w:rPr>
            </w:pPr>
          </w:p>
        </w:tc>
      </w:tr>
    </w:tbl>
    <w:p>
      <w:pPr>
        <w:spacing w:after="0" w:line="316" w:lineRule="exact"/>
        <w:rPr>
          <w:sz w:val="20"/>
          <w:szCs w:val="20"/>
          <w:color w:val="auto"/>
        </w:rPr>
      </w:pPr>
    </w:p>
    <w:p>
      <w:pPr>
        <w:jc w:val="both"/>
        <w:ind w:firstLine="186"/>
        <w:spacing w:after="0" w:line="277" w:lineRule="auto"/>
        <w:rPr>
          <w:sz w:val="20"/>
          <w:szCs w:val="20"/>
          <w:color w:val="auto"/>
        </w:rPr>
      </w:pPr>
      <w:r>
        <w:rPr>
          <w:rFonts w:ascii="Arial" w:cs="Arial" w:eastAsia="Arial" w:hAnsi="Arial"/>
          <w:sz w:val="18"/>
          <w:szCs w:val="18"/>
          <w:color w:val="auto"/>
        </w:rPr>
        <w:t>Leasehold improvements are amortized over the shorter of the remaining term of the lease or the useful life of the improvement utilizing the straight-line method.</w:t>
      </w:r>
    </w:p>
    <w:p>
      <w:pPr>
        <w:spacing w:after="0" w:line="197" w:lineRule="exact"/>
        <w:rPr>
          <w:sz w:val="20"/>
          <w:szCs w:val="20"/>
          <w:color w:val="auto"/>
        </w:rPr>
      </w:pPr>
    </w:p>
    <w:p>
      <w:pPr>
        <w:jc w:val="both"/>
        <w:ind w:firstLine="214"/>
        <w:spacing w:after="0" w:line="263" w:lineRule="auto"/>
        <w:rPr>
          <w:sz w:val="20"/>
          <w:szCs w:val="20"/>
          <w:color w:val="auto"/>
        </w:rPr>
      </w:pPr>
      <w:r>
        <w:rPr>
          <w:rFonts w:ascii="Arial" w:cs="Arial" w:eastAsia="Arial" w:hAnsi="Arial"/>
          <w:sz w:val="18"/>
          <w:szCs w:val="18"/>
          <w:color w:val="auto"/>
        </w:rPr>
        <w:t xml:space="preserve">The Company performs impairment tests for </w:t>
      </w:r>
      <w:r>
        <w:rPr>
          <w:rFonts w:ascii="Arial" w:cs="Arial" w:eastAsia="Arial" w:hAnsi="Arial"/>
          <w:sz w:val="18"/>
          <w:szCs w:val="18"/>
          <w:i w:val="1"/>
          <w:iCs w:val="1"/>
          <w:color w:val="auto"/>
        </w:rPr>
        <w:t>Property and equipment, net</w:t>
      </w:r>
      <w:r>
        <w:rPr>
          <w:rFonts w:ascii="Arial" w:cs="Arial" w:eastAsia="Arial" w:hAnsi="Arial"/>
          <w:sz w:val="18"/>
          <w:szCs w:val="18"/>
          <w:color w:val="auto"/>
        </w:rPr>
        <w:t xml:space="preserve"> when circumstances indicate that the carrying value of the asset may not be recoverable. There were no indicators of impairment in the fifty-two weeks ended August 28, 2021, the fifty-two weeks ended August 29, 2020, or the fifty-three weeks ended August 31,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 Net</w:t>
      </w:r>
    </w:p>
    <w:p>
      <w:pPr>
        <w:spacing w:after="0" w:line="252" w:lineRule="exact"/>
        <w:rPr>
          <w:sz w:val="20"/>
          <w:szCs w:val="20"/>
          <w:color w:val="auto"/>
        </w:rPr>
      </w:pPr>
    </w:p>
    <w:p>
      <w:pPr>
        <w:jc w:val="both"/>
        <w:ind w:firstLine="207"/>
        <w:spacing w:after="0" w:line="311" w:lineRule="auto"/>
        <w:rPr>
          <w:sz w:val="20"/>
          <w:szCs w:val="20"/>
          <w:color w:val="auto"/>
        </w:rPr>
      </w:pPr>
      <w:r>
        <w:rPr>
          <w:rFonts w:ascii="Arial" w:cs="Arial" w:eastAsia="Arial" w:hAnsi="Arial"/>
          <w:sz w:val="16"/>
          <w:szCs w:val="16"/>
          <w:i w:val="1"/>
          <w:iCs w:val="1"/>
          <w:color w:val="auto"/>
        </w:rPr>
        <w:t xml:space="preserve">Goodwill </w:t>
      </w:r>
      <w:r>
        <w:rPr>
          <w:rFonts w:ascii="Arial" w:cs="Arial" w:eastAsia="Arial" w:hAnsi="Arial"/>
          <w:sz w:val="16"/>
          <w:szCs w:val="16"/>
          <w:color w:val="auto"/>
        </w:rPr>
        <w:t>and</w:t>
      </w:r>
      <w:r>
        <w:rPr>
          <w:rFonts w:ascii="Arial" w:cs="Arial" w:eastAsia="Arial" w:hAnsi="Arial"/>
          <w:sz w:val="16"/>
          <w:szCs w:val="16"/>
          <w:i w:val="1"/>
          <w:iCs w:val="1"/>
          <w:color w:val="auto"/>
        </w:rPr>
        <w:t xml:space="preserve"> Intangible assets, net </w:t>
      </w:r>
      <w:r>
        <w:rPr>
          <w:rFonts w:ascii="Arial" w:cs="Arial" w:eastAsia="Arial" w:hAnsi="Arial"/>
          <w:sz w:val="16"/>
          <w:szCs w:val="16"/>
          <w:color w:val="auto"/>
        </w:rPr>
        <w:t>result primarily from the Business Combination and other acquisitions.</w:t>
      </w:r>
      <w:r>
        <w:rPr>
          <w:rFonts w:ascii="Arial" w:cs="Arial" w:eastAsia="Arial" w:hAnsi="Arial"/>
          <w:sz w:val="16"/>
          <w:szCs w:val="16"/>
          <w:i w:val="1"/>
          <w:iCs w:val="1"/>
          <w:color w:val="auto"/>
        </w:rPr>
        <w:t xml:space="preserve"> Intangible assets </w:t>
      </w:r>
      <w:r>
        <w:rPr>
          <w:rFonts w:ascii="Arial" w:cs="Arial" w:eastAsia="Arial" w:hAnsi="Arial"/>
          <w:sz w:val="16"/>
          <w:szCs w:val="16"/>
          <w:color w:val="auto"/>
        </w:rPr>
        <w:t>primarily includes brands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trademarks with indefinite lives and customer-related relationships with finite lives. Upon acquisition, the purchase price is first allocated to identifiable assets and liabilities, including customer-related intangible assets and trademarks, with any remaining purchase price recorded as </w:t>
      </w:r>
      <w:r>
        <w:rPr>
          <w:rFonts w:ascii="Arial" w:cs="Arial" w:eastAsia="Arial" w:hAnsi="Arial"/>
          <w:sz w:val="16"/>
          <w:szCs w:val="16"/>
          <w:i w:val="1"/>
          <w:iCs w:val="1"/>
          <w:color w:val="auto"/>
        </w:rPr>
        <w:t>Goodwill</w:t>
      </w:r>
      <w:r>
        <w:rPr>
          <w:rFonts w:ascii="Arial" w:cs="Arial" w:eastAsia="Arial" w:hAnsi="Arial"/>
          <w:sz w:val="16"/>
          <w:szCs w:val="16"/>
          <w:color w:val="auto"/>
        </w:rPr>
        <w:t>.</w:t>
      </w:r>
    </w:p>
    <w:p>
      <w:pPr>
        <w:spacing w:after="0" w:line="176" w:lineRule="exact"/>
        <w:rPr>
          <w:sz w:val="20"/>
          <w:szCs w:val="20"/>
          <w:color w:val="auto"/>
        </w:rPr>
      </w:pPr>
    </w:p>
    <w:p>
      <w:pPr>
        <w:jc w:val="both"/>
        <w:ind w:firstLine="202"/>
        <w:spacing w:after="0" w:line="289" w:lineRule="auto"/>
        <w:rPr>
          <w:sz w:val="20"/>
          <w:szCs w:val="20"/>
          <w:color w:val="auto"/>
        </w:rPr>
      </w:pPr>
      <w:r>
        <w:rPr>
          <w:rFonts w:ascii="Arial" w:cs="Arial" w:eastAsia="Arial" w:hAnsi="Arial"/>
          <w:sz w:val="16"/>
          <w:szCs w:val="16"/>
          <w:color w:val="auto"/>
        </w:rPr>
        <w:t>Goodwill and indefinite-lived intangible assets are not amortized but instead are tested for impairment at least annually, or more frequently if indicators of impairment exist. The Company conducts its annual impairment tests at the beginning of the fourth fiscal quarter. Goodwill and indefinite-lived intangible assets are assessed using either a qualitative or quantitative approach to determine whether it is more likely than not that the fair values of the reporting units or indefinite-lived intangible assets are less than their carrying amounts. The qualitative assessment evaluates factors including macro-economic conditions, industry-specific and company-specific considerations, legal and regulatory environments, and historical performance. If the Company determines that it is more likely than not that the fair value of a reporting unit or an indefinite-lived intangible asset is less than its carrying value, a quantitative assessment is performed. Otherwise, no further assessment is required. The quantitative approach compares the estimated fair value of the reporting unit, including goodwill, or the indefinite-lived intangible asset to its carrying amount. Impairment is indicated if the estimated fair value of the reporting unit or indefinite-lived intangible asset is less than the carrying amount, and an impairment charge is recognized for the differential.</w:t>
      </w:r>
    </w:p>
    <w:p>
      <w:pPr>
        <w:spacing w:after="0" w:line="193" w:lineRule="exact"/>
        <w:rPr>
          <w:sz w:val="20"/>
          <w:szCs w:val="20"/>
          <w:color w:val="auto"/>
        </w:rPr>
      </w:pPr>
    </w:p>
    <w:p>
      <w:pPr>
        <w:jc w:val="both"/>
        <w:ind w:right="20" w:firstLine="191"/>
        <w:spacing w:after="0" w:line="257" w:lineRule="auto"/>
        <w:rPr>
          <w:sz w:val="20"/>
          <w:szCs w:val="20"/>
          <w:color w:val="auto"/>
        </w:rPr>
      </w:pPr>
      <w:r>
        <w:rPr>
          <w:rFonts w:ascii="Arial" w:cs="Arial" w:eastAsia="Arial" w:hAnsi="Arial"/>
          <w:sz w:val="18"/>
          <w:szCs w:val="18"/>
          <w:color w:val="auto"/>
        </w:rPr>
        <w:t>For fiscal year 2021, the Company performed qualitative goodwill impairment assessments for each reporting unit that had goodwill, which consisted of both of the Company’s operating segments, Atkins and Quest, and its indefinite-lived intangible assets. The qualitative assessments did not identify indicators of impairment, and it was determined that it was more likely than not each reporting unit and indefinite-lived intangible had fair values in excess of their carrying values. Accordingly, no further impairment assessment was necessary, and the Company determined neither reporting unit or any indefinite-lived intangibles were impaired. There were no</w:t>
      </w:r>
    </w:p>
    <w:p>
      <w:pPr>
        <w:sectPr>
          <w:pgSz w:w="11900" w:h="16838" w:orient="portrait"/>
          <w:cols w:equalWidth="0" w:num="1">
            <w:col w:w="11240"/>
          </w:cols>
          <w:pgMar w:left="320" w:top="125" w:right="339" w:bottom="1440" w:gutter="0" w:footer="0" w:header="0"/>
        </w:sect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impairment charges related to goodwill in the fifty-two weeks ended August 28, 2021 or since the inception of the Company. There were no impairment charges related to indefinite-lived intangibles recognized in the fifty-two weeks ended August 28, 2021 or the fifty-three weeks ended August 31, 2019. There was a $3.0 million loss on impairment of an indefinite-lived intangible in the fifty-two weeks ended August 29, 2020, as discussed in Note 5, Goodwill and Intangibles.</w:t>
      </w:r>
    </w:p>
    <w:p>
      <w:pPr>
        <w:spacing w:after="0" w:line="214" w:lineRule="exact"/>
        <w:rPr>
          <w:sz w:val="20"/>
          <w:szCs w:val="20"/>
          <w:color w:val="auto"/>
        </w:rPr>
      </w:pPr>
    </w:p>
    <w:p>
      <w:pPr>
        <w:jc w:val="both"/>
        <w:ind w:firstLine="202"/>
        <w:spacing w:after="0" w:line="308" w:lineRule="auto"/>
        <w:rPr>
          <w:sz w:val="20"/>
          <w:szCs w:val="20"/>
          <w:color w:val="auto"/>
        </w:rPr>
      </w:pPr>
      <w:r>
        <w:rPr>
          <w:rFonts w:ascii="Arial" w:cs="Arial" w:eastAsia="Arial" w:hAnsi="Arial"/>
          <w:sz w:val="17"/>
          <w:szCs w:val="17"/>
          <w:color w:val="auto"/>
        </w:rPr>
        <w:t>Finite-lived intangible assets are amortized on a straight-line basis over their estimated useful lives. The Company reviews for impairment indicators of finite-lived intangibles and other long-lived assets as described in the “Property and Equipment, Net” significant accounting policy.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Financing Costs and Debt Discounts</w:t>
      </w:r>
    </w:p>
    <w:p>
      <w:pPr>
        <w:spacing w:after="0" w:line="252" w:lineRule="exact"/>
        <w:rPr>
          <w:sz w:val="20"/>
          <w:szCs w:val="20"/>
          <w:color w:val="auto"/>
        </w:rPr>
      </w:pPr>
    </w:p>
    <w:p>
      <w:pPr>
        <w:jc w:val="both"/>
        <w:ind w:firstLine="215"/>
        <w:spacing w:after="0" w:line="263" w:lineRule="auto"/>
        <w:rPr>
          <w:sz w:val="20"/>
          <w:szCs w:val="20"/>
          <w:color w:val="auto"/>
        </w:rPr>
      </w:pPr>
      <w:r>
        <w:rPr>
          <w:rFonts w:ascii="Arial" w:cs="Arial" w:eastAsia="Arial" w:hAnsi="Arial"/>
          <w:sz w:val="18"/>
          <w:szCs w:val="18"/>
          <w:color w:val="auto"/>
        </w:rPr>
        <w:t>Costs incurred in obtaining long-term financing paid to parties other than creditors are considered a deferred financing cost and are amortized over the terms of the long-term financing agreements using the effective-interest method. Amounts paid to creditors are recorded as a reduction in the proceeds received by the creditor and are considered a discount on the issuance of debt.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jc w:val="both"/>
        <w:ind w:firstLine="271"/>
        <w:spacing w:after="0" w:line="275" w:lineRule="auto"/>
        <w:rPr>
          <w:sz w:val="20"/>
          <w:szCs w:val="20"/>
          <w:color w:val="auto"/>
        </w:rPr>
      </w:pPr>
      <w:r>
        <w:rPr>
          <w:rFonts w:ascii="Arial" w:cs="Arial" w:eastAsia="Arial" w:hAnsi="Arial"/>
          <w:sz w:val="17"/>
          <w:szCs w:val="17"/>
          <w:color w:val="auto"/>
        </w:rPr>
        <w:t>Income taxes include federal, state and foreign taxes currently payable, and deferred taxes arising from temporary differences between income for financial reporting and income tax purposes. Deferred tax assets and liabilities are determined based on the differences between the financial statement balances and the tax basis of assets and liabilities using enacted tax rates in effect for the year in which the differences are expected to reverse. The effect on deferred tax assets and liabilities of a change in tax rates is recognized in income in the fiscal year that includes the enactment date. Valuation allowances are established when necessary to reduce deferred tax assets to amounts expected to be realized.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52" w:lineRule="exact"/>
        <w:rPr>
          <w:sz w:val="20"/>
          <w:szCs w:val="20"/>
          <w:color w:val="auto"/>
        </w:rPr>
      </w:pPr>
    </w:p>
    <w:p>
      <w:pPr>
        <w:jc w:val="both"/>
        <w:ind w:firstLine="194"/>
        <w:spacing w:after="0" w:line="263" w:lineRule="auto"/>
        <w:rPr>
          <w:sz w:val="20"/>
          <w:szCs w:val="20"/>
          <w:color w:val="auto"/>
        </w:rPr>
      </w:pPr>
      <w:r>
        <w:rPr>
          <w:rFonts w:ascii="Arial" w:cs="Arial" w:eastAsia="Arial" w:hAnsi="Arial"/>
          <w:sz w:val="18"/>
          <w:szCs w:val="18"/>
          <w:color w:val="auto"/>
        </w:rPr>
        <w:t>Contracts are evaluated to determine whether they contain a lease at inception. Leases are classified as either finance leases or operating leases based on criteria in ASC Topic 842, Leases. The Company’s operating leases are generally comprised of real estate and certain equipment used in warehousing products. The Company’s finance leases are generally comprised of warehouse equipment.</w:t>
      </w:r>
    </w:p>
    <w:p>
      <w:pPr>
        <w:spacing w:after="0" w:line="211" w:lineRule="exact"/>
        <w:rPr>
          <w:sz w:val="20"/>
          <w:szCs w:val="20"/>
          <w:color w:val="auto"/>
        </w:rPr>
      </w:pPr>
    </w:p>
    <w:p>
      <w:pPr>
        <w:jc w:val="both"/>
        <w:ind w:firstLine="251"/>
        <w:spacing w:after="0" w:line="254" w:lineRule="auto"/>
        <w:rPr>
          <w:sz w:val="20"/>
          <w:szCs w:val="20"/>
          <w:color w:val="auto"/>
        </w:rPr>
      </w:pPr>
      <w:r>
        <w:rPr>
          <w:rFonts w:ascii="Arial" w:cs="Arial" w:eastAsia="Arial" w:hAnsi="Arial"/>
          <w:sz w:val="18"/>
          <w:szCs w:val="18"/>
          <w:color w:val="auto"/>
        </w:rPr>
        <w:t>Right-of-use assets and lease liabilities are recognized at the lease commencement date based on the present value of lease payments over the lease term. The majority of the Company’s leases do not provide an implicit rate; therefore, the Company uses its secured incremental borrowing rate based on the information available at the lease commencement date in determining the present value of future payments for those leases. The Company’s incremental borrowing rate for a lease is the rate of interest it would pay to borrow on a collateralized basis over a similar term to the lease in a similar economic environment. The Company applied incremental borrowing rates using a portfolio approach. Right-of-use assets also include any lease payments made and exclude lease incentives. Lease terms may include options to extend or terminate the lease when it is reasonably certain that the Company will exercise that option. The Company has elected not to recognize right-of-use assets and lease liabilities for short-term operating leases that have a term of one year or less.</w:t>
      </w:r>
    </w:p>
    <w:p>
      <w:pPr>
        <w:spacing w:after="0" w:line="219" w:lineRule="exact"/>
        <w:rPr>
          <w:sz w:val="20"/>
          <w:szCs w:val="20"/>
          <w:color w:val="auto"/>
        </w:rPr>
      </w:pPr>
    </w:p>
    <w:p>
      <w:pPr>
        <w:jc w:val="both"/>
        <w:ind w:firstLine="185"/>
        <w:spacing w:after="0" w:line="311" w:lineRule="auto"/>
        <w:rPr>
          <w:sz w:val="20"/>
          <w:szCs w:val="20"/>
          <w:color w:val="auto"/>
        </w:rPr>
      </w:pPr>
      <w:r>
        <w:rPr>
          <w:rFonts w:ascii="Arial" w:cs="Arial" w:eastAsia="Arial" w:hAnsi="Arial"/>
          <w:sz w:val="16"/>
          <w:szCs w:val="16"/>
          <w:color w:val="auto"/>
        </w:rPr>
        <w:t>The Company monitors for triggering events or conditions that require a reassessment of its leases. When the reassessment requires a re-measurement of the lease liability, a corresponding adjustment is made to the carrying amount of the right-of-use asset. Additionally, the Company reviewed for impairment indicators of its right-of-use assets and other long-lived assets as described in the “Property and Equipment, Net” significant accounting policy.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Accounting</w:t>
      </w:r>
    </w:p>
    <w:p>
      <w:pPr>
        <w:spacing w:after="0" w:line="252" w:lineRule="exact"/>
        <w:rPr>
          <w:sz w:val="20"/>
          <w:szCs w:val="20"/>
          <w:color w:val="auto"/>
        </w:rPr>
      </w:pPr>
    </w:p>
    <w:p>
      <w:pPr>
        <w:jc w:val="both"/>
        <w:ind w:firstLine="205"/>
        <w:spacing w:after="0" w:line="257" w:lineRule="auto"/>
        <w:rPr>
          <w:sz w:val="20"/>
          <w:szCs w:val="20"/>
          <w:color w:val="auto"/>
        </w:rPr>
      </w:pPr>
      <w:r>
        <w:rPr>
          <w:rFonts w:ascii="Arial" w:cs="Arial" w:eastAsia="Arial" w:hAnsi="Arial"/>
          <w:sz w:val="18"/>
          <w:szCs w:val="18"/>
          <w:color w:val="auto"/>
        </w:rPr>
        <w:t>The Company does not use derivative instruments to hedge exposures to cash flow, market, or foreign currency risks. The Company evaluates all of its financial instruments, including issued private placement stock purchase warrants, to determine if such instruments are derivatives or contain features that qualify as embedded derivatives, pursuant to ASC Topic 480, Distinguishing Liabilities from Equity, and ASC Topic 815-40, Derivatives and Hedging: Contracts in Entity’s Own Equity (“ASC 815-40”). The classification of derivative instruments, including whether such instruments should be recorded as liabilities or as equity, is assessed as part of this evaluation.</w:t>
      </w:r>
    </w:p>
    <w:p>
      <w:pPr>
        <w:spacing w:after="0" w:line="215" w:lineRule="exact"/>
        <w:rPr>
          <w:sz w:val="20"/>
          <w:szCs w:val="20"/>
          <w:color w:val="auto"/>
        </w:rPr>
      </w:pPr>
    </w:p>
    <w:p>
      <w:pPr>
        <w:jc w:val="both"/>
        <w:ind w:firstLine="281"/>
        <w:spacing w:after="0" w:line="259" w:lineRule="auto"/>
        <w:rPr>
          <w:sz w:val="20"/>
          <w:szCs w:val="20"/>
          <w:color w:val="auto"/>
        </w:rPr>
      </w:pPr>
      <w:r>
        <w:rPr>
          <w:rFonts w:ascii="Arial" w:cs="Arial" w:eastAsia="Arial" w:hAnsi="Arial"/>
          <w:sz w:val="18"/>
          <w:szCs w:val="18"/>
          <w:color w:val="auto"/>
        </w:rPr>
        <w:t>Prior to the Business Combination, Conyers Park issued 13,416,667 public warrants and 6,700,000 private warrants (the “Private Warrants”). The Company assumed the Conyers Park warrants to purchase common stock in connection with the Business Combination. As a result of the Business Combination, the warrants issued by Conyers Park were no longer exercisable for shares of Conyers Park common stock, but were instead exercisable for common stock of the Company. All other features of the warrants were unchanged.</w:t>
      </w:r>
    </w:p>
    <w:p>
      <w:pPr>
        <w:spacing w:after="0" w:line="214" w:lineRule="exact"/>
        <w:rPr>
          <w:sz w:val="20"/>
          <w:szCs w:val="20"/>
          <w:color w:val="auto"/>
        </w:rPr>
      </w:pPr>
    </w:p>
    <w:p>
      <w:pPr>
        <w:jc w:val="both"/>
        <w:ind w:firstLine="249"/>
        <w:spacing w:after="0" w:line="263" w:lineRule="auto"/>
        <w:rPr>
          <w:sz w:val="20"/>
          <w:szCs w:val="20"/>
          <w:color w:val="auto"/>
        </w:rPr>
      </w:pPr>
      <w:r>
        <w:rPr>
          <w:rFonts w:ascii="Arial" w:cs="Arial" w:eastAsia="Arial" w:hAnsi="Arial"/>
          <w:sz w:val="18"/>
          <w:szCs w:val="18"/>
          <w:color w:val="auto"/>
        </w:rPr>
        <w:t>Each whole warrant entitles the holder to purchase one share of the Company’s common stock at a price of $11.50 per share. The warrants became exercisable 30 days after the completion of the Business Combination and expire five years after that date, or earlier upon redemption or liquidation, as applicable.</w:t>
      </w:r>
    </w:p>
    <w:p>
      <w:pPr>
        <w:sectPr>
          <w:pgSz w:w="11900" w:h="16838" w:orient="portrait"/>
          <w:cols w:equalWidth="0" w:num="1">
            <w:col w:w="11240"/>
          </w:cols>
          <w:pgMar w:left="320" w:top="125" w:right="339" w:bottom="1440" w:gutter="0" w:footer="0" w:header="0"/>
        </w:sect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183"/>
        <w:spacing w:after="0" w:line="271" w:lineRule="auto"/>
        <w:rPr>
          <w:sz w:val="20"/>
          <w:szCs w:val="20"/>
          <w:color w:val="auto"/>
        </w:rPr>
      </w:pPr>
      <w:r>
        <w:rPr>
          <w:rFonts w:ascii="Arial" w:cs="Arial" w:eastAsia="Arial" w:hAnsi="Arial"/>
          <w:sz w:val="17"/>
          <w:szCs w:val="17"/>
          <w:color w:val="auto"/>
        </w:rPr>
        <w:t xml:space="preserve">The assumed 13,416,667 public warrants qualified for equity classification until the warrants were fully redeemed in fiscal 2019. As of August 28, 2021, the 6,700,000 Private Warrants remain outstanding and are precluded from equity classification, being liability-classified. The Company accounts for these Private Warrants as a derivative warrant liability in accordance with ASC 815-40. Accordingly, the Company recognizes the Private Warrants as a liability at fair value and adjusts the Private Warrants to fair value at each reporting period through other income. The fair value adjustments are determined by using a Black-Scholes option-pricing methodology (“Black-Scholes model”). The valuation is primarily based on observable market data while the related theoretical private warrant volatility assumption within the Black-Scholes model represents a Level 3 measurement within the fair value measurement hierarchy. The periodic remeasurement of the Private Warrants is reflected in </w:t>
      </w:r>
      <w:r>
        <w:rPr>
          <w:rFonts w:ascii="Arial" w:cs="Arial" w:eastAsia="Arial" w:hAnsi="Arial"/>
          <w:sz w:val="17"/>
          <w:szCs w:val="17"/>
          <w:i w:val="1"/>
          <w:iCs w:val="1"/>
          <w:color w:val="auto"/>
        </w:rPr>
        <w:t>(Loss) gain in fair value change of warrant liability</w:t>
      </w:r>
      <w:r>
        <w:rPr>
          <w:rFonts w:ascii="Arial" w:cs="Arial" w:eastAsia="Arial" w:hAnsi="Arial"/>
          <w:sz w:val="17"/>
          <w:szCs w:val="17"/>
          <w:color w:val="auto"/>
        </w:rPr>
        <w:t xml:space="preserve"> within the Consolidated Statements of Operations and Comprehensive Income (Loss).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jc w:val="both"/>
        <w:ind w:firstLine="287"/>
        <w:spacing w:after="0" w:line="259" w:lineRule="auto"/>
        <w:rPr>
          <w:sz w:val="20"/>
          <w:szCs w:val="20"/>
          <w:color w:val="auto"/>
        </w:rPr>
      </w:pPr>
      <w:r>
        <w:rPr>
          <w:rFonts w:ascii="Arial" w:cs="Arial" w:eastAsia="Arial" w:hAnsi="Arial"/>
          <w:sz w:val="18"/>
          <w:szCs w:val="18"/>
          <w:color w:val="auto"/>
        </w:rPr>
        <w:t>The Company recognizes revenue when performance obligations under the terms of a contract with its customer are satisfied. The Company has determined that fulfilling and delivering products is a single performance obligation. Revenue is recognized at the point in time when the Company has satisfied its performance obligation and the customer has obtained control of the products. This generally occurs when the product is delivered to or picked up by the customer based on applicable shipping terms, which is typically within 30 days.</w:t>
      </w:r>
    </w:p>
    <w:p>
      <w:pPr>
        <w:spacing w:after="0" w:line="214" w:lineRule="exact"/>
        <w:rPr>
          <w:sz w:val="20"/>
          <w:szCs w:val="20"/>
          <w:color w:val="auto"/>
        </w:rPr>
      </w:pPr>
    </w:p>
    <w:p>
      <w:pPr>
        <w:jc w:val="both"/>
        <w:ind w:firstLine="234"/>
        <w:spacing w:after="0" w:line="254" w:lineRule="auto"/>
        <w:rPr>
          <w:sz w:val="20"/>
          <w:szCs w:val="20"/>
          <w:color w:val="auto"/>
        </w:rPr>
      </w:pPr>
      <w:r>
        <w:rPr>
          <w:rFonts w:ascii="Arial" w:cs="Arial" w:eastAsia="Arial" w:hAnsi="Arial"/>
          <w:sz w:val="18"/>
          <w:szCs w:val="18"/>
          <w:color w:val="auto"/>
        </w:rPr>
        <w:t>Revenue is measured as the amount of consideration expected to be received in exchange for fulfilled product orders, including estimates of variable consideration. The most common forms of variable consideration include trade promotions, such as consumer incentives, coupon redemptions and other marketing activities, allowances for unsaleable product, and any additional amounts where a distinct good or service cannot be identified or the value cannot be reasonably estimated. Trade promotions are recorded as a reduction to net sales with a corresponding reduction to accounts receivable at the time of revenue recognition for the underlying sale. The recognition of trade promotions requires management to make estimates regarding the volume of incentive that will be redeemed and their total cost. At August 28, 2021 and August 29, 2020, the allowance for trade promotions was $22.3 million and $25.2 million, respectively.</w:t>
      </w:r>
    </w:p>
    <w:p>
      <w:pPr>
        <w:spacing w:after="0" w:line="222" w:lineRule="exact"/>
        <w:rPr>
          <w:sz w:val="20"/>
          <w:szCs w:val="20"/>
          <w:color w:val="auto"/>
        </w:rPr>
      </w:pPr>
    </w:p>
    <w:p>
      <w:pPr>
        <w:jc w:val="both"/>
        <w:ind w:firstLine="204"/>
        <w:spacing w:after="0" w:line="291" w:lineRule="auto"/>
        <w:rPr>
          <w:sz w:val="20"/>
          <w:szCs w:val="20"/>
          <w:color w:val="auto"/>
        </w:rPr>
      </w:pPr>
      <w:r>
        <w:rPr>
          <w:rFonts w:ascii="Arial" w:cs="Arial" w:eastAsia="Arial" w:hAnsi="Arial"/>
          <w:sz w:val="16"/>
          <w:szCs w:val="16"/>
          <w:color w:val="auto"/>
        </w:rPr>
        <w:t>Estimates of variable consideration are made using various information including historical data on performance of similar trade promotional activities, market data from IRI, and the Company’s best estimate of current activity. The Company reviews these estimates regularly and makes revisions as necessary. Revisions can include changes for consideration paid to customers that lack sufficient evidence to support a distinct good or service assertion, or for which a reasonably estimable fair value cannot be determined, primarily related to the Company’s assessments of cooperative advertising programs. Uncertainties related to the estimate of variable consideration are resolved in a short time frame and do not require any additional constraint on variable consideration. Adjustments to variable consideration are recognized in the period the adjustments are identified and have historically been insignificant. Revenue is recognized net of any taxes collected from customers and subsequently remitted to governmental authorities.</w:t>
      </w:r>
    </w:p>
    <w:p>
      <w:pPr>
        <w:spacing w:after="0" w:line="193" w:lineRule="exact"/>
        <w:rPr>
          <w:sz w:val="20"/>
          <w:szCs w:val="20"/>
          <w:color w:val="auto"/>
        </w:rPr>
      </w:pPr>
    </w:p>
    <w:p>
      <w:pPr>
        <w:jc w:val="both"/>
        <w:ind w:firstLine="249"/>
        <w:spacing w:after="0" w:line="279" w:lineRule="auto"/>
        <w:rPr>
          <w:sz w:val="20"/>
          <w:szCs w:val="20"/>
          <w:color w:val="auto"/>
        </w:rPr>
      </w:pPr>
      <w:r>
        <w:rPr>
          <w:rFonts w:ascii="Arial" w:cs="Arial" w:eastAsia="Arial" w:hAnsi="Arial"/>
          <w:sz w:val="17"/>
          <w:szCs w:val="17"/>
          <w:color w:val="auto"/>
        </w:rPr>
        <w:t>The Company provides standard assurance type warranties that its products will comply with all agreed-upon specifications. No services beyond an assurance type warranty are provided to customers. While customers generally have a right to return defective or non-conforming products, past experience has demonstrated that product returns have been immaterial. Customer remedies for defective or non-conforming products may include a refund or exchange. As a result, the right of return is estimated and recorded as a reduction in revenue at the time of sale, if necessary.</w:t>
      </w:r>
    </w:p>
    <w:p>
      <w:pPr>
        <w:spacing w:after="0" w:line="198" w:lineRule="exact"/>
        <w:rPr>
          <w:sz w:val="20"/>
          <w:szCs w:val="20"/>
          <w:color w:val="auto"/>
        </w:rPr>
      </w:pPr>
    </w:p>
    <w:p>
      <w:pPr>
        <w:jc w:val="both"/>
        <w:ind w:firstLine="226"/>
        <w:spacing w:after="0" w:line="259" w:lineRule="auto"/>
        <w:rPr>
          <w:sz w:val="20"/>
          <w:szCs w:val="20"/>
          <w:color w:val="auto"/>
        </w:rPr>
      </w:pPr>
      <w:r>
        <w:rPr>
          <w:rFonts w:ascii="Arial" w:cs="Arial" w:eastAsia="Arial" w:hAnsi="Arial"/>
          <w:sz w:val="18"/>
          <w:szCs w:val="18"/>
          <w:color w:val="auto"/>
        </w:rPr>
        <w:t xml:space="preserve">The Company’s customer contracts identify product quantity, price and payment terms. Payment terms are granted consistent with industry standards. Although some payment terms may be more extended, the majority of the Company’s payment terms are less than 60 days. As a result, revenue is not adjusted for the effects of a significant financing component. Amounts billed and due from customers are classified as </w:t>
      </w:r>
      <w:r>
        <w:rPr>
          <w:rFonts w:ascii="Arial" w:cs="Arial" w:eastAsia="Arial" w:hAnsi="Arial"/>
          <w:sz w:val="18"/>
          <w:szCs w:val="18"/>
          <w:i w:val="1"/>
          <w:iCs w:val="1"/>
          <w:color w:val="auto"/>
        </w:rPr>
        <w:t>Accounts receivable, net</w:t>
      </w:r>
      <w:r>
        <w:rPr>
          <w:rFonts w:ascii="Arial" w:cs="Arial" w:eastAsia="Arial" w:hAnsi="Arial"/>
          <w:sz w:val="18"/>
          <w:szCs w:val="18"/>
          <w:color w:val="auto"/>
        </w:rPr>
        <w:t xml:space="preserve"> on the Consolidated Balance Sheets.</w:t>
      </w:r>
    </w:p>
    <w:p>
      <w:pPr>
        <w:spacing w:after="0" w:line="214" w:lineRule="exact"/>
        <w:rPr>
          <w:sz w:val="20"/>
          <w:szCs w:val="20"/>
          <w:color w:val="auto"/>
        </w:rPr>
      </w:pPr>
    </w:p>
    <w:p>
      <w:pPr>
        <w:jc w:val="both"/>
        <w:ind w:firstLine="209"/>
        <w:spacing w:after="0" w:line="263" w:lineRule="auto"/>
        <w:rPr>
          <w:sz w:val="20"/>
          <w:szCs w:val="20"/>
          <w:color w:val="auto"/>
        </w:rPr>
      </w:pPr>
      <w:r>
        <w:rPr>
          <w:rFonts w:ascii="Arial" w:cs="Arial" w:eastAsia="Arial" w:hAnsi="Arial"/>
          <w:sz w:val="18"/>
          <w:szCs w:val="18"/>
          <w:color w:val="auto"/>
        </w:rPr>
        <w:t>The Company utilizes third-party contract manufacturers for the manufacture of its products. The Company has evaluated whether it is the principal or agent in these relationships. The Company has determined that it is the principal in all cases, as it retains the responsibility for fulfillment and risk of loss, as well as establishes the price.</w:t>
      </w:r>
    </w:p>
    <w:p>
      <w:pPr>
        <w:spacing w:after="0" w:line="211" w:lineRule="exact"/>
        <w:rPr>
          <w:sz w:val="20"/>
          <w:szCs w:val="20"/>
          <w:color w:val="auto"/>
        </w:rPr>
      </w:pPr>
    </w:p>
    <w:p>
      <w:pPr>
        <w:jc w:val="both"/>
        <w:ind w:firstLine="322"/>
        <w:spacing w:after="0" w:line="279" w:lineRule="auto"/>
        <w:rPr>
          <w:sz w:val="20"/>
          <w:szCs w:val="20"/>
          <w:color w:val="auto"/>
        </w:rPr>
      </w:pPr>
      <w:r>
        <w:rPr>
          <w:rFonts w:ascii="Arial" w:cs="Arial" w:eastAsia="Arial" w:hAnsi="Arial"/>
          <w:sz w:val="17"/>
          <w:szCs w:val="17"/>
          <w:color w:val="auto"/>
        </w:rPr>
        <w:t xml:space="preserve">In accordance with ASC Topic 606, Revenue from Contracts with Customers, the Company has elected the practical expedient to expense the incremental costs to obtain a contract, because the amortization period would be less than one year, and the practical expedient for shipping and handling costs. Shipping and handling costs incurred to deliver products to customers are accounted for as fulfillment activities, rather than a promised service, and as such are included in </w:t>
      </w:r>
      <w:r>
        <w:rPr>
          <w:rFonts w:ascii="Arial" w:cs="Arial" w:eastAsia="Arial" w:hAnsi="Arial"/>
          <w:sz w:val="17"/>
          <w:szCs w:val="17"/>
          <w:i w:val="1"/>
          <w:iCs w:val="1"/>
          <w:color w:val="auto"/>
        </w:rPr>
        <w:t>Cost of goods sold</w:t>
      </w:r>
      <w:r>
        <w:rPr>
          <w:rFonts w:ascii="Arial" w:cs="Arial" w:eastAsia="Arial" w:hAnsi="Arial"/>
          <w:sz w:val="17"/>
          <w:szCs w:val="17"/>
          <w:color w:val="auto"/>
        </w:rPr>
        <w:t xml:space="preserve"> in the Consolidated Statements of Operations and Comprehensive Income (Loss).</w:t>
      </w:r>
    </w:p>
    <w:p>
      <w:pPr>
        <w:spacing w:after="0" w:line="198" w:lineRule="exact"/>
        <w:rPr>
          <w:sz w:val="20"/>
          <w:szCs w:val="20"/>
          <w:color w:val="auto"/>
        </w:rPr>
      </w:pPr>
    </w:p>
    <w:p>
      <w:pPr>
        <w:jc w:val="both"/>
        <w:ind w:firstLine="214"/>
        <w:spacing w:after="0" w:line="342" w:lineRule="auto"/>
        <w:rPr>
          <w:sz w:val="20"/>
          <w:szCs w:val="20"/>
          <w:color w:val="auto"/>
        </w:rPr>
      </w:pPr>
      <w:r>
        <w:rPr>
          <w:rFonts w:ascii="Arial" w:cs="Arial" w:eastAsia="Arial" w:hAnsi="Arial"/>
          <w:sz w:val="16"/>
          <w:szCs w:val="16"/>
          <w:color w:val="auto"/>
        </w:rPr>
        <w:t>Revenues from transactions with external customers for each of the Company’s products would be impracticable to disclose and management does not view its business by product line. For revenue disaggregated by geographic area and brand refer to Note 16, Segment and Customer Information.</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52" w:lineRule="exact"/>
        <w:rPr>
          <w:sz w:val="20"/>
          <w:szCs w:val="20"/>
          <w:color w:val="auto"/>
        </w:rPr>
      </w:pPr>
    </w:p>
    <w:p>
      <w:pPr>
        <w:jc w:val="both"/>
        <w:ind w:firstLine="190"/>
        <w:spacing w:after="0" w:line="263" w:lineRule="auto"/>
        <w:rPr>
          <w:sz w:val="20"/>
          <w:szCs w:val="20"/>
          <w:color w:val="auto"/>
        </w:rPr>
      </w:pPr>
      <w:r>
        <w:rPr>
          <w:rFonts w:ascii="Arial" w:cs="Arial" w:eastAsia="Arial" w:hAnsi="Arial"/>
          <w:sz w:val="18"/>
          <w:szCs w:val="18"/>
          <w:color w:val="auto"/>
        </w:rPr>
        <w:t>Costs of goods sold represent costs directly related to the manufacture and distribution of the Company’s products. Such costs include raw materials, co-manufacturing costs, packaging, shipping and handling, third-party distribution, and depreciation of distribution center equipment and leasehold improvements.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252" w:lineRule="exact"/>
        <w:rPr>
          <w:sz w:val="20"/>
          <w:szCs w:val="20"/>
          <w:color w:val="auto"/>
        </w:rPr>
      </w:pPr>
    </w:p>
    <w:p>
      <w:pPr>
        <w:jc w:val="both"/>
        <w:ind w:firstLine="201"/>
        <w:spacing w:after="0" w:line="259" w:lineRule="auto"/>
        <w:rPr>
          <w:sz w:val="20"/>
          <w:szCs w:val="20"/>
          <w:color w:val="auto"/>
        </w:rPr>
      </w:pPr>
      <w:r>
        <w:rPr>
          <w:rFonts w:ascii="Arial" w:cs="Arial" w:eastAsia="Arial" w:hAnsi="Arial"/>
          <w:sz w:val="18"/>
          <w:szCs w:val="18"/>
          <w:color w:val="auto"/>
        </w:rPr>
        <w:t xml:space="preserve">Shipping and handling costs include costs paid to third-party warehouse operators associated with delivering product to customers and depreciation and amortization of assets at the third-party warehouse. Shipping and handling costs are recognized in </w:t>
      </w:r>
      <w:r>
        <w:rPr>
          <w:rFonts w:ascii="Arial" w:cs="Arial" w:eastAsia="Arial" w:hAnsi="Arial"/>
          <w:sz w:val="18"/>
          <w:szCs w:val="18"/>
          <w:i w:val="1"/>
          <w:iCs w:val="1"/>
          <w:color w:val="auto"/>
        </w:rPr>
        <w:t>Cost of goods sold</w:t>
      </w:r>
      <w:r>
        <w:rPr>
          <w:rFonts w:ascii="Arial" w:cs="Arial" w:eastAsia="Arial" w:hAnsi="Arial"/>
          <w:sz w:val="18"/>
          <w:szCs w:val="18"/>
          <w:color w:val="auto"/>
        </w:rPr>
        <w:t>. Costs of $66.5 million for the fifty-two weeks ended August 28, 2021, $49.8 million for the fifty-two weeks ended August 29, 2020, and $32.3 million for the fifty-three weeks ended August 31, 2019 were recorded relating to products shipped to customers.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252" w:lineRule="exact"/>
        <w:rPr>
          <w:sz w:val="20"/>
          <w:szCs w:val="20"/>
          <w:color w:val="auto"/>
        </w:rPr>
      </w:pPr>
    </w:p>
    <w:p>
      <w:pPr>
        <w:jc w:val="both"/>
        <w:ind w:firstLine="234"/>
        <w:spacing w:after="0" w:line="286" w:lineRule="auto"/>
        <w:rPr>
          <w:sz w:val="20"/>
          <w:szCs w:val="20"/>
          <w:color w:val="auto"/>
        </w:rPr>
      </w:pPr>
      <w:r>
        <w:rPr>
          <w:rFonts w:ascii="Arial" w:cs="Arial" w:eastAsia="Arial" w:hAnsi="Arial"/>
          <w:sz w:val="17"/>
          <w:szCs w:val="17"/>
          <w:color w:val="auto"/>
        </w:rPr>
        <w:t xml:space="preserve">Production costs related to television commercials are expensed when first aired. All other advertising costs are expensed when incurred or when the advertising service is received through </w:t>
      </w:r>
      <w:r>
        <w:rPr>
          <w:rFonts w:ascii="Arial" w:cs="Arial" w:eastAsia="Arial" w:hAnsi="Arial"/>
          <w:sz w:val="17"/>
          <w:szCs w:val="17"/>
          <w:i w:val="1"/>
          <w:iCs w:val="1"/>
          <w:color w:val="auto"/>
        </w:rPr>
        <w:t>Selling and marketing</w:t>
      </w:r>
      <w:r>
        <w:rPr>
          <w:rFonts w:ascii="Arial" w:cs="Arial" w:eastAsia="Arial" w:hAnsi="Arial"/>
          <w:sz w:val="17"/>
          <w:szCs w:val="17"/>
          <w:color w:val="auto"/>
        </w:rPr>
        <w:t>. Total advertising costs were $74.9 million for the fifty-two weeks ended August 28, 2021, $55.3 million for the fifty-two weeks ended August 29, 2020, and $35.4 million for the fifty-three weeks ended August 31, 2019.</w:t>
      </w:r>
    </w:p>
    <w:p>
      <w:pPr>
        <w:spacing w:after="0" w:line="192" w:lineRule="exact"/>
        <w:rPr>
          <w:sz w:val="20"/>
          <w:szCs w:val="20"/>
          <w:color w:val="auto"/>
        </w:rPr>
      </w:pPr>
    </w:p>
    <w:p>
      <w:pPr>
        <w:jc w:val="both"/>
        <w:ind w:firstLine="189"/>
        <w:spacing w:after="0" w:line="263" w:lineRule="auto"/>
        <w:rPr>
          <w:sz w:val="20"/>
          <w:szCs w:val="20"/>
          <w:color w:val="auto"/>
        </w:rPr>
      </w:pPr>
      <w:r>
        <w:rPr>
          <w:rFonts w:ascii="Arial" w:cs="Arial" w:eastAsia="Arial" w:hAnsi="Arial"/>
          <w:sz w:val="18"/>
          <w:szCs w:val="18"/>
          <w:color w:val="auto"/>
        </w:rPr>
        <w:t xml:space="preserve">Production costs related to television commercials not yet aired and prepaid advertising services not yet received are included in </w:t>
      </w:r>
      <w:r>
        <w:rPr>
          <w:rFonts w:ascii="Arial" w:cs="Arial" w:eastAsia="Arial" w:hAnsi="Arial"/>
          <w:sz w:val="18"/>
          <w:szCs w:val="18"/>
          <w:i w:val="1"/>
          <w:iCs w:val="1"/>
          <w:color w:val="auto"/>
        </w:rPr>
        <w:t>Prepaid expenses</w:t>
      </w:r>
      <w:r>
        <w:rPr>
          <w:rFonts w:ascii="Arial" w:cs="Arial" w:eastAsia="Arial" w:hAnsi="Arial"/>
          <w:sz w:val="18"/>
          <w:szCs w:val="18"/>
          <w:color w:val="auto"/>
        </w:rPr>
        <w:t xml:space="preserve"> in the accompanying Consolidated Balance Sheets. Total prepaid advertising expenses were $1.6 million and $0.2 million at August 28, 2021 and August 29,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Activities</w:t>
      </w:r>
    </w:p>
    <w:p>
      <w:pPr>
        <w:spacing w:after="0" w:line="252" w:lineRule="exact"/>
        <w:rPr>
          <w:sz w:val="20"/>
          <w:szCs w:val="20"/>
          <w:color w:val="auto"/>
        </w:rPr>
      </w:pPr>
    </w:p>
    <w:p>
      <w:pPr>
        <w:jc w:val="both"/>
        <w:ind w:firstLine="210"/>
        <w:spacing w:after="0" w:line="257" w:lineRule="auto"/>
        <w:rPr>
          <w:sz w:val="20"/>
          <w:szCs w:val="20"/>
          <w:color w:val="auto"/>
        </w:rPr>
      </w:pPr>
      <w:r>
        <w:rPr>
          <w:rFonts w:ascii="Arial" w:cs="Arial" w:eastAsia="Arial" w:hAnsi="Arial"/>
          <w:sz w:val="18"/>
          <w:szCs w:val="18"/>
          <w:color w:val="auto"/>
        </w:rPr>
        <w:t xml:space="preserve">The Company’s research and development activities primarily consist of generating and testing new product concepts, new flavors and packaging. The Company expenses research and development costs as incurred related to compensation, facility costs, consulting, and supplies. Research and development activities are primarily internal and associated costs are included in </w:t>
      </w:r>
      <w:r>
        <w:rPr>
          <w:rFonts w:ascii="Arial" w:cs="Arial" w:eastAsia="Arial" w:hAnsi="Arial"/>
          <w:sz w:val="18"/>
          <w:szCs w:val="18"/>
          <w:i w:val="1"/>
          <w:iCs w:val="1"/>
          <w:color w:val="auto"/>
        </w:rPr>
        <w:t>General and administrative</w:t>
      </w:r>
      <w:r>
        <w:rPr>
          <w:rFonts w:ascii="Arial" w:cs="Arial" w:eastAsia="Arial" w:hAnsi="Arial"/>
          <w:sz w:val="18"/>
          <w:szCs w:val="18"/>
          <w:color w:val="auto"/>
        </w:rPr>
        <w:t>. The Company’s total research and development expenses were $3.5 million for the fifty-two weeks ended August 28, 2021, $4.0 million for the fifty-two weeks ended August 29, 2020, and $2.2 million for the fifty-three weeks ended August 31, 2019.</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52" w:lineRule="exact"/>
        <w:rPr>
          <w:sz w:val="20"/>
          <w:szCs w:val="20"/>
          <w:color w:val="auto"/>
        </w:rPr>
      </w:pPr>
    </w:p>
    <w:p>
      <w:pPr>
        <w:jc w:val="both"/>
        <w:ind w:firstLine="316"/>
        <w:spacing w:after="0" w:line="259" w:lineRule="auto"/>
        <w:rPr>
          <w:sz w:val="20"/>
          <w:szCs w:val="20"/>
          <w:color w:val="auto"/>
        </w:rPr>
      </w:pPr>
      <w:r>
        <w:rPr>
          <w:rFonts w:ascii="Arial" w:cs="Arial" w:eastAsia="Arial" w:hAnsi="Arial"/>
          <w:sz w:val="18"/>
          <w:szCs w:val="18"/>
          <w:color w:val="auto"/>
        </w:rPr>
        <w:t xml:space="preserve">The Company uses share-based compensation, including stock options, restricted stock units and performance stock units, to provide long-term performance incentives for its employees and directors. Share-based compensation is recognized on a straight-line basis over the requisite service period of the award based on their grant-date fair value. Forfeitures are recognized as they occur. Share-based compensation expense is included in </w:t>
      </w:r>
      <w:r>
        <w:rPr>
          <w:rFonts w:ascii="Arial" w:cs="Arial" w:eastAsia="Arial" w:hAnsi="Arial"/>
          <w:sz w:val="18"/>
          <w:szCs w:val="18"/>
          <w:i w:val="1"/>
          <w:iCs w:val="1"/>
          <w:color w:val="auto"/>
        </w:rPr>
        <w:t>General and</w:t>
      </w:r>
      <w:r>
        <w:rPr>
          <w:rFonts w:ascii="Arial" w:cs="Arial" w:eastAsia="Arial" w:hAnsi="Arial"/>
          <w:sz w:val="18"/>
          <w:szCs w:val="18"/>
          <w:color w:val="auto"/>
        </w:rPr>
        <w:t xml:space="preserve"> </w:t>
      </w:r>
      <w:r>
        <w:rPr>
          <w:rFonts w:ascii="Arial" w:cs="Arial" w:eastAsia="Arial" w:hAnsi="Arial"/>
          <w:sz w:val="18"/>
          <w:szCs w:val="18"/>
          <w:i w:val="1"/>
          <w:iCs w:val="1"/>
          <w:color w:val="auto"/>
        </w:rPr>
        <w:t>administrative.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w:t>
      </w:r>
    </w:p>
    <w:p>
      <w:pPr>
        <w:spacing w:after="0" w:line="252" w:lineRule="exact"/>
        <w:rPr>
          <w:sz w:val="20"/>
          <w:szCs w:val="20"/>
          <w:color w:val="auto"/>
        </w:rPr>
      </w:pPr>
    </w:p>
    <w:p>
      <w:pPr>
        <w:jc w:val="both"/>
        <w:ind w:firstLine="177"/>
        <w:spacing w:after="0" w:line="259" w:lineRule="auto"/>
        <w:rPr>
          <w:sz w:val="20"/>
          <w:szCs w:val="20"/>
          <w:color w:val="auto"/>
        </w:rPr>
      </w:pPr>
      <w:r>
        <w:rPr>
          <w:rFonts w:ascii="Arial" w:cs="Arial" w:eastAsia="Arial" w:hAnsi="Arial"/>
          <w:sz w:val="18"/>
          <w:szCs w:val="18"/>
          <w:color w:val="auto"/>
        </w:rPr>
        <w:t>The Company sponsors defined contribution plans to provide retirement benefits to its employees. The Company’s 401(k) plan and similar plans for non-domestic employees are based on a portion of eligible pay up to a defined maximum. All matching contributions are made in cash. Expense associated with defined contribution plans was $1.4 million for the fifty-two weeks ended August 28, 2021, $1.3 million for the fifty-two weeks ended August 29, 2020, and $0.6 million for the fifty-three weeks ended August 31, 2019.</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52" w:lineRule="exact"/>
        <w:rPr>
          <w:sz w:val="20"/>
          <w:szCs w:val="20"/>
          <w:color w:val="auto"/>
        </w:rPr>
      </w:pPr>
    </w:p>
    <w:p>
      <w:pPr>
        <w:jc w:val="both"/>
        <w:ind w:firstLine="188"/>
        <w:spacing w:after="0" w:line="259" w:lineRule="auto"/>
        <w:rPr>
          <w:sz w:val="20"/>
          <w:szCs w:val="20"/>
          <w:color w:val="auto"/>
        </w:rPr>
      </w:pPr>
      <w:r>
        <w:rPr>
          <w:rFonts w:ascii="Arial" w:cs="Arial" w:eastAsia="Arial" w:hAnsi="Arial"/>
          <w:sz w:val="18"/>
          <w:szCs w:val="18"/>
          <w:color w:val="auto"/>
        </w:rPr>
        <w:t xml:space="preserve">For all foreign operations, the functional currency is the local currency. Assets and liabilities of these operations are translated into U.S. dollars using the exchange rate in effect at the end of each reporting period. Income statement accounts are translated at the average exchange rate prevailing during each reporting period. Translation adjustments are recorded as a component of </w:t>
      </w:r>
      <w:r>
        <w:rPr>
          <w:rFonts w:ascii="Arial" w:cs="Arial" w:eastAsia="Arial" w:hAnsi="Arial"/>
          <w:sz w:val="18"/>
          <w:szCs w:val="18"/>
          <w:i w:val="1"/>
          <w:iCs w:val="1"/>
          <w:color w:val="auto"/>
        </w:rPr>
        <w:t>Other comprehensive income (loss)</w:t>
      </w:r>
      <w:r>
        <w:rPr>
          <w:rFonts w:ascii="Arial" w:cs="Arial" w:eastAsia="Arial" w:hAnsi="Arial"/>
          <w:sz w:val="18"/>
          <w:szCs w:val="18"/>
          <w:color w:val="auto"/>
        </w:rPr>
        <w:t xml:space="preserve">. Gains or losses resulting from transactions in foreign currencies are included in </w:t>
      </w:r>
      <w:r>
        <w:rPr>
          <w:rFonts w:ascii="Arial" w:cs="Arial" w:eastAsia="Arial" w:hAnsi="Arial"/>
          <w:sz w:val="18"/>
          <w:szCs w:val="18"/>
          <w:i w:val="1"/>
          <w:iCs w:val="1"/>
          <w:color w:val="auto"/>
        </w:rPr>
        <w:t>Other income (expense)</w:t>
      </w:r>
      <w:r>
        <w:rPr>
          <w:rFonts w:ascii="Arial" w:cs="Arial" w:eastAsia="Arial" w:hAnsi="Arial"/>
          <w:sz w:val="18"/>
          <w:szCs w:val="18"/>
          <w:color w:val="auto"/>
        </w:rPr>
        <w: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and Adopted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 Not Yet Adopted</w:t>
      </w:r>
    </w:p>
    <w:p>
      <w:pPr>
        <w:spacing w:after="0" w:line="252" w:lineRule="exact"/>
        <w:rPr>
          <w:sz w:val="20"/>
          <w:szCs w:val="20"/>
          <w:color w:val="auto"/>
        </w:rPr>
      </w:pPr>
    </w:p>
    <w:p>
      <w:pPr>
        <w:jc w:val="both"/>
        <w:ind w:firstLine="260"/>
        <w:spacing w:after="0" w:line="277" w:lineRule="auto"/>
        <w:rPr>
          <w:sz w:val="20"/>
          <w:szCs w:val="20"/>
          <w:color w:val="auto"/>
        </w:rPr>
      </w:pPr>
      <w:r>
        <w:rPr>
          <w:rFonts w:ascii="Arial" w:cs="Arial" w:eastAsia="Arial" w:hAnsi="Arial"/>
          <w:sz w:val="18"/>
          <w:szCs w:val="18"/>
          <w:color w:val="auto"/>
        </w:rPr>
        <w:t>In December 2019, the Financial Accounting Standards Board (the “FASB”) issued Accounting Standards Update (“ASU”) 2019-12, Income Taxes (Topic 740): Simplifying the Accounting for Income Taxes, which amends existing guidance related to the</w:t>
      </w:r>
    </w:p>
    <w:p>
      <w:pPr>
        <w:sectPr>
          <w:pgSz w:w="11900" w:h="16838" w:orient="portrait"/>
          <w:cols w:equalWidth="0" w:num="1">
            <w:col w:w="11240"/>
          </w:cols>
          <w:pgMar w:left="320" w:top="125" w:right="339" w:bottom="1440" w:gutter="0" w:footer="0" w:header="0"/>
        </w:sect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accounting for income taxes. This ASU is intended to simplify the accounting for income taxes by removing certain exceptions to the general principles of accounting for income taxes and to improve the consistent application of GAAP for other areas of accounting for income taxes by clarifying and amending existing guidance. This ASU is effective for fiscal years beginning after December 15, 2020, with early adoption permitted. The Company is currently evaluating the effects adoption of this guidance will have on the consolidated financial statements and does not expect that the adoption of this ASU will be material to its consolidated financial statements.</w:t>
      </w:r>
    </w:p>
    <w:p>
      <w:pPr>
        <w:spacing w:after="0" w:line="215" w:lineRule="exact"/>
        <w:rPr>
          <w:sz w:val="20"/>
          <w:szCs w:val="20"/>
          <w:color w:val="auto"/>
        </w:rPr>
      </w:pPr>
    </w:p>
    <w:p>
      <w:pPr>
        <w:jc w:val="both"/>
        <w:ind w:firstLine="205"/>
        <w:spacing w:after="0" w:line="273" w:lineRule="auto"/>
        <w:rPr>
          <w:sz w:val="20"/>
          <w:szCs w:val="20"/>
          <w:color w:val="auto"/>
        </w:rPr>
      </w:pPr>
      <w:r>
        <w:rPr>
          <w:rFonts w:ascii="Arial" w:cs="Arial" w:eastAsia="Arial" w:hAnsi="Arial"/>
          <w:sz w:val="17"/>
          <w:szCs w:val="17"/>
          <w:color w:val="auto"/>
        </w:rPr>
        <w:t>In March 2020, the FASB issued ASU 2020-04, Reference Rate Reform (Topic 848), Facilitation of the Effects of Reference Rate Reform on Financial Reporting, which provides optional guidance for a limited period of time to ease the potential burden in accounting for reference rate reform on financial reporting. The amendments in this ASU are effective for all entities and can be applied to contract modifications due to rate reform and eligible existing and new hedging relationships entered into between March 12, 2020 and December 31, 2022. The amendments of this ASU should be applied on a prospective basis. The Company will continue to monitor the effects of rate reform, if any, on any new or amended contracts through December 31, 2022. The Company does not anticipate the amendments in this ASU will be material to its consolidated financial statements.</w:t>
      </w:r>
    </w:p>
    <w:p>
      <w:pPr>
        <w:spacing w:after="0" w:line="205" w:lineRule="exact"/>
        <w:rPr>
          <w:sz w:val="20"/>
          <w:szCs w:val="20"/>
          <w:color w:val="auto"/>
        </w:rPr>
      </w:pPr>
    </w:p>
    <w:p>
      <w:pPr>
        <w:jc w:val="both"/>
        <w:ind w:firstLine="306"/>
        <w:spacing w:after="0" w:line="279" w:lineRule="auto"/>
        <w:rPr>
          <w:sz w:val="20"/>
          <w:szCs w:val="20"/>
          <w:color w:val="auto"/>
        </w:rPr>
      </w:pPr>
      <w:r>
        <w:rPr>
          <w:rFonts w:ascii="Arial" w:cs="Arial" w:eastAsia="Arial" w:hAnsi="Arial"/>
          <w:sz w:val="17"/>
          <w:szCs w:val="17"/>
          <w:color w:val="auto"/>
        </w:rPr>
        <w:t>In October 2020, the FASB issued ASU 2020-10, Codification Improvements, which provides updates for technical corrections, clarifications to guidance, simplifications to wording or structure of guidance, and other minor improvements across various areas of accounting within GAAP. This ASU is effective for all entities for fiscal years beginning after December 15, 2020, with early adoption permitted. The amendments of this ASU should be applied retrospectively. The Company does not anticipate the adoption of this ASU will be material to its consolidated financial statements.</w:t>
      </w:r>
    </w:p>
    <w:p>
      <w:pPr>
        <w:spacing w:after="0" w:line="198" w:lineRule="exact"/>
        <w:rPr>
          <w:sz w:val="20"/>
          <w:szCs w:val="20"/>
          <w:color w:val="auto"/>
        </w:rPr>
      </w:pPr>
    </w:p>
    <w:p>
      <w:pPr>
        <w:jc w:val="both"/>
        <w:ind w:firstLine="278"/>
        <w:spacing w:after="0" w:line="277" w:lineRule="auto"/>
        <w:rPr>
          <w:sz w:val="20"/>
          <w:szCs w:val="20"/>
          <w:color w:val="auto"/>
        </w:rPr>
      </w:pPr>
      <w:r>
        <w:rPr>
          <w:rFonts w:ascii="Arial" w:cs="Arial" w:eastAsia="Arial" w:hAnsi="Arial"/>
          <w:sz w:val="18"/>
          <w:szCs w:val="18"/>
          <w:color w:val="auto"/>
        </w:rPr>
        <w:t>No other new accounting pronouncement issued or effective during the fiscal year had or is expected to have a material effect on the Company’s consolidated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52" w:lineRule="exact"/>
        <w:rPr>
          <w:sz w:val="20"/>
          <w:szCs w:val="20"/>
          <w:color w:val="auto"/>
        </w:rPr>
      </w:pPr>
    </w:p>
    <w:p>
      <w:pPr>
        <w:jc w:val="both"/>
        <w:ind w:firstLine="222"/>
        <w:spacing w:after="0" w:line="257" w:lineRule="auto"/>
        <w:rPr>
          <w:sz w:val="20"/>
          <w:szCs w:val="20"/>
          <w:color w:val="auto"/>
        </w:rPr>
      </w:pPr>
      <w:r>
        <w:rPr>
          <w:rFonts w:ascii="Arial" w:cs="Arial" w:eastAsia="Arial" w:hAnsi="Arial"/>
          <w:sz w:val="18"/>
          <w:szCs w:val="18"/>
          <w:color w:val="auto"/>
        </w:rPr>
        <w:t>In June 2016, the FASB issued ASU 2016-13, Financial Instruments—Credit Losses (Topic 326), which modified the measurement of expected credit losses of certain financial instruments. The Company adopted this ASU as of the first day of fiscal 2021. As a result, the Company changed its method of estimating its allowance for doubtful accounts for trade receivables to be based upon the Company’s historical credit loss experience, adjusted for asset-specific risk characteristics, current economic conditions, and reasonable forecasts. The change in estimating the allowance for doubtful accounts did not have a material effect on the Company’s consolidated financial statements.</w:t>
      </w:r>
    </w:p>
    <w:p>
      <w:pPr>
        <w:spacing w:after="0" w:line="215" w:lineRule="exact"/>
        <w:rPr>
          <w:sz w:val="20"/>
          <w:szCs w:val="20"/>
          <w:color w:val="auto"/>
        </w:rPr>
      </w:pPr>
    </w:p>
    <w:p>
      <w:pPr>
        <w:jc w:val="both"/>
        <w:ind w:firstLine="337"/>
        <w:spacing w:after="0" w:line="263" w:lineRule="auto"/>
        <w:rPr>
          <w:sz w:val="20"/>
          <w:szCs w:val="20"/>
          <w:color w:val="auto"/>
        </w:rPr>
      </w:pPr>
      <w:r>
        <w:rPr>
          <w:rFonts w:ascii="Arial" w:cs="Arial" w:eastAsia="Arial" w:hAnsi="Arial"/>
          <w:sz w:val="18"/>
          <w:szCs w:val="18"/>
          <w:color w:val="auto"/>
        </w:rPr>
        <w:t>In August 2018, the FASB issued ASU 2018-13, Fair Value Measurement (Topic 820), which modified disclosure requirements on fair value measurements of ASC Topic 820, Fair Value Measurement. The Company adopted this ASU as of the first day of fiscal 2021. The adoption of this ASU did not have a material effect on the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w:t>
      </w:r>
    </w:p>
    <w:p>
      <w:pPr>
        <w:spacing w:after="0" w:line="256" w:lineRule="exact"/>
        <w:rPr>
          <w:sz w:val="20"/>
          <w:szCs w:val="20"/>
          <w:color w:val="auto"/>
        </w:rPr>
      </w:pPr>
    </w:p>
    <w:p>
      <w:pPr>
        <w:jc w:val="both"/>
        <w:ind w:firstLine="217"/>
        <w:spacing w:after="0" w:line="296" w:lineRule="auto"/>
        <w:rPr>
          <w:sz w:val="20"/>
          <w:szCs w:val="20"/>
          <w:color w:val="auto"/>
        </w:rPr>
      </w:pPr>
      <w:r>
        <w:rPr>
          <w:rFonts w:ascii="Arial" w:cs="Arial" w:eastAsia="Arial" w:hAnsi="Arial"/>
          <w:sz w:val="16"/>
          <w:szCs w:val="16"/>
          <w:color w:val="auto"/>
        </w:rPr>
        <w:t>On August 21, 2019, Simply Good USA entered into the Purchase Agreement to acquire Quest. On November 7, 2019, Simply Good USA completed the Quest Acquisition for a cash purchase price at closing of $988.9 million subject to customary post-closing adjustments. Simply Good USA acquired Quest as a part of the Company’s vision to lead the nutritious snacking movement with trusted brands that offer a variety of convenient, innovative, great-tasting, better-for-you snacks and meal replacements. Quest is a healthy lifestyle food company offering a variety of bars, cookies, chips, ready-to-drink shakes and pizzas that compete in many of the attractive, fast growing sub-segments within the nutritional snacking category.</w:t>
      </w:r>
    </w:p>
    <w:p>
      <w:pPr>
        <w:spacing w:after="0" w:line="188" w:lineRule="exact"/>
        <w:rPr>
          <w:sz w:val="20"/>
          <w:szCs w:val="20"/>
          <w:color w:val="auto"/>
        </w:rPr>
      </w:pPr>
    </w:p>
    <w:p>
      <w:pPr>
        <w:jc w:val="both"/>
        <w:ind w:firstLine="222"/>
        <w:spacing w:after="0" w:line="254" w:lineRule="auto"/>
        <w:rPr>
          <w:sz w:val="20"/>
          <w:szCs w:val="20"/>
          <w:color w:val="auto"/>
        </w:rPr>
      </w:pPr>
      <w:r>
        <w:rPr>
          <w:rFonts w:ascii="Arial" w:cs="Arial" w:eastAsia="Arial" w:hAnsi="Arial"/>
          <w:sz w:val="18"/>
          <w:szCs w:val="18"/>
          <w:color w:val="auto"/>
        </w:rPr>
        <w:t xml:space="preserve">The Quest Acquisition was funded through a combination of cash, equity and debt financing. Total consideration paid on the closing date was $988.9 million. Cash sources of funding included $195.3 million of cash on hand, net proceeds of approximately $350.0 million from an underwritten public offering of common stock, and $443.6 million in new term loan debt. In the third fiscal quarter of 2020, the Company received a post-closing release from escrow of approximately $2.1 million related to net working capital adjustments, resulting in a total net consideration paid of $986.8 million.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transaction costs </w:t>
      </w:r>
      <w:r>
        <w:rPr>
          <w:rFonts w:ascii="Arial" w:cs="Arial" w:eastAsia="Arial" w:hAnsi="Arial"/>
          <w:sz w:val="18"/>
          <w:szCs w:val="18"/>
          <w:color w:val="auto"/>
        </w:rPr>
        <w:t>within the Consolidated Statements of Operations and Comprehensive Income (Loss) for the fifty-two weeks ended August 29, 2020 was</w:t>
      </w:r>
      <w:r>
        <w:rPr>
          <w:rFonts w:ascii="Arial" w:cs="Arial" w:eastAsia="Arial" w:hAnsi="Arial"/>
          <w:sz w:val="18"/>
          <w:szCs w:val="18"/>
          <w:i w:val="1"/>
          <w:iCs w:val="1"/>
          <w:color w:val="auto"/>
        </w:rPr>
        <w:t xml:space="preserve"> </w:t>
      </w:r>
      <w:r>
        <w:rPr>
          <w:rFonts w:ascii="Arial" w:cs="Arial" w:eastAsia="Arial" w:hAnsi="Arial"/>
          <w:sz w:val="18"/>
          <w:szCs w:val="18"/>
          <w:color w:val="auto"/>
        </w:rPr>
        <w:t>$27.1 million, which included $14.5 million of transaction advisory fees related to the Quest Acquisition, $3.2 million of banker commitment fees, $6.1 million of non-deferrable debt issuance costs related to the incremental term loan, and $3.3 million of other costs, including legal, due diligence, and accounting fees.</w:t>
      </w:r>
    </w:p>
    <w:p>
      <w:pPr>
        <w:spacing w:after="0" w:line="219" w:lineRule="exact"/>
        <w:rPr>
          <w:sz w:val="20"/>
          <w:szCs w:val="20"/>
          <w:color w:val="auto"/>
        </w:rPr>
      </w:pPr>
    </w:p>
    <w:p>
      <w:pPr>
        <w:jc w:val="both"/>
        <w:ind w:firstLine="190"/>
        <w:spacing w:after="0" w:line="257" w:lineRule="auto"/>
        <w:rPr>
          <w:sz w:val="20"/>
          <w:szCs w:val="20"/>
          <w:color w:val="auto"/>
        </w:rPr>
      </w:pPr>
      <w:r>
        <w:rPr>
          <w:rFonts w:ascii="Arial" w:cs="Arial" w:eastAsia="Arial" w:hAnsi="Arial"/>
          <w:sz w:val="18"/>
          <w:szCs w:val="18"/>
          <w:color w:val="auto"/>
        </w:rPr>
        <w:t>Included in the transaction advisory fees paid for the Quest Acquisition was $12.0 million paid to Centerview Partners LLC, an investment banking firm that served as the lead financial advisor to the Company for this transaction. Three members of the Company’s Board of Directors, Messrs. Kilts, West, and Ratzan, have business relationships with certain partners of Centerview Partners LLC (including relating to Centerview Capital Consumer, a private equity firm and affiliate of Conyers Park Sponsor LLC), but they are not themselves partners, executives or employees of Centerview Partners LLC, and Centerview Partners LLC is not a related party of the</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Company pursuant to applicable rules and policies. The advisory fee paid to Centerview Partners LLC represents approximately 1.2% of the total cash purchase price paid by the Company on the closing date of the Quest Acquisition. All transaction advisory fees relating to the Quest Acquisition were approved by the Company’s Audit Committee.</w:t>
      </w:r>
    </w:p>
    <w:p>
      <w:pPr>
        <w:spacing w:after="0" w:line="211" w:lineRule="exact"/>
        <w:rPr>
          <w:sz w:val="20"/>
          <w:szCs w:val="20"/>
          <w:color w:val="auto"/>
        </w:rPr>
      </w:pPr>
    </w:p>
    <w:p>
      <w:pPr>
        <w:jc w:val="both"/>
        <w:ind w:firstLine="187"/>
        <w:spacing w:after="0" w:line="277" w:lineRule="auto"/>
        <w:rPr>
          <w:sz w:val="20"/>
          <w:szCs w:val="20"/>
          <w:color w:val="auto"/>
        </w:rPr>
      </w:pPr>
      <w:r>
        <w:rPr>
          <w:rFonts w:ascii="Arial" w:cs="Arial" w:eastAsia="Arial" w:hAnsi="Arial"/>
          <w:sz w:val="18"/>
          <w:szCs w:val="18"/>
          <w:color w:val="auto"/>
        </w:rPr>
        <w:t>The following table sets forth the final purchase price allocation of the Quest Acquisition to the estimated fair value of the net assets acquired at the date of acquisition,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1950720</wp:posOffset>
            </wp:positionH>
            <wp:positionV relativeFrom="paragraph">
              <wp:posOffset>151765</wp:posOffset>
            </wp:positionV>
            <wp:extent cx="324866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48660" cy="171450"/>
                    </a:xfrm>
                    <a:prstGeom prst="rect">
                      <a:avLst/>
                    </a:prstGeom>
                    <a:noFill/>
                  </pic:spPr>
                </pic:pic>
              </a:graphicData>
            </a:graphic>
          </wp:anchor>
        </w:drawing>
      </w:r>
    </w:p>
    <w:p>
      <w:pPr>
        <w:spacing w:after="0" w:line="276" w:lineRule="exact"/>
        <w:rPr>
          <w:sz w:val="20"/>
          <w:szCs w:val="20"/>
          <w:color w:val="auto"/>
        </w:rPr>
      </w:pPr>
    </w:p>
    <w:p>
      <w:pPr>
        <w:ind w:left="3080"/>
        <w:spacing w:after="0"/>
        <w:rPr>
          <w:sz w:val="20"/>
          <w:szCs w:val="20"/>
          <w:color w:val="auto"/>
        </w:rPr>
      </w:pPr>
      <w:r>
        <w:rPr>
          <w:rFonts w:ascii="Arial" w:cs="Arial" w:eastAsia="Arial" w:hAnsi="Arial"/>
          <w:sz w:val="16"/>
          <w:szCs w:val="16"/>
          <w:color w:val="auto"/>
        </w:rPr>
        <w:t>Assets acquired:</w:t>
      </w:r>
    </w:p>
    <w:p>
      <w:pPr>
        <w:spacing w:after="0" w:line="86" w:lineRule="exact"/>
        <w:rPr>
          <w:sz w:val="20"/>
          <w:szCs w:val="20"/>
          <w:color w:val="auto"/>
        </w:rPr>
      </w:pPr>
    </w:p>
    <w:tbl>
      <w:tblPr>
        <w:tblLayout w:type="fixed"/>
        <w:tblInd w:w="3080" w:type="dxa"/>
        <w:tblCellMar>
          <w:top w:w="0" w:type="dxa"/>
          <w:left w:w="0" w:type="dxa"/>
          <w:bottom w:w="0" w:type="dxa"/>
          <w:right w:w="0" w:type="dxa"/>
        </w:tblCellMar>
      </w:tblPr>
      <w:tr>
        <w:trPr>
          <w:trHeight w:val="209"/>
        </w:trPr>
        <w:tc>
          <w:tcPr>
            <w:tcW w:w="3580" w:type="dxa"/>
            <w:vAlign w:val="bottom"/>
          </w:tcPr>
          <w:p>
            <w:pPr>
              <w:ind w:left="200"/>
              <w:spacing w:after="0"/>
              <w:rPr>
                <w:sz w:val="20"/>
                <w:szCs w:val="20"/>
                <w:color w:val="auto"/>
              </w:rPr>
            </w:pPr>
            <w:r>
              <w:rPr>
                <w:rFonts w:ascii="Arial" w:cs="Arial" w:eastAsia="Arial" w:hAnsi="Arial"/>
                <w:sz w:val="16"/>
                <w:szCs w:val="16"/>
                <w:color w:val="auto"/>
              </w:rPr>
              <w:t>Cash and cash equivalents</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4,745</w:t>
            </w:r>
          </w:p>
        </w:tc>
      </w:tr>
      <w:tr>
        <w:trPr>
          <w:trHeight w:val="273"/>
        </w:trPr>
        <w:tc>
          <w:tcPr>
            <w:tcW w:w="35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Accounts receivable, net</w:t>
            </w:r>
          </w:p>
        </w:tc>
        <w:tc>
          <w:tcPr>
            <w:tcW w:w="5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25,359</w:t>
            </w:r>
          </w:p>
        </w:tc>
      </w:tr>
      <w:tr>
        <w:trPr>
          <w:trHeight w:val="267"/>
        </w:trPr>
        <w:tc>
          <w:tcPr>
            <w:tcW w:w="3580" w:type="dxa"/>
            <w:vAlign w:val="bottom"/>
          </w:tcPr>
          <w:p>
            <w:pPr>
              <w:ind w:left="200"/>
              <w:spacing w:after="0"/>
              <w:rPr>
                <w:sz w:val="20"/>
                <w:szCs w:val="20"/>
                <w:color w:val="auto"/>
              </w:rPr>
            </w:pPr>
            <w:r>
              <w:rPr>
                <w:rFonts w:ascii="Arial" w:cs="Arial" w:eastAsia="Arial" w:hAnsi="Arial"/>
                <w:sz w:val="16"/>
                <w:szCs w:val="16"/>
                <w:color w:val="auto"/>
              </w:rPr>
              <w:t>Inventories</w:t>
            </w:r>
          </w:p>
        </w:tc>
        <w:tc>
          <w:tcPr>
            <w:tcW w:w="5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44,032</w:t>
            </w:r>
          </w:p>
        </w:tc>
      </w:tr>
      <w:tr>
        <w:trPr>
          <w:trHeight w:val="273"/>
        </w:trPr>
        <w:tc>
          <w:tcPr>
            <w:tcW w:w="35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Prepaid assets</w:t>
            </w:r>
          </w:p>
        </w:tc>
        <w:tc>
          <w:tcPr>
            <w:tcW w:w="5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1,214</w:t>
            </w:r>
          </w:p>
        </w:tc>
      </w:tr>
      <w:tr>
        <w:trPr>
          <w:trHeight w:val="267"/>
        </w:trPr>
        <w:tc>
          <w:tcPr>
            <w:tcW w:w="3580" w:type="dxa"/>
            <w:vAlign w:val="bottom"/>
          </w:tcPr>
          <w:p>
            <w:pPr>
              <w:ind w:left="200"/>
              <w:spacing w:after="0"/>
              <w:rPr>
                <w:sz w:val="20"/>
                <w:szCs w:val="20"/>
                <w:color w:val="auto"/>
              </w:rPr>
            </w:pPr>
            <w:r>
              <w:rPr>
                <w:rFonts w:ascii="Arial" w:cs="Arial" w:eastAsia="Arial" w:hAnsi="Arial"/>
                <w:sz w:val="16"/>
                <w:szCs w:val="16"/>
                <w:color w:val="auto"/>
              </w:rPr>
              <w:t>Other current assets</w:t>
            </w:r>
          </w:p>
        </w:tc>
        <w:tc>
          <w:tcPr>
            <w:tcW w:w="5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3,812</w:t>
            </w:r>
          </w:p>
        </w:tc>
      </w:tr>
      <w:tr>
        <w:trPr>
          <w:trHeight w:val="273"/>
        </w:trPr>
        <w:tc>
          <w:tcPr>
            <w:tcW w:w="35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 xml:space="preserve">Property and equipment, net </w:t>
            </w:r>
            <w:r>
              <w:rPr>
                <w:rFonts w:ascii="Arial" w:cs="Arial" w:eastAsia="Arial" w:hAnsi="Arial"/>
                <w:sz w:val="21"/>
                <w:szCs w:val="21"/>
                <w:color w:val="auto"/>
                <w:vertAlign w:val="superscript"/>
              </w:rPr>
              <w:t>(1)</w:t>
            </w:r>
          </w:p>
        </w:tc>
        <w:tc>
          <w:tcPr>
            <w:tcW w:w="5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9,843</w:t>
            </w:r>
          </w:p>
        </w:tc>
      </w:tr>
      <w:tr>
        <w:trPr>
          <w:trHeight w:val="270"/>
        </w:trPr>
        <w:tc>
          <w:tcPr>
            <w:tcW w:w="3580" w:type="dxa"/>
            <w:vAlign w:val="bottom"/>
          </w:tcPr>
          <w:p>
            <w:pPr>
              <w:ind w:left="200"/>
              <w:spacing w:after="0"/>
              <w:rPr>
                <w:sz w:val="20"/>
                <w:szCs w:val="20"/>
                <w:color w:val="auto"/>
              </w:rPr>
            </w:pPr>
            <w:r>
              <w:rPr>
                <w:rFonts w:ascii="Arial" w:cs="Arial" w:eastAsia="Arial" w:hAnsi="Arial"/>
                <w:sz w:val="16"/>
                <w:szCs w:val="16"/>
                <w:color w:val="auto"/>
              </w:rPr>
              <w:t xml:space="preserve">Intangible assets, net </w:t>
            </w:r>
            <w:r>
              <w:rPr>
                <w:rFonts w:ascii="Arial" w:cs="Arial" w:eastAsia="Arial" w:hAnsi="Arial"/>
                <w:sz w:val="21"/>
                <w:szCs w:val="21"/>
                <w:color w:val="auto"/>
                <w:vertAlign w:val="superscript"/>
              </w:rPr>
              <w:t>(2)</w:t>
            </w:r>
          </w:p>
        </w:tc>
        <w:tc>
          <w:tcPr>
            <w:tcW w:w="5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868,375</w:t>
            </w:r>
          </w:p>
        </w:tc>
      </w:tr>
      <w:tr>
        <w:trPr>
          <w:trHeight w:val="270"/>
        </w:trPr>
        <w:tc>
          <w:tcPr>
            <w:tcW w:w="35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long-term assets</w:t>
            </w:r>
          </w:p>
        </w:tc>
        <w:tc>
          <w:tcPr>
            <w:tcW w:w="5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20,997</w:t>
            </w:r>
          </w:p>
        </w:tc>
      </w:tr>
      <w:tr>
        <w:trPr>
          <w:trHeight w:val="267"/>
        </w:trPr>
        <w:tc>
          <w:tcPr>
            <w:tcW w:w="3580" w:type="dxa"/>
            <w:vAlign w:val="bottom"/>
          </w:tcPr>
          <w:p>
            <w:pPr>
              <w:spacing w:after="0"/>
              <w:rPr>
                <w:sz w:val="20"/>
                <w:szCs w:val="20"/>
                <w:color w:val="auto"/>
              </w:rPr>
            </w:pPr>
            <w:r>
              <w:rPr>
                <w:rFonts w:ascii="Arial" w:cs="Arial" w:eastAsia="Arial" w:hAnsi="Arial"/>
                <w:sz w:val="16"/>
                <w:szCs w:val="16"/>
                <w:color w:val="auto"/>
              </w:rPr>
              <w:t>Liabilities assumed:</w:t>
            </w:r>
          </w:p>
        </w:tc>
        <w:tc>
          <w:tcPr>
            <w:tcW w:w="5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3"/>
        </w:trPr>
        <w:tc>
          <w:tcPr>
            <w:tcW w:w="35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Accounts payable</w:t>
            </w:r>
          </w:p>
        </w:tc>
        <w:tc>
          <w:tcPr>
            <w:tcW w:w="5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25,200</w:t>
            </w:r>
          </w:p>
        </w:tc>
      </w:tr>
      <w:tr>
        <w:trPr>
          <w:trHeight w:val="267"/>
        </w:trPr>
        <w:tc>
          <w:tcPr>
            <w:tcW w:w="3580" w:type="dxa"/>
            <w:vAlign w:val="bottom"/>
          </w:tcPr>
          <w:p>
            <w:pPr>
              <w:ind w:left="200"/>
              <w:spacing w:after="0"/>
              <w:rPr>
                <w:sz w:val="20"/>
                <w:szCs w:val="20"/>
                <w:color w:val="auto"/>
              </w:rPr>
            </w:pPr>
            <w:r>
              <w:rPr>
                <w:rFonts w:ascii="Arial" w:cs="Arial" w:eastAsia="Arial" w:hAnsi="Arial"/>
                <w:sz w:val="16"/>
                <w:szCs w:val="16"/>
                <w:color w:val="auto"/>
              </w:rPr>
              <w:t>Other current liabilities</w:t>
            </w:r>
          </w:p>
        </w:tc>
        <w:tc>
          <w:tcPr>
            <w:tcW w:w="5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11,237</w:t>
            </w:r>
          </w:p>
        </w:tc>
      </w:tr>
      <w:tr>
        <w:trPr>
          <w:trHeight w:val="273"/>
        </w:trPr>
        <w:tc>
          <w:tcPr>
            <w:tcW w:w="35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 xml:space="preserve">Deferred income taxes </w:t>
            </w:r>
            <w:r>
              <w:rPr>
                <w:rFonts w:ascii="Arial" w:cs="Arial" w:eastAsia="Arial" w:hAnsi="Arial"/>
                <w:sz w:val="21"/>
                <w:szCs w:val="21"/>
                <w:color w:val="auto"/>
                <w:vertAlign w:val="superscript"/>
              </w:rPr>
              <w:t>(3)</w:t>
            </w:r>
          </w:p>
        </w:tc>
        <w:tc>
          <w:tcPr>
            <w:tcW w:w="5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10,754</w:t>
            </w:r>
          </w:p>
        </w:tc>
      </w:tr>
      <w:tr>
        <w:trPr>
          <w:trHeight w:val="267"/>
        </w:trPr>
        <w:tc>
          <w:tcPr>
            <w:tcW w:w="358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Other long-term liabilities</w:t>
            </w:r>
          </w:p>
        </w:tc>
        <w:tc>
          <w:tcPr>
            <w:tcW w:w="5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18,891</w:t>
            </w:r>
          </w:p>
        </w:tc>
      </w:tr>
      <w:tr>
        <w:trPr>
          <w:trHeight w:val="253"/>
        </w:trPr>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Total identifiable net assets</w:t>
            </w:r>
          </w:p>
        </w:tc>
        <w:tc>
          <w:tcPr>
            <w:tcW w:w="5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912,295</w:t>
            </w:r>
          </w:p>
        </w:tc>
      </w:tr>
      <w:tr>
        <w:trPr>
          <w:trHeight w:val="270"/>
        </w:trPr>
        <w:tc>
          <w:tcPr>
            <w:tcW w:w="358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 xml:space="preserve">Goodwill </w:t>
            </w:r>
            <w:r>
              <w:rPr>
                <w:rFonts w:ascii="Arial" w:cs="Arial" w:eastAsia="Arial" w:hAnsi="Arial"/>
                <w:sz w:val="21"/>
                <w:szCs w:val="21"/>
                <w:color w:val="auto"/>
                <w:vertAlign w:val="superscript"/>
              </w:rPr>
              <w:t>(4)</w:t>
            </w:r>
          </w:p>
        </w:tc>
        <w:tc>
          <w:tcPr>
            <w:tcW w:w="5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74,525</w:t>
            </w:r>
          </w:p>
        </w:tc>
      </w:tr>
      <w:tr>
        <w:trPr>
          <w:trHeight w:val="248"/>
        </w:trPr>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assets acquired and liabilities assumed</w:t>
            </w: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986,820</w:t>
            </w: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jc w:val="both"/>
        <w:ind w:left="500" w:hanging="330"/>
        <w:spacing w:after="0" w:line="230" w:lineRule="auto"/>
        <w:tabs>
          <w:tab w:leader="none" w:pos="458" w:val="left"/>
        </w:tabs>
        <w:numPr>
          <w:ilvl w:val="0"/>
          <w:numId w:val="20"/>
        </w:numPr>
        <w:rPr>
          <w:rFonts w:ascii="Arial" w:cs="Arial" w:eastAsia="Arial" w:hAnsi="Arial"/>
          <w:sz w:val="21"/>
          <w:szCs w:val="21"/>
          <w:color w:val="auto"/>
          <w:vertAlign w:val="superscript"/>
        </w:rPr>
      </w:pPr>
      <w:r>
        <w:rPr>
          <w:rFonts w:ascii="Arial" w:cs="Arial" w:eastAsia="Arial" w:hAnsi="Arial"/>
          <w:sz w:val="16"/>
          <w:szCs w:val="16"/>
          <w:color w:val="auto"/>
        </w:rPr>
        <w:t>Property and equipment, net primarily consisted of leasehold improvements for the Quest headquarters of $6.9 million, furniture and fixtures of $2.2 million, and equipment of $0.7 million. The Quest headquarters lease ends in April 2029. The useful lives of the leasehold improvements, furniture and fixtures, and equipment are consistent with the Company’s accounting policies.</w:t>
      </w:r>
    </w:p>
    <w:p>
      <w:pPr>
        <w:spacing w:after="0" w:line="90" w:lineRule="exact"/>
        <w:rPr>
          <w:rFonts w:ascii="Arial" w:cs="Arial" w:eastAsia="Arial" w:hAnsi="Arial"/>
          <w:sz w:val="21"/>
          <w:szCs w:val="21"/>
          <w:color w:val="auto"/>
          <w:vertAlign w:val="superscript"/>
        </w:rPr>
      </w:pPr>
    </w:p>
    <w:p>
      <w:pPr>
        <w:ind w:left="500" w:hanging="330"/>
        <w:spacing w:after="0" w:line="257" w:lineRule="auto"/>
        <w:tabs>
          <w:tab w:leader="none" w:pos="417" w:val="left"/>
        </w:tabs>
        <w:numPr>
          <w:ilvl w:val="0"/>
          <w:numId w:val="20"/>
        </w:numPr>
        <w:rPr>
          <w:rFonts w:ascii="Arial" w:cs="Arial" w:eastAsia="Arial" w:hAnsi="Arial"/>
          <w:sz w:val="20"/>
          <w:szCs w:val="20"/>
          <w:color w:val="auto"/>
          <w:vertAlign w:val="superscript"/>
        </w:rPr>
      </w:pPr>
      <w:r>
        <w:rPr>
          <w:rFonts w:ascii="Arial" w:cs="Arial" w:eastAsia="Arial" w:hAnsi="Arial"/>
          <w:sz w:val="15"/>
          <w:szCs w:val="15"/>
          <w:color w:val="auto"/>
        </w:rPr>
        <w:t>Intangible assets were recorded at fair value consistent with ASC Topic 820, Fair Value Measurement, as a result of the Quest Acquisition. Intangible assets consisted of $750.0 million of indefinite brands and trademarks, $115.0 million of amortizable customer relationships, and $3.4 million of internally developed software. The useful lives of the intangible assets are disclosed in Note 5 of the Consolidated Financial Statements. The fair value measurements of the assets and liabilities were based on significant inputs not observable in the market and thus represent Level 3 measurements within the fair value measurement hierarchy. Level 3 fair market values were determined using a variety of information, including estimated future cash flows and market comparable data and companies. The fair values of the intangible assets were estimated using inputs primarily from the income approach and the with/without method, which estimates the value using the cash flow impact in a hypothetical scenario where the customer relationships are not in place. The significant assumptions used in estimating the fair value of the intangible assets include the estimated life the asset will contribute to cash flows, profitability, and the estimated discount rate.</w:t>
      </w:r>
    </w:p>
    <w:p>
      <w:pPr>
        <w:spacing w:after="0" w:line="45" w:lineRule="exact"/>
        <w:rPr>
          <w:rFonts w:ascii="Arial" w:cs="Arial" w:eastAsia="Arial" w:hAnsi="Arial"/>
          <w:sz w:val="20"/>
          <w:szCs w:val="20"/>
          <w:color w:val="auto"/>
          <w:vertAlign w:val="superscript"/>
        </w:rPr>
      </w:pPr>
    </w:p>
    <w:p>
      <w:pPr>
        <w:ind w:left="400" w:hanging="230"/>
        <w:spacing w:after="0"/>
        <w:tabs>
          <w:tab w:leader="none" w:pos="400" w:val="left"/>
        </w:tabs>
        <w:numPr>
          <w:ilvl w:val="0"/>
          <w:numId w:val="20"/>
        </w:numPr>
        <w:rPr>
          <w:rFonts w:ascii="Arial" w:cs="Arial" w:eastAsia="Arial" w:hAnsi="Arial"/>
          <w:sz w:val="21"/>
          <w:szCs w:val="21"/>
          <w:color w:val="auto"/>
          <w:vertAlign w:val="superscript"/>
        </w:rPr>
      </w:pPr>
      <w:r>
        <w:rPr>
          <w:rFonts w:ascii="Arial" w:cs="Arial" w:eastAsia="Arial" w:hAnsi="Arial"/>
          <w:sz w:val="16"/>
          <w:szCs w:val="16"/>
          <w:color w:val="auto"/>
        </w:rPr>
        <w:t>Primarily as a result of the fair value attributable to the identifiable intangible assets, the deferred income tax liability was $10.8 million.</w:t>
      </w:r>
    </w:p>
    <w:p>
      <w:pPr>
        <w:spacing w:after="0" w:line="90" w:lineRule="exact"/>
        <w:rPr>
          <w:rFonts w:ascii="Arial" w:cs="Arial" w:eastAsia="Arial" w:hAnsi="Arial"/>
          <w:sz w:val="21"/>
          <w:szCs w:val="21"/>
          <w:color w:val="auto"/>
          <w:vertAlign w:val="superscript"/>
        </w:rPr>
      </w:pPr>
    </w:p>
    <w:p>
      <w:pPr>
        <w:ind w:left="500" w:hanging="330"/>
        <w:spacing w:after="0" w:line="250" w:lineRule="auto"/>
        <w:tabs>
          <w:tab w:leader="none" w:pos="444" w:val="left"/>
        </w:tabs>
        <w:numPr>
          <w:ilvl w:val="0"/>
          <w:numId w:val="20"/>
        </w:numPr>
        <w:rPr>
          <w:rFonts w:ascii="Arial" w:cs="Arial" w:eastAsia="Arial" w:hAnsi="Arial"/>
          <w:sz w:val="20"/>
          <w:szCs w:val="20"/>
          <w:color w:val="auto"/>
          <w:vertAlign w:val="superscript"/>
        </w:rPr>
      </w:pPr>
      <w:r>
        <w:rPr>
          <w:rFonts w:ascii="Arial" w:cs="Arial" w:eastAsia="Arial" w:hAnsi="Arial"/>
          <w:sz w:val="15"/>
          <w:szCs w:val="15"/>
          <w:color w:val="auto"/>
        </w:rPr>
        <w:t>Goodwill was recorded at fair value consistent with ASC Topic 820, Fair Value Measurement, as a result of the Quest Acquisition. Amounts recorded for goodwill created in an acquisition structured as a stock purchase for tax are generally not expected to be deductible for tax purposes. Amounts recorded for goodwill resulting in a tax basis step-up are generally expected to be deductible for tax purposes. Tax deductible goodwill was estimated to be $67.7 million. Goodwill represents the future economic benefits arising from other assets acquired that could not be individually identified and separately recognized.</w:t>
      </w:r>
    </w:p>
    <w:p>
      <w:pPr>
        <w:spacing w:after="0" w:line="216" w:lineRule="exact"/>
        <w:rPr>
          <w:sz w:val="20"/>
          <w:szCs w:val="20"/>
          <w:color w:val="auto"/>
        </w:rPr>
      </w:pPr>
    </w:p>
    <w:p>
      <w:pPr>
        <w:jc w:val="both"/>
        <w:ind w:firstLine="195"/>
        <w:spacing w:after="0" w:line="269" w:lineRule="auto"/>
        <w:rPr>
          <w:sz w:val="20"/>
          <w:szCs w:val="20"/>
          <w:color w:val="auto"/>
        </w:rPr>
      </w:pPr>
      <w:r>
        <w:rPr>
          <w:rFonts w:ascii="Arial" w:cs="Arial" w:eastAsia="Arial" w:hAnsi="Arial"/>
          <w:sz w:val="17"/>
          <w:szCs w:val="17"/>
          <w:color w:val="auto"/>
        </w:rPr>
        <w:t>The Company completed its final assessment of purchase price allocation for the Quest Acquisition to the estimated fair value of the net assets acquired at the date of acquisition during the first quarter of fiscal 2021. Since the initial preliminary estimates reported in the first fiscal quarter of 2020, the Company updated certain amounts reflected in the final purchase price allocation, as summarized in the fair values of assets acquired and liabilities assumed in the table above. Specifically, the carrying amount of the intangible assets, net increased by $20.0 million as a result of valuation adjustments related to the Company’s finalization of tax attributes, which also resulted in a decrease to deferred income taxes of $3.2 million. Additionally, accounts receivable, net decreased $4.3 million and inventories increased $0.9 million due to fair value measurement period adjustments, and the carrying amount of property and equipment, net decreased by $0.5 million to reflect its estimated fair value. As a result of these adjustments and the change in total net consideration paid of approximately $2.1 million related to net working capital adjustments discussed above, goodwill decreased $21.5 million. Measurement period adjustments were recognized in the reporting period in which the adjustments were determined and calculated as if the accounting had been completed at the acquisition date.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firstLine="318"/>
        <w:spacing w:after="0" w:line="277" w:lineRule="auto"/>
        <w:rPr>
          <w:sz w:val="20"/>
          <w:szCs w:val="20"/>
          <w:color w:val="auto"/>
        </w:rPr>
      </w:pPr>
      <w:r>
        <w:rPr>
          <w:rFonts w:ascii="Arial" w:cs="Arial" w:eastAsia="Arial" w:hAnsi="Arial"/>
          <w:sz w:val="18"/>
          <w:szCs w:val="18"/>
          <w:color w:val="auto"/>
        </w:rPr>
        <w:t>The results of Quest’s operations have been included in the Company’s consolidated financial statements since November 7, 2019, the date of acquisition. The following table provides net sales from the acquired Quest business included in the Company’s results:</w:t>
      </w:r>
    </w:p>
    <w:p>
      <w:pPr>
        <w:spacing w:after="0" w:line="391" w:lineRule="exact"/>
        <w:rPr>
          <w:sz w:val="20"/>
          <w:szCs w:val="20"/>
          <w:color w:val="auto"/>
        </w:rPr>
      </w:pPr>
    </w:p>
    <w:tbl>
      <w:tblPr>
        <w:tblLayout w:type="fixed"/>
        <w:tblInd w:w="2320" w:type="dxa"/>
        <w:tblCellMar>
          <w:top w:w="0" w:type="dxa"/>
          <w:left w:w="0" w:type="dxa"/>
          <w:bottom w:w="0" w:type="dxa"/>
          <w:right w:w="0" w:type="dxa"/>
        </w:tblCellMar>
      </w:tblPr>
      <w:tr>
        <w:trPr>
          <w:trHeight w:val="206"/>
        </w:trPr>
        <w:tc>
          <w:tcPr>
            <w:tcW w:w="3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ind w:left="40"/>
              <w:spacing w:after="0"/>
              <w:rPr>
                <w:sz w:val="20"/>
                <w:szCs w:val="20"/>
                <w:color w:val="auto"/>
              </w:rPr>
            </w:pPr>
            <w:r>
              <w:rPr>
                <w:rFonts w:ascii="Arial" w:cs="Arial" w:eastAsia="Arial" w:hAnsi="Arial"/>
                <w:sz w:val="16"/>
                <w:szCs w:val="16"/>
                <w:color w:val="auto"/>
              </w:rPr>
              <w:t>52-Weeks Ended</w:t>
            </w:r>
          </w:p>
        </w:tc>
        <w:tc>
          <w:tcPr>
            <w:tcW w:w="140" w:type="dxa"/>
            <w:vAlign w:val="bottom"/>
          </w:tcPr>
          <w:p>
            <w:pPr>
              <w:spacing w:after="0"/>
              <w:rPr>
                <w:sz w:val="17"/>
                <w:szCs w:val="17"/>
                <w:color w:val="auto"/>
              </w:rPr>
            </w:pPr>
          </w:p>
        </w:tc>
        <w:tc>
          <w:tcPr>
            <w:tcW w:w="1360" w:type="dxa"/>
            <w:vAlign w:val="bottom"/>
          </w:tcPr>
          <w:p>
            <w:pPr>
              <w:ind w:left="60"/>
              <w:spacing w:after="0"/>
              <w:rPr>
                <w:sz w:val="20"/>
                <w:szCs w:val="20"/>
                <w:color w:val="auto"/>
              </w:rPr>
            </w:pPr>
            <w:r>
              <w:rPr>
                <w:rFonts w:ascii="Arial" w:cs="Arial" w:eastAsia="Arial" w:hAnsi="Arial"/>
                <w:sz w:val="16"/>
                <w:szCs w:val="16"/>
                <w:color w:val="auto"/>
              </w:rPr>
              <w:t>52-Weeks Ended</w:t>
            </w:r>
          </w:p>
        </w:tc>
      </w:tr>
      <w:tr>
        <w:trPr>
          <w:trHeight w:val="273"/>
        </w:trPr>
        <w:tc>
          <w:tcPr>
            <w:tcW w:w="336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August 28, 2021</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August 29, 2020</w:t>
            </w:r>
          </w:p>
        </w:tc>
      </w:tr>
      <w:tr>
        <w:trPr>
          <w:trHeight w:val="253"/>
        </w:trPr>
        <w:tc>
          <w:tcPr>
            <w:tcW w:w="3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 xml:space="preserve">Net sales </w:t>
            </w:r>
            <w:r>
              <w:rPr>
                <w:rFonts w:ascii="Arial" w:cs="Arial" w:eastAsia="Arial" w:hAnsi="Arial"/>
                <w:sz w:val="21"/>
                <w:szCs w:val="21"/>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453,619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286,803</w:t>
            </w:r>
          </w:p>
        </w:tc>
      </w:tr>
    </w:tbl>
    <w:p>
      <w:pPr>
        <w:spacing w:after="0" w:line="36" w:lineRule="exact"/>
        <w:rPr>
          <w:sz w:val="20"/>
          <w:szCs w:val="20"/>
          <w:color w:val="auto"/>
        </w:rPr>
      </w:pPr>
    </w:p>
    <w:p>
      <w:pPr>
        <w:ind w:left="400" w:hanging="230"/>
        <w:spacing w:after="0"/>
        <w:tabs>
          <w:tab w:leader="none" w:pos="400" w:val="left"/>
        </w:tabs>
        <w:numPr>
          <w:ilvl w:val="0"/>
          <w:numId w:val="21"/>
        </w:numPr>
        <w:rPr>
          <w:rFonts w:ascii="Arial" w:cs="Arial" w:eastAsia="Arial" w:hAnsi="Arial"/>
          <w:sz w:val="21"/>
          <w:szCs w:val="21"/>
          <w:color w:val="auto"/>
          <w:vertAlign w:val="superscript"/>
        </w:rPr>
      </w:pPr>
      <w:r>
        <w:rPr>
          <w:rFonts w:ascii="Arial" w:cs="Arial" w:eastAsia="Arial" w:hAnsi="Arial"/>
          <w:sz w:val="16"/>
          <w:szCs w:val="16"/>
          <w:color w:val="auto"/>
        </w:rPr>
        <w:t>Net sales for the fifty-two weeks ended August 28, 2021 excludes immaterial international sales.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Pro Forma Financial Information</w:t>
      </w:r>
    </w:p>
    <w:p>
      <w:pPr>
        <w:spacing w:after="0" w:line="229" w:lineRule="exact"/>
        <w:rPr>
          <w:sz w:val="20"/>
          <w:szCs w:val="20"/>
          <w:color w:val="auto"/>
        </w:rPr>
      </w:pPr>
    </w:p>
    <w:p>
      <w:pPr>
        <w:jc w:val="both"/>
        <w:ind w:firstLine="193"/>
        <w:spacing w:after="0" w:line="263" w:lineRule="auto"/>
        <w:rPr>
          <w:sz w:val="20"/>
          <w:szCs w:val="20"/>
          <w:color w:val="auto"/>
        </w:rPr>
      </w:pPr>
      <w:r>
        <w:rPr>
          <w:rFonts w:ascii="Arial" w:cs="Arial" w:eastAsia="Arial" w:hAnsi="Arial"/>
          <w:sz w:val="18"/>
          <w:szCs w:val="18"/>
          <w:color w:val="auto"/>
        </w:rPr>
        <w:t>Pro forma financial information is not intended to represent or be indicative of the actual results of operations of the combined business that would have been reported had the Quest Acquisition been completed at the beginning of the fiscal year 2019, nor is it representative of future operating results of the Company.</w:t>
      </w:r>
    </w:p>
    <w:p>
      <w:pPr>
        <w:spacing w:after="0" w:line="211" w:lineRule="exact"/>
        <w:rPr>
          <w:sz w:val="20"/>
          <w:szCs w:val="20"/>
          <w:color w:val="auto"/>
        </w:rPr>
      </w:pPr>
    </w:p>
    <w:p>
      <w:pPr>
        <w:jc w:val="both"/>
        <w:ind w:right="20" w:firstLine="185"/>
        <w:spacing w:after="0" w:line="277" w:lineRule="auto"/>
        <w:rPr>
          <w:sz w:val="20"/>
          <w:szCs w:val="20"/>
          <w:color w:val="auto"/>
        </w:rPr>
      </w:pPr>
      <w:r>
        <w:rPr>
          <w:rFonts w:ascii="Arial" w:cs="Arial" w:eastAsia="Arial" w:hAnsi="Arial"/>
          <w:sz w:val="18"/>
          <w:szCs w:val="18"/>
          <w:color w:val="auto"/>
        </w:rPr>
        <w:t>The following unaudited pro forma combined financial information presents combined results of the Company and Quest as if the Quest Acquisition has occurred at the beginning of fiscal 2019:</w:t>
      </w:r>
    </w:p>
    <w:p>
      <w:pPr>
        <w:spacing w:after="0" w:line="296" w:lineRule="exact"/>
        <w:rPr>
          <w:sz w:val="20"/>
          <w:szCs w:val="20"/>
          <w:color w:val="auto"/>
        </w:rPr>
      </w:pPr>
    </w:p>
    <w:tbl>
      <w:tblPr>
        <w:tblLayout w:type="fixed"/>
        <w:tblInd w:w="2320" w:type="dxa"/>
        <w:tblCellMar>
          <w:top w:w="0" w:type="dxa"/>
          <w:left w:w="0" w:type="dxa"/>
          <w:bottom w:w="0" w:type="dxa"/>
          <w:right w:w="0" w:type="dxa"/>
        </w:tblCellMar>
      </w:tblPr>
      <w:tr>
        <w:trPr>
          <w:trHeight w:val="206"/>
        </w:trPr>
        <w:tc>
          <w:tcPr>
            <w:tcW w:w="3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ind w:left="40"/>
              <w:spacing w:after="0"/>
              <w:rPr>
                <w:sz w:val="20"/>
                <w:szCs w:val="20"/>
                <w:color w:val="auto"/>
              </w:rPr>
            </w:pPr>
            <w:r>
              <w:rPr>
                <w:rFonts w:ascii="Arial" w:cs="Arial" w:eastAsia="Arial" w:hAnsi="Arial"/>
                <w:sz w:val="16"/>
                <w:szCs w:val="16"/>
                <w:color w:val="auto"/>
              </w:rPr>
              <w:t>52-Weeks Ended</w:t>
            </w:r>
          </w:p>
        </w:tc>
        <w:tc>
          <w:tcPr>
            <w:tcW w:w="140" w:type="dxa"/>
            <w:vAlign w:val="bottom"/>
          </w:tcPr>
          <w:p>
            <w:pPr>
              <w:spacing w:after="0"/>
              <w:rPr>
                <w:sz w:val="17"/>
                <w:szCs w:val="17"/>
                <w:color w:val="auto"/>
              </w:rPr>
            </w:pPr>
          </w:p>
        </w:tc>
        <w:tc>
          <w:tcPr>
            <w:tcW w:w="1360" w:type="dxa"/>
            <w:vAlign w:val="bottom"/>
          </w:tcPr>
          <w:p>
            <w:pPr>
              <w:ind w:left="60"/>
              <w:spacing w:after="0"/>
              <w:rPr>
                <w:sz w:val="20"/>
                <w:szCs w:val="20"/>
                <w:color w:val="auto"/>
              </w:rPr>
            </w:pPr>
            <w:r>
              <w:rPr>
                <w:rFonts w:ascii="Arial" w:cs="Arial" w:eastAsia="Arial" w:hAnsi="Arial"/>
                <w:sz w:val="16"/>
                <w:szCs w:val="16"/>
                <w:color w:val="auto"/>
              </w:rPr>
              <w:t>53-Weeks Ended</w:t>
            </w:r>
          </w:p>
        </w:tc>
      </w:tr>
      <w:tr>
        <w:trPr>
          <w:trHeight w:val="273"/>
        </w:trPr>
        <w:tc>
          <w:tcPr>
            <w:tcW w:w="336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96"/>
              </w:rPr>
              <w:t>August 29, 2020</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August 31, 2019</w:t>
            </w:r>
          </w:p>
        </w:tc>
      </w:tr>
      <w:tr>
        <w:trPr>
          <w:trHeight w:val="253"/>
        </w:trPr>
        <w:tc>
          <w:tcPr>
            <w:tcW w:w="3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885,044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ind w:left="760"/>
              <w:spacing w:after="0"/>
              <w:rPr>
                <w:sz w:val="20"/>
                <w:szCs w:val="20"/>
                <w:color w:val="auto"/>
              </w:rPr>
            </w:pPr>
            <w:r>
              <w:rPr>
                <w:rFonts w:ascii="Arial" w:cs="Arial" w:eastAsia="Arial" w:hAnsi="Arial"/>
                <w:sz w:val="16"/>
                <w:szCs w:val="16"/>
                <w:color w:val="auto"/>
              </w:rPr>
              <w:t>832,629</w:t>
            </w:r>
          </w:p>
        </w:tc>
      </w:tr>
      <w:tr>
        <w:trPr>
          <w:trHeight w:val="267"/>
        </w:trPr>
        <w:tc>
          <w:tcPr>
            <w:tcW w:w="3500" w:type="dxa"/>
            <w:vAlign w:val="bottom"/>
            <w:gridSpan w:val="2"/>
          </w:tcPr>
          <w:p>
            <w:pPr>
              <w:spacing w:after="0"/>
              <w:rPr>
                <w:sz w:val="20"/>
                <w:szCs w:val="20"/>
                <w:color w:val="auto"/>
              </w:rPr>
            </w:pPr>
            <w:r>
              <w:rPr>
                <w:rFonts w:ascii="Arial" w:cs="Arial" w:eastAsia="Arial" w:hAnsi="Arial"/>
                <w:sz w:val="16"/>
                <w:szCs w:val="16"/>
                <w:color w:val="auto"/>
              </w:rPr>
              <w:t>Gross profit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355,395</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ind w:left="760"/>
              <w:spacing w:after="0"/>
              <w:rPr>
                <w:sz w:val="20"/>
                <w:szCs w:val="20"/>
                <w:color w:val="auto"/>
              </w:rPr>
            </w:pPr>
            <w:r>
              <w:rPr>
                <w:rFonts w:ascii="Arial" w:cs="Arial" w:eastAsia="Arial" w:hAnsi="Arial"/>
                <w:sz w:val="16"/>
                <w:szCs w:val="16"/>
                <w:color w:val="auto"/>
              </w:rPr>
              <w:t>317,758</w:t>
            </w:r>
          </w:p>
        </w:tc>
      </w:tr>
      <w:tr>
        <w:trPr>
          <w:trHeight w:val="273"/>
        </w:trPr>
        <w:tc>
          <w:tcPr>
            <w:tcW w:w="3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90,028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ind w:left="760"/>
              <w:spacing w:after="0"/>
              <w:rPr>
                <w:sz w:val="20"/>
                <w:szCs w:val="20"/>
                <w:color w:val="auto"/>
              </w:rPr>
            </w:pPr>
            <w:r>
              <w:rPr>
                <w:rFonts w:ascii="Arial" w:cs="Arial" w:eastAsia="Arial" w:hAnsi="Arial"/>
                <w:sz w:val="16"/>
                <w:szCs w:val="16"/>
                <w:color w:val="auto"/>
                <w:w w:val="97"/>
              </w:rPr>
              <w:t>(42,627)</w:t>
            </w:r>
          </w:p>
        </w:tc>
      </w:tr>
    </w:tbl>
    <w:p>
      <w:pPr>
        <w:spacing w:after="0" w:line="319" w:lineRule="exact"/>
        <w:rPr>
          <w:sz w:val="20"/>
          <w:szCs w:val="20"/>
          <w:color w:val="auto"/>
        </w:rPr>
      </w:pPr>
    </w:p>
    <w:p>
      <w:pPr>
        <w:ind w:left="180" w:hanging="172"/>
        <w:spacing w:after="0"/>
        <w:tabs>
          <w:tab w:leader="none" w:pos="1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256" w:lineRule="exact"/>
        <w:rPr>
          <w:rFonts w:ascii="Arial" w:cs="Arial" w:eastAsia="Arial" w:hAnsi="Arial"/>
          <w:sz w:val="18"/>
          <w:szCs w:val="18"/>
          <w:b w:val="1"/>
          <w:bCs w:val="1"/>
          <w:color w:val="auto"/>
        </w:rPr>
      </w:pPr>
    </w:p>
    <w:p>
      <w:pPr>
        <w:ind w:left="18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Property and equipment, net</w:t>
      </w:r>
      <w:r>
        <w:rPr>
          <w:rFonts w:ascii="Arial" w:cs="Arial" w:eastAsia="Arial" w:hAnsi="Arial"/>
          <w:sz w:val="18"/>
          <w:szCs w:val="18"/>
          <w:color w:val="auto"/>
        </w:rPr>
        <w:t>, as presented with the Consolidated Balance Sheets, is summarized as follows:</w:t>
      </w:r>
    </w:p>
    <w:p>
      <w:pPr>
        <w:spacing w:after="0" w:line="324" w:lineRule="exact"/>
        <w:rPr>
          <w:sz w:val="20"/>
          <w:szCs w:val="20"/>
          <w:color w:val="auto"/>
        </w:rPr>
      </w:pPr>
    </w:p>
    <w:tbl>
      <w:tblPr>
        <w:tblLayout w:type="fixed"/>
        <w:tblInd w:w="2320" w:type="dxa"/>
        <w:tblCellMar>
          <w:top w:w="0" w:type="dxa"/>
          <w:left w:w="0" w:type="dxa"/>
          <w:bottom w:w="0" w:type="dxa"/>
          <w:right w:w="0" w:type="dxa"/>
        </w:tblCellMar>
      </w:tblPr>
      <w:tr>
        <w:trPr>
          <w:trHeight w:val="236"/>
        </w:trPr>
        <w:tc>
          <w:tcPr>
            <w:tcW w:w="338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96"/>
              </w:rPr>
              <w:t>August 28, 2021</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96"/>
              </w:rPr>
              <w:t>August 29, 2020</w:t>
            </w:r>
          </w:p>
        </w:tc>
      </w:tr>
      <w:tr>
        <w:trPr>
          <w:trHeight w:val="253"/>
        </w:trPr>
        <w:tc>
          <w:tcPr>
            <w:tcW w:w="3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Furniture and fixtures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3,100</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3,197</w:t>
            </w:r>
          </w:p>
        </w:tc>
      </w:tr>
      <w:tr>
        <w:trPr>
          <w:trHeight w:val="267"/>
        </w:trPr>
        <w:tc>
          <w:tcPr>
            <w:tcW w:w="3520" w:type="dxa"/>
            <w:vAlign w:val="bottom"/>
            <w:gridSpan w:val="2"/>
          </w:tcPr>
          <w:p>
            <w:pPr>
              <w:spacing w:after="0"/>
              <w:rPr>
                <w:sz w:val="20"/>
                <w:szCs w:val="20"/>
                <w:color w:val="auto"/>
              </w:rPr>
            </w:pPr>
            <w:r>
              <w:rPr>
                <w:rFonts w:ascii="Arial" w:cs="Arial" w:eastAsia="Arial" w:hAnsi="Arial"/>
                <w:sz w:val="16"/>
                <w:szCs w:val="16"/>
                <w:color w:val="auto"/>
              </w:rPr>
              <w:t>Computer equipment and software</w:t>
            </w: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1,093</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1,062</w:t>
            </w:r>
          </w:p>
        </w:tc>
      </w:tr>
      <w:tr>
        <w:trPr>
          <w:trHeight w:val="273"/>
        </w:trPr>
        <w:tc>
          <w:tcPr>
            <w:tcW w:w="3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Machinery and equipment</w:t>
            </w: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1,934</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1,135</w:t>
            </w:r>
          </w:p>
        </w:tc>
      </w:tr>
      <w:tr>
        <w:trPr>
          <w:trHeight w:val="267"/>
        </w:trPr>
        <w:tc>
          <w:tcPr>
            <w:tcW w:w="3520" w:type="dxa"/>
            <w:vAlign w:val="bottom"/>
            <w:gridSpan w:val="2"/>
          </w:tcPr>
          <w:p>
            <w:pPr>
              <w:spacing w:after="0"/>
              <w:rPr>
                <w:sz w:val="20"/>
                <w:szCs w:val="20"/>
                <w:color w:val="auto"/>
              </w:rPr>
            </w:pPr>
            <w:r>
              <w:rPr>
                <w:rFonts w:ascii="Arial" w:cs="Arial" w:eastAsia="Arial" w:hAnsi="Arial"/>
                <w:sz w:val="16"/>
                <w:szCs w:val="16"/>
                <w:color w:val="auto"/>
              </w:rPr>
              <w:t>Leasehold improvements</w:t>
            </w: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8,219</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8,137</w:t>
            </w:r>
          </w:p>
        </w:tc>
      </w:tr>
      <w:tr>
        <w:trPr>
          <w:trHeight w:val="273"/>
        </w:trPr>
        <w:tc>
          <w:tcPr>
            <w:tcW w:w="3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Finance lease right-of-use-assets</w:t>
            </w: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1,185</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1,185</w:t>
            </w:r>
          </w:p>
        </w:tc>
      </w:tr>
      <w:tr>
        <w:trPr>
          <w:trHeight w:val="267"/>
        </w:trPr>
        <w:tc>
          <w:tcPr>
            <w:tcW w:w="35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Construction in progress</w:t>
            </w: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6,189</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53"/>
        </w:trPr>
        <w:tc>
          <w:tcPr>
            <w:tcW w:w="3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Property and equipment, gross</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21,720</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14,716</w:t>
            </w:r>
          </w:p>
        </w:tc>
      </w:tr>
      <w:tr>
        <w:trPr>
          <w:trHeight w:val="267"/>
        </w:trPr>
        <w:tc>
          <w:tcPr>
            <w:tcW w:w="352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Less: accumulated depreciation</w:t>
            </w: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(5,136)</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(2,866)</w:t>
            </w:r>
          </w:p>
        </w:tc>
      </w:tr>
      <w:tr>
        <w:trPr>
          <w:trHeight w:val="251"/>
        </w:trPr>
        <w:tc>
          <w:tcPr>
            <w:tcW w:w="3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Property and equipment,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16,584</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11,850</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20" w:firstLine="181"/>
        <w:spacing w:after="0" w:line="277" w:lineRule="auto"/>
        <w:rPr>
          <w:sz w:val="20"/>
          <w:szCs w:val="20"/>
          <w:color w:val="auto"/>
        </w:rPr>
      </w:pPr>
      <w:r>
        <w:rPr>
          <w:rFonts w:ascii="Arial" w:cs="Arial" w:eastAsia="Arial" w:hAnsi="Arial"/>
          <w:sz w:val="18"/>
          <w:szCs w:val="18"/>
          <w:color w:val="auto"/>
        </w:rPr>
        <w:t>Total depreciation expense was $2.3 million for the fifty-two weeks ended August 28, 2021, $1.8 million for the fifty-two weeks ended August 29, 2020, and $1.1 million for the fifty-three weeks ended August 31, 2019.</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ind w:left="180" w:hanging="172"/>
        <w:spacing w:after="0"/>
        <w:tabs>
          <w:tab w:leader="none" w:pos="18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Intangibles</w:t>
      </w:r>
    </w:p>
    <w:p>
      <w:pPr>
        <w:spacing w:after="0" w:line="256" w:lineRule="exact"/>
        <w:rPr>
          <w:rFonts w:ascii="Arial" w:cs="Arial" w:eastAsia="Arial" w:hAnsi="Arial"/>
          <w:sz w:val="18"/>
          <w:szCs w:val="18"/>
          <w:b w:val="1"/>
          <w:bCs w:val="1"/>
          <w:color w:val="auto"/>
        </w:rPr>
      </w:pPr>
    </w:p>
    <w:p>
      <w:pPr>
        <w:ind w:left="180"/>
        <w:spacing w:after="0"/>
        <w:rPr>
          <w:rFonts w:ascii="Arial" w:cs="Arial" w:eastAsia="Arial" w:hAnsi="Arial"/>
          <w:sz w:val="18"/>
          <w:szCs w:val="18"/>
          <w:b w:val="1"/>
          <w:bCs w:val="1"/>
          <w:color w:val="auto"/>
        </w:rPr>
      </w:pPr>
      <w:r>
        <w:rPr>
          <w:rFonts w:ascii="Arial" w:cs="Arial" w:eastAsia="Arial" w:hAnsi="Arial"/>
          <w:sz w:val="18"/>
          <w:szCs w:val="18"/>
          <w:color w:val="auto"/>
        </w:rPr>
        <w:t xml:space="preserve">Changes to </w:t>
      </w:r>
      <w:r>
        <w:rPr>
          <w:rFonts w:ascii="Arial" w:cs="Arial" w:eastAsia="Arial" w:hAnsi="Arial"/>
          <w:sz w:val="18"/>
          <w:szCs w:val="18"/>
          <w:i w:val="1"/>
          <w:iCs w:val="1"/>
          <w:color w:val="auto"/>
        </w:rPr>
        <w:t>Goodwill</w:t>
      </w:r>
      <w:r>
        <w:rPr>
          <w:rFonts w:ascii="Arial" w:cs="Arial" w:eastAsia="Arial" w:hAnsi="Arial"/>
          <w:sz w:val="18"/>
          <w:szCs w:val="18"/>
          <w:color w:val="auto"/>
        </w:rPr>
        <w:t xml:space="preserve"> during the fifty-two weeks ended August 28, 2021 and the fifty-two weeks ended August 29, 2020 were as follows:</w:t>
      </w:r>
    </w:p>
    <w:p>
      <w:pPr>
        <w:spacing w:after="0" w:line="351" w:lineRule="exact"/>
        <w:rPr>
          <w:sz w:val="20"/>
          <w:szCs w:val="20"/>
          <w:color w:val="auto"/>
        </w:rPr>
      </w:pPr>
    </w:p>
    <w:tbl>
      <w:tblPr>
        <w:tblLayout w:type="fixed"/>
        <w:tblInd w:w="3080" w:type="dxa"/>
        <w:tblCellMar>
          <w:top w:w="0" w:type="dxa"/>
          <w:left w:w="0" w:type="dxa"/>
          <w:bottom w:w="0" w:type="dxa"/>
          <w:right w:w="0" w:type="dxa"/>
        </w:tblCellMar>
      </w:tblPr>
      <w:tr>
        <w:trPr>
          <w:trHeight w:val="209"/>
        </w:trPr>
        <w:tc>
          <w:tcPr>
            <w:tcW w:w="344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Goodwill</w:t>
            </w:r>
          </w:p>
        </w:tc>
      </w:tr>
      <w:tr>
        <w:trPr>
          <w:trHeight w:val="253"/>
        </w:trPr>
        <w:tc>
          <w:tcPr>
            <w:tcW w:w="3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as of August 31, 2019</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471,427</w:t>
            </w:r>
          </w:p>
        </w:tc>
      </w:tr>
      <w:tr>
        <w:trPr>
          <w:trHeight w:val="267"/>
        </w:trPr>
        <w:tc>
          <w:tcPr>
            <w:tcW w:w="358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Acquisition of business</w:t>
            </w:r>
          </w:p>
        </w:tc>
        <w:tc>
          <w:tcPr>
            <w:tcW w:w="2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73,347</w:t>
            </w:r>
          </w:p>
        </w:tc>
      </w:tr>
      <w:tr>
        <w:trPr>
          <w:trHeight w:val="253"/>
        </w:trPr>
        <w:tc>
          <w:tcPr>
            <w:tcW w:w="3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as of August 29, 2020</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544,774</w:t>
            </w:r>
          </w:p>
        </w:tc>
      </w:tr>
      <w:tr>
        <w:trPr>
          <w:trHeight w:val="267"/>
        </w:trPr>
        <w:tc>
          <w:tcPr>
            <w:tcW w:w="3580" w:type="dxa"/>
            <w:vAlign w:val="bottom"/>
            <w:gridSpan w:val="2"/>
          </w:tcPr>
          <w:p>
            <w:pPr>
              <w:ind w:left="120"/>
              <w:spacing w:after="0"/>
              <w:rPr>
                <w:sz w:val="20"/>
                <w:szCs w:val="20"/>
                <w:color w:val="auto"/>
              </w:rPr>
            </w:pPr>
            <w:r>
              <w:rPr>
                <w:rFonts w:ascii="Arial" w:cs="Arial" w:eastAsia="Arial" w:hAnsi="Arial"/>
                <w:sz w:val="16"/>
                <w:szCs w:val="16"/>
                <w:color w:val="auto"/>
              </w:rPr>
              <w:t>Acquisition of business</w:t>
            </w:r>
          </w:p>
        </w:tc>
        <w:tc>
          <w:tcPr>
            <w:tcW w:w="2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1,178</w:t>
            </w:r>
          </w:p>
        </w:tc>
      </w:tr>
      <w:tr>
        <w:trPr>
          <w:trHeight w:val="270"/>
        </w:trPr>
        <w:tc>
          <w:tcPr>
            <w:tcW w:w="35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Sale of business</w:t>
            </w:r>
          </w:p>
        </w:tc>
        <w:tc>
          <w:tcPr>
            <w:tcW w:w="2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(2,818)</w:t>
            </w:r>
          </w:p>
        </w:tc>
      </w:tr>
      <w:tr>
        <w:trPr>
          <w:trHeight w:val="226"/>
        </w:trPr>
        <w:tc>
          <w:tcPr>
            <w:tcW w:w="3580" w:type="dxa"/>
            <w:vAlign w:val="bottom"/>
            <w:gridSpan w:val="2"/>
          </w:tcPr>
          <w:p>
            <w:pPr>
              <w:spacing w:after="0"/>
              <w:rPr>
                <w:sz w:val="20"/>
                <w:szCs w:val="20"/>
                <w:color w:val="auto"/>
              </w:rPr>
            </w:pPr>
            <w:r>
              <w:rPr>
                <w:rFonts w:ascii="Arial" w:cs="Arial" w:eastAsia="Arial" w:hAnsi="Arial"/>
                <w:sz w:val="16"/>
                <w:szCs w:val="16"/>
                <w:color w:val="auto"/>
              </w:rPr>
              <w:t>Balance as of August 28, 2021</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543,134</w:t>
            </w:r>
          </w:p>
        </w:tc>
      </w:tr>
      <w:tr>
        <w:trPr>
          <w:trHeight w:val="20"/>
        </w:trPr>
        <w:tc>
          <w:tcPr>
            <w:tcW w:w="3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238"/>
        <w:spacing w:after="0" w:line="271" w:lineRule="auto"/>
        <w:rPr>
          <w:sz w:val="20"/>
          <w:szCs w:val="20"/>
          <w:color w:val="auto"/>
        </w:rPr>
      </w:pPr>
      <w:r>
        <w:rPr>
          <w:rFonts w:ascii="Arial" w:cs="Arial" w:eastAsia="Arial" w:hAnsi="Arial"/>
          <w:sz w:val="17"/>
          <w:szCs w:val="17"/>
          <w:color w:val="auto"/>
        </w:rPr>
        <w:t xml:space="preserve">The change in </w:t>
      </w:r>
      <w:r>
        <w:rPr>
          <w:rFonts w:ascii="Arial" w:cs="Arial" w:eastAsia="Arial" w:hAnsi="Arial"/>
          <w:sz w:val="17"/>
          <w:szCs w:val="17"/>
          <w:i w:val="1"/>
          <w:iCs w:val="1"/>
          <w:color w:val="auto"/>
        </w:rPr>
        <w:t>Goodwill</w:t>
      </w:r>
      <w:r>
        <w:rPr>
          <w:rFonts w:ascii="Arial" w:cs="Arial" w:eastAsia="Arial" w:hAnsi="Arial"/>
          <w:sz w:val="17"/>
          <w:szCs w:val="17"/>
          <w:color w:val="auto"/>
        </w:rPr>
        <w:t xml:space="preserve"> attributed to the acquisition of a business during the fifty-two weeks ended August 28, 2021 and the fifty-two weeks ended August 29, 2020 was the result of the Quest Acquisition and subsequent measurement period adjustments made to finalize the acquisition method of accounting as described in Note 3, Business Combination. Additionally, effective September 24, 2020, the Company sold the assets exclusively related to its SimplyProtein® brand of products for approximately $8.8 million of consideration, including cash of $5.8 million and a note receivable for $3.0 million, to a newly formed entity led by the Company’s former Canadian-based management team who had been responsible for this brand prior to the sale transaction (the “SimplyProtein Sale”). In addition to purchasing these assets, the buyer assumed certain liabilities related to the SimplyProtein brand’s business. There was no gain or loss recognized as a result of the SimplyProtein Sale. In conjunction with the SimplyProtein Sale, the Company disposed of $2.8 million of goodwill associated with the SimplyProtein business.</w:t>
      </w:r>
    </w:p>
    <w:p>
      <w:pPr>
        <w:spacing w:after="0" w:line="205" w:lineRule="exact"/>
        <w:rPr>
          <w:sz w:val="20"/>
          <w:szCs w:val="20"/>
          <w:color w:val="auto"/>
        </w:rPr>
      </w:pPr>
    </w:p>
    <w:p>
      <w:pPr>
        <w:jc w:val="both"/>
        <w:ind w:firstLine="191"/>
        <w:spacing w:after="0" w:line="257" w:lineRule="auto"/>
        <w:rPr>
          <w:sz w:val="20"/>
          <w:szCs w:val="20"/>
          <w:color w:val="auto"/>
        </w:rPr>
      </w:pPr>
      <w:r>
        <w:rPr>
          <w:rFonts w:ascii="Arial" w:cs="Arial" w:eastAsia="Arial" w:hAnsi="Arial"/>
          <w:sz w:val="18"/>
          <w:szCs w:val="18"/>
          <w:color w:val="auto"/>
        </w:rPr>
        <w:t>For fiscal year 2021, the Company performed qualitative goodwill impairment assessments for each reporting unit that had goodwill, which consisted of both of the Company’s operating segments, Atkins and Quest. The qualitative assessments did not identify indicators of impairment, and it was determined that it was more likely than not each reporting unit had fair values in excess of their carrying values. Accordingly, no further impairment assessment was necessary, and the Company determined neither reporting unit was impaired. There were no impairment charges related to goodwill in the fifty-two weeks ended August 28, 2021 or since the inception of the Company.</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 xml:space="preserve">Intangible assets, net </w:t>
      </w:r>
      <w:r>
        <w:rPr>
          <w:rFonts w:ascii="Arial" w:cs="Arial" w:eastAsia="Arial" w:hAnsi="Arial"/>
          <w:sz w:val="18"/>
          <w:szCs w:val="18"/>
          <w:color w:val="auto"/>
        </w:rPr>
        <w:t>in the Consolidated Balance Sheets consist of the following:</w:t>
      </w:r>
    </w:p>
    <w:p>
      <w:pPr>
        <w:spacing w:after="0" w:line="351" w:lineRule="exact"/>
        <w:rPr>
          <w:sz w:val="20"/>
          <w:szCs w:val="20"/>
          <w:color w:val="auto"/>
        </w:rPr>
      </w:pPr>
    </w:p>
    <w:tbl>
      <w:tblPr>
        <w:tblLayout w:type="fixed"/>
        <w:tblInd w:w="800" w:type="dxa"/>
        <w:tblCellMar>
          <w:top w:w="0" w:type="dxa"/>
          <w:left w:w="0" w:type="dxa"/>
          <w:bottom w:w="0" w:type="dxa"/>
          <w:right w:w="0" w:type="dxa"/>
        </w:tblCellMar>
      </w:tblPr>
      <w:tr>
        <w:trPr>
          <w:trHeight w:val="209"/>
        </w:trPr>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color w:val="auto"/>
                <w:w w:val="92"/>
              </w:rPr>
              <w:t>August 28, 2021</w:t>
            </w: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18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vMerge w:val="restart"/>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gridSpan w:val="2"/>
            <w:vMerge w:val="restart"/>
          </w:tcPr>
          <w:p>
            <w:pPr>
              <w:jc w:val="center"/>
              <w:ind w:right="319"/>
              <w:spacing w:after="0"/>
              <w:rPr>
                <w:sz w:val="20"/>
                <w:szCs w:val="20"/>
                <w:color w:val="auto"/>
              </w:rPr>
            </w:pPr>
            <w:r>
              <w:rPr>
                <w:rFonts w:ascii="Arial" w:cs="Arial" w:eastAsia="Arial" w:hAnsi="Arial"/>
                <w:sz w:val="16"/>
                <w:szCs w:val="16"/>
                <w:color w:val="auto"/>
                <w:w w:val="96"/>
              </w:rPr>
              <w:t>Useful life</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ind w:left="60"/>
              <w:spacing w:after="0" w:line="162" w:lineRule="exact"/>
              <w:rPr>
                <w:sz w:val="20"/>
                <w:szCs w:val="20"/>
                <w:color w:val="auto"/>
              </w:rPr>
            </w:pPr>
            <w:r>
              <w:rPr>
                <w:rFonts w:ascii="Arial" w:cs="Arial" w:eastAsia="Arial" w:hAnsi="Arial"/>
                <w:sz w:val="16"/>
                <w:szCs w:val="16"/>
                <w:color w:val="auto"/>
              </w:rPr>
              <w:t>Gross carrying</w:t>
            </w:r>
          </w:p>
        </w:tc>
        <w:tc>
          <w:tcPr>
            <w:tcW w:w="140" w:type="dxa"/>
            <w:vAlign w:val="bottom"/>
          </w:tcPr>
          <w:p>
            <w:pPr>
              <w:spacing w:after="0"/>
              <w:rPr>
                <w:sz w:val="14"/>
                <w:szCs w:val="14"/>
                <w:color w:val="auto"/>
              </w:rPr>
            </w:pPr>
          </w:p>
        </w:tc>
        <w:tc>
          <w:tcPr>
            <w:tcW w:w="1460" w:type="dxa"/>
            <w:vAlign w:val="bottom"/>
            <w:gridSpan w:val="2"/>
          </w:tcPr>
          <w:p>
            <w:pPr>
              <w:jc w:val="center"/>
              <w:ind w:right="280"/>
              <w:spacing w:after="0" w:line="162" w:lineRule="exact"/>
              <w:rPr>
                <w:sz w:val="20"/>
                <w:szCs w:val="20"/>
                <w:color w:val="auto"/>
              </w:rPr>
            </w:pPr>
            <w:r>
              <w:rPr>
                <w:rFonts w:ascii="Arial" w:cs="Arial" w:eastAsia="Arial" w:hAnsi="Arial"/>
                <w:sz w:val="16"/>
                <w:szCs w:val="16"/>
                <w:color w:val="auto"/>
                <w:w w:val="92"/>
              </w:rPr>
              <w:t>Accumulated</w:t>
            </w:r>
          </w:p>
        </w:tc>
        <w:tc>
          <w:tcPr>
            <w:tcW w:w="1480" w:type="dxa"/>
            <w:vAlign w:val="bottom"/>
            <w:gridSpan w:val="2"/>
            <w:vMerge w:val="restart"/>
          </w:tcPr>
          <w:p>
            <w:pPr>
              <w:jc w:val="right"/>
              <w:spacing w:after="0"/>
              <w:rPr>
                <w:sz w:val="20"/>
                <w:szCs w:val="20"/>
                <w:color w:val="auto"/>
              </w:rPr>
            </w:pPr>
            <w:r>
              <w:rPr>
                <w:rFonts w:ascii="Arial" w:cs="Arial" w:eastAsia="Arial" w:hAnsi="Arial"/>
                <w:sz w:val="16"/>
                <w:szCs w:val="16"/>
                <w:color w:val="auto"/>
                <w:w w:val="95"/>
              </w:rPr>
              <w:t>Net carrying amount</w:t>
            </w:r>
          </w:p>
        </w:tc>
        <w:tc>
          <w:tcPr>
            <w:tcW w:w="0" w:type="dxa"/>
            <w:vAlign w:val="bottom"/>
          </w:tcPr>
          <w:p>
            <w:pPr>
              <w:spacing w:after="0"/>
              <w:rPr>
                <w:sz w:val="1"/>
                <w:szCs w:val="1"/>
                <w:color w:val="auto"/>
              </w:rPr>
            </w:pPr>
          </w:p>
        </w:tc>
      </w:tr>
      <w:tr>
        <w:trPr>
          <w:trHeight w:val="209"/>
        </w:trPr>
        <w:tc>
          <w:tcPr>
            <w:tcW w:w="318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amount</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w w:val="94"/>
              </w:rPr>
              <w:t>amortization</w:t>
            </w:r>
          </w:p>
        </w:tc>
        <w:tc>
          <w:tcPr>
            <w:tcW w:w="12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3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Intangible assets with indefinite life:</w:t>
            </w:r>
          </w:p>
        </w:tc>
        <w:tc>
          <w:tcPr>
            <w:tcW w:w="3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3320" w:type="dxa"/>
            <w:vAlign w:val="bottom"/>
            <w:gridSpan w:val="2"/>
          </w:tcPr>
          <w:p>
            <w:pPr>
              <w:ind w:left="120"/>
              <w:spacing w:after="0"/>
              <w:rPr>
                <w:sz w:val="20"/>
                <w:szCs w:val="20"/>
                <w:color w:val="auto"/>
              </w:rPr>
            </w:pPr>
            <w:r>
              <w:rPr>
                <w:rFonts w:ascii="Arial" w:cs="Arial" w:eastAsia="Arial" w:hAnsi="Arial"/>
                <w:sz w:val="16"/>
                <w:szCs w:val="16"/>
                <w:color w:val="auto"/>
              </w:rPr>
              <w:t>Brands and trademarks</w:t>
            </w:r>
          </w:p>
        </w:tc>
        <w:tc>
          <w:tcPr>
            <w:tcW w:w="1660" w:type="dxa"/>
            <w:vAlign w:val="bottom"/>
            <w:gridSpan w:val="4"/>
          </w:tcPr>
          <w:p>
            <w:pPr>
              <w:jc w:val="center"/>
              <w:ind w:right="140"/>
              <w:spacing w:after="0"/>
              <w:rPr>
                <w:sz w:val="20"/>
                <w:szCs w:val="20"/>
                <w:color w:val="auto"/>
              </w:rPr>
            </w:pPr>
            <w:r>
              <w:rPr>
                <w:rFonts w:ascii="Arial" w:cs="Arial" w:eastAsia="Arial" w:hAnsi="Arial"/>
                <w:sz w:val="16"/>
                <w:szCs w:val="16"/>
                <w:color w:val="auto"/>
                <w:w w:val="97"/>
              </w:rPr>
              <w:t>Indefinite life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974,000</w:t>
            </w:r>
          </w:p>
        </w:tc>
        <w:tc>
          <w:tcPr>
            <w:tcW w:w="1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974,000</w:t>
            </w:r>
          </w:p>
        </w:tc>
        <w:tc>
          <w:tcPr>
            <w:tcW w:w="0" w:type="dxa"/>
            <w:vAlign w:val="bottom"/>
          </w:tcPr>
          <w:p>
            <w:pPr>
              <w:spacing w:after="0"/>
              <w:rPr>
                <w:sz w:val="1"/>
                <w:szCs w:val="1"/>
                <w:color w:val="auto"/>
              </w:rPr>
            </w:pPr>
          </w:p>
        </w:tc>
      </w:tr>
      <w:tr>
        <w:trPr>
          <w:trHeight w:val="273"/>
        </w:trPr>
        <w:tc>
          <w:tcPr>
            <w:tcW w:w="3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Intangible assets with finite lives:</w:t>
            </w:r>
          </w:p>
        </w:tc>
        <w:tc>
          <w:tcPr>
            <w:tcW w:w="3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320" w:type="dxa"/>
            <w:vAlign w:val="bottom"/>
            <w:gridSpan w:val="2"/>
          </w:tcPr>
          <w:p>
            <w:pPr>
              <w:ind w:left="120"/>
              <w:spacing w:after="0"/>
              <w:rPr>
                <w:sz w:val="20"/>
                <w:szCs w:val="20"/>
                <w:color w:val="auto"/>
              </w:rPr>
            </w:pPr>
            <w:r>
              <w:rPr>
                <w:rFonts w:ascii="Arial" w:cs="Arial" w:eastAsia="Arial" w:hAnsi="Arial"/>
                <w:sz w:val="16"/>
                <w:szCs w:val="16"/>
                <w:color w:val="auto"/>
              </w:rPr>
              <w:t>Customer relationships</w:t>
            </w:r>
          </w:p>
        </w:tc>
        <w:tc>
          <w:tcPr>
            <w:tcW w:w="380" w:type="dxa"/>
            <w:vAlign w:val="bottom"/>
          </w:tcPr>
          <w:p>
            <w:pPr>
              <w:spacing w:after="0"/>
              <w:rPr>
                <w:sz w:val="23"/>
                <w:szCs w:val="23"/>
                <w:color w:val="auto"/>
              </w:rPr>
            </w:pPr>
          </w:p>
        </w:tc>
        <w:tc>
          <w:tcPr>
            <w:tcW w:w="1280" w:type="dxa"/>
            <w:vAlign w:val="bottom"/>
            <w:gridSpan w:val="3"/>
          </w:tcPr>
          <w:p>
            <w:pPr>
              <w:jc w:val="center"/>
              <w:ind w:right="540"/>
              <w:spacing w:after="0"/>
              <w:rPr>
                <w:sz w:val="20"/>
                <w:szCs w:val="20"/>
                <w:color w:val="auto"/>
              </w:rPr>
            </w:pPr>
            <w:r>
              <w:rPr>
                <w:rFonts w:ascii="Arial" w:cs="Arial" w:eastAsia="Arial" w:hAnsi="Arial"/>
                <w:sz w:val="16"/>
                <w:szCs w:val="16"/>
                <w:color w:val="auto"/>
                <w:w w:val="87"/>
              </w:rPr>
              <w:t>15 years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174,000</w:t>
            </w:r>
          </w:p>
        </w:tc>
        <w:tc>
          <w:tcPr>
            <w:tcW w:w="1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30,103</w:t>
            </w:r>
          </w:p>
        </w:tc>
        <w:tc>
          <w:tcPr>
            <w:tcW w:w="120" w:type="dxa"/>
            <w:vAlign w:val="bottom"/>
          </w:tcPr>
          <w:p>
            <w:pPr>
              <w:spacing w:after="0"/>
              <w:rPr>
                <w:sz w:val="23"/>
                <w:szCs w:val="23"/>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143,897</w:t>
            </w:r>
          </w:p>
        </w:tc>
        <w:tc>
          <w:tcPr>
            <w:tcW w:w="0" w:type="dxa"/>
            <w:vAlign w:val="bottom"/>
          </w:tcPr>
          <w:p>
            <w:pPr>
              <w:spacing w:after="0"/>
              <w:rPr>
                <w:sz w:val="1"/>
                <w:szCs w:val="1"/>
                <w:color w:val="auto"/>
              </w:rPr>
            </w:pPr>
          </w:p>
        </w:tc>
      </w:tr>
      <w:tr>
        <w:trPr>
          <w:trHeight w:val="273"/>
        </w:trPr>
        <w:tc>
          <w:tcPr>
            <w:tcW w:w="33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Licensing agreements</w:t>
            </w:r>
          </w:p>
        </w:tc>
        <w:tc>
          <w:tcPr>
            <w:tcW w:w="380" w:type="dxa"/>
            <w:vAlign w:val="bottom"/>
            <w:shd w:val="clear" w:color="auto" w:fill="CCEEFF"/>
          </w:tcPr>
          <w:p>
            <w:pPr>
              <w:spacing w:after="0"/>
              <w:rPr>
                <w:sz w:val="23"/>
                <w:szCs w:val="23"/>
                <w:color w:val="auto"/>
              </w:rPr>
            </w:pPr>
          </w:p>
        </w:tc>
        <w:tc>
          <w:tcPr>
            <w:tcW w:w="1280" w:type="dxa"/>
            <w:vAlign w:val="bottom"/>
            <w:gridSpan w:val="3"/>
            <w:shd w:val="clear" w:color="auto" w:fill="CCEEFF"/>
          </w:tcPr>
          <w:p>
            <w:pPr>
              <w:jc w:val="center"/>
              <w:ind w:right="540"/>
              <w:spacing w:after="0"/>
              <w:rPr>
                <w:sz w:val="20"/>
                <w:szCs w:val="20"/>
                <w:color w:val="auto"/>
              </w:rPr>
            </w:pPr>
            <w:r>
              <w:rPr>
                <w:rFonts w:ascii="Arial" w:cs="Arial" w:eastAsia="Arial" w:hAnsi="Arial"/>
                <w:sz w:val="16"/>
                <w:szCs w:val="16"/>
                <w:color w:val="auto"/>
                <w:w w:val="87"/>
              </w:rPr>
              <w:t>13 years</w:t>
            </w: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22,000</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6,664</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15,336</w:t>
            </w:r>
          </w:p>
        </w:tc>
        <w:tc>
          <w:tcPr>
            <w:tcW w:w="0" w:type="dxa"/>
            <w:vAlign w:val="bottom"/>
          </w:tcPr>
          <w:p>
            <w:pPr>
              <w:spacing w:after="0"/>
              <w:rPr>
                <w:sz w:val="1"/>
                <w:szCs w:val="1"/>
                <w:color w:val="auto"/>
              </w:rPr>
            </w:pPr>
          </w:p>
        </w:tc>
      </w:tr>
      <w:tr>
        <w:trPr>
          <w:trHeight w:val="267"/>
        </w:trPr>
        <w:tc>
          <w:tcPr>
            <w:tcW w:w="3320" w:type="dxa"/>
            <w:vAlign w:val="bottom"/>
            <w:gridSpan w:val="2"/>
          </w:tcPr>
          <w:p>
            <w:pPr>
              <w:ind w:left="120"/>
              <w:spacing w:after="0"/>
              <w:rPr>
                <w:sz w:val="20"/>
                <w:szCs w:val="20"/>
                <w:color w:val="auto"/>
              </w:rPr>
            </w:pPr>
            <w:r>
              <w:rPr>
                <w:rFonts w:ascii="Arial" w:cs="Arial" w:eastAsia="Arial" w:hAnsi="Arial"/>
                <w:sz w:val="16"/>
                <w:szCs w:val="16"/>
                <w:color w:val="auto"/>
              </w:rPr>
              <w:t>Proprietary recipes and formulas</w:t>
            </w:r>
          </w:p>
        </w:tc>
        <w:tc>
          <w:tcPr>
            <w:tcW w:w="380" w:type="dxa"/>
            <w:vAlign w:val="bottom"/>
          </w:tcPr>
          <w:p>
            <w:pPr>
              <w:spacing w:after="0"/>
              <w:rPr>
                <w:sz w:val="23"/>
                <w:szCs w:val="23"/>
                <w:color w:val="auto"/>
              </w:rPr>
            </w:pPr>
          </w:p>
        </w:tc>
        <w:tc>
          <w:tcPr>
            <w:tcW w:w="1280" w:type="dxa"/>
            <w:vAlign w:val="bottom"/>
            <w:gridSpan w:val="3"/>
          </w:tcPr>
          <w:p>
            <w:pPr>
              <w:jc w:val="center"/>
              <w:ind w:right="540"/>
              <w:spacing w:after="0"/>
              <w:rPr>
                <w:sz w:val="20"/>
                <w:szCs w:val="20"/>
                <w:color w:val="auto"/>
              </w:rPr>
            </w:pPr>
            <w:r>
              <w:rPr>
                <w:rFonts w:ascii="Arial" w:cs="Arial" w:eastAsia="Arial" w:hAnsi="Arial"/>
                <w:sz w:val="16"/>
                <w:szCs w:val="16"/>
                <w:color w:val="auto"/>
                <w:w w:val="87"/>
              </w:rPr>
              <w:t>7 years</w:t>
            </w: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7,000</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4,131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2,869</w:t>
            </w:r>
          </w:p>
        </w:tc>
        <w:tc>
          <w:tcPr>
            <w:tcW w:w="0" w:type="dxa"/>
            <w:vAlign w:val="bottom"/>
          </w:tcPr>
          <w:p>
            <w:pPr>
              <w:spacing w:after="0"/>
              <w:rPr>
                <w:sz w:val="1"/>
                <w:szCs w:val="1"/>
                <w:color w:val="auto"/>
              </w:rPr>
            </w:pPr>
          </w:p>
        </w:tc>
      </w:tr>
      <w:tr>
        <w:trPr>
          <w:trHeight w:val="273"/>
        </w:trPr>
        <w:tc>
          <w:tcPr>
            <w:tcW w:w="33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Software and website development costs</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480" w:type="dxa"/>
            <w:vAlign w:val="bottom"/>
            <w:shd w:val="clear" w:color="auto" w:fill="CCEEFF"/>
          </w:tcPr>
          <w:p>
            <w:pPr>
              <w:jc w:val="center"/>
              <w:ind w:left="179"/>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5 years</w:t>
            </w: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5,560</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2,924</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2,636</w:t>
            </w:r>
          </w:p>
        </w:tc>
        <w:tc>
          <w:tcPr>
            <w:tcW w:w="0" w:type="dxa"/>
            <w:vAlign w:val="bottom"/>
          </w:tcPr>
          <w:p>
            <w:pPr>
              <w:spacing w:after="0"/>
              <w:rPr>
                <w:sz w:val="1"/>
                <w:szCs w:val="1"/>
                <w:color w:val="auto"/>
              </w:rPr>
            </w:pPr>
          </w:p>
        </w:tc>
      </w:tr>
      <w:tr>
        <w:trPr>
          <w:trHeight w:val="267"/>
        </w:trPr>
        <w:tc>
          <w:tcPr>
            <w:tcW w:w="3320" w:type="dxa"/>
            <w:vAlign w:val="bottom"/>
            <w:gridSpan w:val="2"/>
          </w:tcPr>
          <w:p>
            <w:pPr>
              <w:ind w:left="120"/>
              <w:spacing w:after="0"/>
              <w:rPr>
                <w:sz w:val="20"/>
                <w:szCs w:val="20"/>
                <w:color w:val="auto"/>
              </w:rPr>
            </w:pPr>
            <w:r>
              <w:rPr>
                <w:rFonts w:ascii="Arial" w:cs="Arial" w:eastAsia="Arial" w:hAnsi="Arial"/>
                <w:sz w:val="16"/>
                <w:szCs w:val="16"/>
                <w:color w:val="auto"/>
              </w:rPr>
              <w:t>Intangible assets in progress</w:t>
            </w:r>
          </w:p>
        </w:tc>
        <w:tc>
          <w:tcPr>
            <w:tcW w:w="380" w:type="dxa"/>
            <w:vAlign w:val="bottom"/>
          </w:tcPr>
          <w:p>
            <w:pPr>
              <w:jc w:val="right"/>
              <w:spacing w:after="0"/>
              <w:rPr>
                <w:sz w:val="20"/>
                <w:szCs w:val="20"/>
                <w:color w:val="auto"/>
              </w:rPr>
            </w:pPr>
            <w:r>
              <w:rPr>
                <w:rFonts w:ascii="Arial" w:cs="Arial" w:eastAsia="Arial" w:hAnsi="Arial"/>
                <w:sz w:val="16"/>
                <w:szCs w:val="16"/>
                <w:color w:val="auto"/>
              </w:rPr>
              <w:t>3</w:t>
            </w:r>
          </w:p>
        </w:tc>
        <w:tc>
          <w:tcPr>
            <w:tcW w:w="480" w:type="dxa"/>
            <w:vAlign w:val="bottom"/>
          </w:tcPr>
          <w:p>
            <w:pPr>
              <w:jc w:val="center"/>
              <w:ind w:left="179"/>
              <w:spacing w:after="0"/>
              <w:rPr>
                <w:sz w:val="20"/>
                <w:szCs w:val="20"/>
                <w:color w:val="auto"/>
              </w:rPr>
            </w:pPr>
            <w:r>
              <w:rPr>
                <w:rFonts w:ascii="Arial" w:cs="Arial" w:eastAsia="Arial" w:hAnsi="Arial"/>
                <w:sz w:val="16"/>
                <w:szCs w:val="16"/>
                <w:color w:val="auto"/>
              </w:rPr>
              <w:t>-</w:t>
            </w:r>
          </w:p>
        </w:tc>
        <w:tc>
          <w:tcPr>
            <w:tcW w:w="800" w:type="dxa"/>
            <w:vAlign w:val="bottom"/>
            <w:gridSpan w:val="2"/>
          </w:tcPr>
          <w:p>
            <w:pPr>
              <w:ind w:left="100"/>
              <w:spacing w:after="0"/>
              <w:rPr>
                <w:sz w:val="20"/>
                <w:szCs w:val="20"/>
                <w:color w:val="auto"/>
              </w:rPr>
            </w:pPr>
            <w:r>
              <w:rPr>
                <w:rFonts w:ascii="Arial" w:cs="Arial" w:eastAsia="Arial" w:hAnsi="Arial"/>
                <w:sz w:val="16"/>
                <w:szCs w:val="16"/>
                <w:color w:val="auto"/>
              </w:rPr>
              <w:t>5 years</w:t>
            </w: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303</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r>
        <w:trPr>
          <w:trHeight w:val="248"/>
        </w:trPr>
        <w:tc>
          <w:tcPr>
            <w:tcW w:w="31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1,182,863</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43,822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1,139,041</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59" w:lineRule="exact"/>
        <w:rPr>
          <w:sz w:val="20"/>
          <w:szCs w:val="20"/>
          <w:color w:val="auto"/>
        </w:rPr>
      </w:pPr>
    </w:p>
    <w:tbl>
      <w:tblPr>
        <w:tblLayout w:type="fixed"/>
        <w:tblInd w:w="760" w:type="dxa"/>
        <w:tblCellMar>
          <w:top w:w="0" w:type="dxa"/>
          <w:left w:w="0" w:type="dxa"/>
          <w:bottom w:w="0" w:type="dxa"/>
          <w:right w:w="0" w:type="dxa"/>
        </w:tblCellMar>
      </w:tblPr>
      <w:tr>
        <w:trPr>
          <w:trHeight w:val="209"/>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color w:val="auto"/>
                <w:w w:val="92"/>
              </w:rPr>
              <w:t>August 29, 2020</w:t>
            </w: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2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vMerge w:val="restart"/>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vMerge w:val="restart"/>
          </w:tcPr>
          <w:p>
            <w:pPr>
              <w:jc w:val="center"/>
              <w:ind w:right="339"/>
              <w:spacing w:after="0"/>
              <w:rPr>
                <w:sz w:val="20"/>
                <w:szCs w:val="20"/>
                <w:color w:val="auto"/>
              </w:rPr>
            </w:pPr>
            <w:r>
              <w:rPr>
                <w:rFonts w:ascii="Arial" w:cs="Arial" w:eastAsia="Arial" w:hAnsi="Arial"/>
                <w:sz w:val="16"/>
                <w:szCs w:val="16"/>
                <w:color w:val="auto"/>
                <w:w w:val="99"/>
              </w:rPr>
              <w:t>Useful life</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ind w:left="60"/>
              <w:spacing w:after="0" w:line="162" w:lineRule="exact"/>
              <w:rPr>
                <w:sz w:val="20"/>
                <w:szCs w:val="20"/>
                <w:color w:val="auto"/>
              </w:rPr>
            </w:pPr>
            <w:r>
              <w:rPr>
                <w:rFonts w:ascii="Arial" w:cs="Arial" w:eastAsia="Arial" w:hAnsi="Arial"/>
                <w:sz w:val="16"/>
                <w:szCs w:val="16"/>
                <w:color w:val="auto"/>
              </w:rPr>
              <w:t>Gross carrying</w:t>
            </w:r>
          </w:p>
        </w:tc>
        <w:tc>
          <w:tcPr>
            <w:tcW w:w="140" w:type="dxa"/>
            <w:vAlign w:val="bottom"/>
          </w:tcPr>
          <w:p>
            <w:pPr>
              <w:spacing w:after="0"/>
              <w:rPr>
                <w:sz w:val="14"/>
                <w:szCs w:val="14"/>
                <w:color w:val="auto"/>
              </w:rPr>
            </w:pPr>
          </w:p>
        </w:tc>
        <w:tc>
          <w:tcPr>
            <w:tcW w:w="1460" w:type="dxa"/>
            <w:vAlign w:val="bottom"/>
            <w:gridSpan w:val="2"/>
          </w:tcPr>
          <w:p>
            <w:pPr>
              <w:jc w:val="center"/>
              <w:ind w:right="280"/>
              <w:spacing w:after="0" w:line="162" w:lineRule="exact"/>
              <w:rPr>
                <w:sz w:val="20"/>
                <w:szCs w:val="20"/>
                <w:color w:val="auto"/>
              </w:rPr>
            </w:pPr>
            <w:r>
              <w:rPr>
                <w:rFonts w:ascii="Arial" w:cs="Arial" w:eastAsia="Arial" w:hAnsi="Arial"/>
                <w:sz w:val="16"/>
                <w:szCs w:val="16"/>
                <w:color w:val="auto"/>
                <w:w w:val="92"/>
              </w:rPr>
              <w:t>Accumulated</w:t>
            </w:r>
          </w:p>
        </w:tc>
        <w:tc>
          <w:tcPr>
            <w:tcW w:w="1480" w:type="dxa"/>
            <w:vAlign w:val="bottom"/>
            <w:gridSpan w:val="2"/>
            <w:vMerge w:val="restart"/>
          </w:tcPr>
          <w:p>
            <w:pPr>
              <w:jc w:val="right"/>
              <w:spacing w:after="0"/>
              <w:rPr>
                <w:sz w:val="20"/>
                <w:szCs w:val="20"/>
                <w:color w:val="auto"/>
              </w:rPr>
            </w:pPr>
            <w:r>
              <w:rPr>
                <w:rFonts w:ascii="Arial" w:cs="Arial" w:eastAsia="Arial" w:hAnsi="Arial"/>
                <w:sz w:val="16"/>
                <w:szCs w:val="16"/>
                <w:color w:val="auto"/>
                <w:w w:val="95"/>
              </w:rPr>
              <w:t>Net carrying amount</w:t>
            </w:r>
          </w:p>
        </w:tc>
        <w:tc>
          <w:tcPr>
            <w:tcW w:w="0" w:type="dxa"/>
            <w:vAlign w:val="bottom"/>
          </w:tcPr>
          <w:p>
            <w:pPr>
              <w:spacing w:after="0"/>
              <w:rPr>
                <w:sz w:val="1"/>
                <w:szCs w:val="1"/>
                <w:color w:val="auto"/>
              </w:rPr>
            </w:pPr>
          </w:p>
        </w:tc>
      </w:tr>
      <w:tr>
        <w:trPr>
          <w:trHeight w:val="209"/>
        </w:trPr>
        <w:tc>
          <w:tcPr>
            <w:tcW w:w="320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amount</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w w:val="94"/>
              </w:rPr>
              <w:t>amortization</w:t>
            </w:r>
          </w:p>
        </w:tc>
        <w:tc>
          <w:tcPr>
            <w:tcW w:w="12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Intangible assets with indefinite life:</w:t>
            </w:r>
          </w:p>
        </w:tc>
        <w:tc>
          <w:tcPr>
            <w:tcW w:w="4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3340" w:type="dxa"/>
            <w:vAlign w:val="bottom"/>
            <w:gridSpan w:val="2"/>
          </w:tcPr>
          <w:p>
            <w:pPr>
              <w:ind w:left="120"/>
              <w:spacing w:after="0"/>
              <w:rPr>
                <w:sz w:val="20"/>
                <w:szCs w:val="20"/>
                <w:color w:val="auto"/>
              </w:rPr>
            </w:pPr>
            <w:r>
              <w:rPr>
                <w:rFonts w:ascii="Arial" w:cs="Arial" w:eastAsia="Arial" w:hAnsi="Arial"/>
                <w:sz w:val="16"/>
                <w:szCs w:val="16"/>
                <w:color w:val="auto"/>
              </w:rPr>
              <w:t>Brands and trademarks</w:t>
            </w:r>
          </w:p>
        </w:tc>
        <w:tc>
          <w:tcPr>
            <w:tcW w:w="1720" w:type="dxa"/>
            <w:vAlign w:val="bottom"/>
            <w:gridSpan w:val="3"/>
          </w:tcPr>
          <w:p>
            <w:pPr>
              <w:jc w:val="center"/>
              <w:ind w:right="140"/>
              <w:spacing w:after="0"/>
              <w:rPr>
                <w:sz w:val="20"/>
                <w:szCs w:val="20"/>
                <w:color w:val="auto"/>
              </w:rPr>
            </w:pPr>
            <w:r>
              <w:rPr>
                <w:rFonts w:ascii="Arial" w:cs="Arial" w:eastAsia="Arial" w:hAnsi="Arial"/>
                <w:sz w:val="16"/>
                <w:szCs w:val="16"/>
                <w:color w:val="auto"/>
              </w:rPr>
              <w:t>Indefinite life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979,000</w:t>
            </w:r>
          </w:p>
        </w:tc>
        <w:tc>
          <w:tcPr>
            <w:tcW w:w="1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979,000</w:t>
            </w:r>
          </w:p>
        </w:tc>
        <w:tc>
          <w:tcPr>
            <w:tcW w:w="0" w:type="dxa"/>
            <w:vAlign w:val="bottom"/>
          </w:tcPr>
          <w:p>
            <w:pPr>
              <w:spacing w:after="0"/>
              <w:rPr>
                <w:sz w:val="1"/>
                <w:szCs w:val="1"/>
                <w:color w:val="auto"/>
              </w:rPr>
            </w:pPr>
          </w:p>
        </w:tc>
      </w:tr>
      <w:tr>
        <w:trPr>
          <w:trHeight w:val="273"/>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Intangible assets with finite lives:</w:t>
            </w:r>
          </w:p>
        </w:tc>
        <w:tc>
          <w:tcPr>
            <w:tcW w:w="4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340" w:type="dxa"/>
            <w:vAlign w:val="bottom"/>
            <w:gridSpan w:val="2"/>
          </w:tcPr>
          <w:p>
            <w:pPr>
              <w:ind w:left="120"/>
              <w:spacing w:after="0"/>
              <w:rPr>
                <w:sz w:val="20"/>
                <w:szCs w:val="20"/>
                <w:color w:val="auto"/>
              </w:rPr>
            </w:pPr>
            <w:r>
              <w:rPr>
                <w:rFonts w:ascii="Arial" w:cs="Arial" w:eastAsia="Arial" w:hAnsi="Arial"/>
                <w:sz w:val="16"/>
                <w:szCs w:val="16"/>
                <w:color w:val="auto"/>
              </w:rPr>
              <w:t>Customer relationships</w:t>
            </w:r>
          </w:p>
        </w:tc>
        <w:tc>
          <w:tcPr>
            <w:tcW w:w="400" w:type="dxa"/>
            <w:vAlign w:val="bottom"/>
          </w:tcPr>
          <w:p>
            <w:pPr>
              <w:spacing w:after="0"/>
              <w:rPr>
                <w:sz w:val="23"/>
                <w:szCs w:val="23"/>
                <w:color w:val="auto"/>
              </w:rPr>
            </w:pPr>
          </w:p>
        </w:tc>
        <w:tc>
          <w:tcPr>
            <w:tcW w:w="1320" w:type="dxa"/>
            <w:vAlign w:val="bottom"/>
            <w:gridSpan w:val="2"/>
          </w:tcPr>
          <w:p>
            <w:pPr>
              <w:jc w:val="center"/>
              <w:ind w:right="540"/>
              <w:spacing w:after="0"/>
              <w:rPr>
                <w:sz w:val="20"/>
                <w:szCs w:val="20"/>
                <w:color w:val="auto"/>
              </w:rPr>
            </w:pPr>
            <w:r>
              <w:rPr>
                <w:rFonts w:ascii="Arial" w:cs="Arial" w:eastAsia="Arial" w:hAnsi="Arial"/>
                <w:sz w:val="16"/>
                <w:szCs w:val="16"/>
                <w:color w:val="auto"/>
                <w:w w:val="87"/>
              </w:rPr>
              <w:t>15 years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174,000</w:t>
            </w:r>
          </w:p>
        </w:tc>
        <w:tc>
          <w:tcPr>
            <w:tcW w:w="1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18,503</w:t>
            </w:r>
          </w:p>
        </w:tc>
        <w:tc>
          <w:tcPr>
            <w:tcW w:w="120" w:type="dxa"/>
            <w:vAlign w:val="bottom"/>
          </w:tcPr>
          <w:p>
            <w:pPr>
              <w:spacing w:after="0"/>
              <w:rPr>
                <w:sz w:val="23"/>
                <w:szCs w:val="23"/>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155,497</w:t>
            </w:r>
          </w:p>
        </w:tc>
        <w:tc>
          <w:tcPr>
            <w:tcW w:w="0" w:type="dxa"/>
            <w:vAlign w:val="bottom"/>
          </w:tcPr>
          <w:p>
            <w:pPr>
              <w:spacing w:after="0"/>
              <w:rPr>
                <w:sz w:val="1"/>
                <w:szCs w:val="1"/>
                <w:color w:val="auto"/>
              </w:rPr>
            </w:pPr>
          </w:p>
        </w:tc>
      </w:tr>
      <w:tr>
        <w:trPr>
          <w:trHeight w:val="273"/>
        </w:trPr>
        <w:tc>
          <w:tcPr>
            <w:tcW w:w="3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Licensing agreements</w:t>
            </w:r>
          </w:p>
        </w:tc>
        <w:tc>
          <w:tcPr>
            <w:tcW w:w="40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center"/>
              <w:ind w:right="540"/>
              <w:spacing w:after="0"/>
              <w:rPr>
                <w:sz w:val="20"/>
                <w:szCs w:val="20"/>
                <w:color w:val="auto"/>
              </w:rPr>
            </w:pPr>
            <w:r>
              <w:rPr>
                <w:rFonts w:ascii="Arial" w:cs="Arial" w:eastAsia="Arial" w:hAnsi="Arial"/>
                <w:sz w:val="16"/>
                <w:szCs w:val="16"/>
                <w:color w:val="auto"/>
                <w:w w:val="87"/>
              </w:rPr>
              <w:t>14 years</w:t>
            </w: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22,000</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4,920</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17,080</w:t>
            </w:r>
          </w:p>
        </w:tc>
        <w:tc>
          <w:tcPr>
            <w:tcW w:w="0" w:type="dxa"/>
            <w:vAlign w:val="bottom"/>
          </w:tcPr>
          <w:p>
            <w:pPr>
              <w:spacing w:after="0"/>
              <w:rPr>
                <w:sz w:val="1"/>
                <w:szCs w:val="1"/>
                <w:color w:val="auto"/>
              </w:rPr>
            </w:pPr>
          </w:p>
        </w:tc>
      </w:tr>
      <w:tr>
        <w:trPr>
          <w:trHeight w:val="267"/>
        </w:trPr>
        <w:tc>
          <w:tcPr>
            <w:tcW w:w="3340" w:type="dxa"/>
            <w:vAlign w:val="bottom"/>
            <w:gridSpan w:val="2"/>
          </w:tcPr>
          <w:p>
            <w:pPr>
              <w:ind w:left="120"/>
              <w:spacing w:after="0"/>
              <w:rPr>
                <w:sz w:val="20"/>
                <w:szCs w:val="20"/>
                <w:color w:val="auto"/>
              </w:rPr>
            </w:pPr>
            <w:r>
              <w:rPr>
                <w:rFonts w:ascii="Arial" w:cs="Arial" w:eastAsia="Arial" w:hAnsi="Arial"/>
                <w:sz w:val="16"/>
                <w:szCs w:val="16"/>
                <w:color w:val="auto"/>
              </w:rPr>
              <w:t>Proprietary recipes and formulas</w:t>
            </w:r>
          </w:p>
        </w:tc>
        <w:tc>
          <w:tcPr>
            <w:tcW w:w="400" w:type="dxa"/>
            <w:vAlign w:val="bottom"/>
          </w:tcPr>
          <w:p>
            <w:pPr>
              <w:spacing w:after="0"/>
              <w:rPr>
                <w:sz w:val="23"/>
                <w:szCs w:val="23"/>
                <w:color w:val="auto"/>
              </w:rPr>
            </w:pPr>
          </w:p>
        </w:tc>
        <w:tc>
          <w:tcPr>
            <w:tcW w:w="1320" w:type="dxa"/>
            <w:vAlign w:val="bottom"/>
            <w:gridSpan w:val="2"/>
          </w:tcPr>
          <w:p>
            <w:pPr>
              <w:jc w:val="center"/>
              <w:ind w:right="540"/>
              <w:spacing w:after="0"/>
              <w:rPr>
                <w:sz w:val="20"/>
                <w:szCs w:val="20"/>
                <w:color w:val="auto"/>
              </w:rPr>
            </w:pPr>
            <w:r>
              <w:rPr>
                <w:rFonts w:ascii="Arial" w:cs="Arial" w:eastAsia="Arial" w:hAnsi="Arial"/>
                <w:sz w:val="16"/>
                <w:szCs w:val="16"/>
                <w:color w:val="auto"/>
                <w:w w:val="87"/>
              </w:rPr>
              <w:t>7 years</w:t>
            </w: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7,000</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3,131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3,869</w:t>
            </w:r>
          </w:p>
        </w:tc>
        <w:tc>
          <w:tcPr>
            <w:tcW w:w="0" w:type="dxa"/>
            <w:vAlign w:val="bottom"/>
          </w:tcPr>
          <w:p>
            <w:pPr>
              <w:spacing w:after="0"/>
              <w:rPr>
                <w:sz w:val="1"/>
                <w:szCs w:val="1"/>
                <w:color w:val="auto"/>
              </w:rPr>
            </w:pPr>
          </w:p>
        </w:tc>
      </w:tr>
      <w:tr>
        <w:trPr>
          <w:trHeight w:val="270"/>
        </w:trPr>
        <w:tc>
          <w:tcPr>
            <w:tcW w:w="3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Software and website development costs</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3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   5 years</w:t>
            </w: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5,967</w:t>
            </w:r>
          </w:p>
        </w:tc>
        <w:tc>
          <w:tcPr>
            <w:tcW w:w="14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2,645</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3,322</w:t>
            </w:r>
          </w:p>
        </w:tc>
        <w:tc>
          <w:tcPr>
            <w:tcW w:w="0" w:type="dxa"/>
            <w:vAlign w:val="bottom"/>
          </w:tcPr>
          <w:p>
            <w:pPr>
              <w:spacing w:after="0"/>
              <w:rPr>
                <w:sz w:val="1"/>
                <w:szCs w:val="1"/>
                <w:color w:val="auto"/>
              </w:rPr>
            </w:pPr>
          </w:p>
        </w:tc>
      </w:tr>
      <w:tr>
        <w:trPr>
          <w:trHeight w:val="223"/>
        </w:trPr>
        <w:tc>
          <w:tcPr>
            <w:tcW w:w="3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1,187,967</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29,199</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1,158,768</w:t>
            </w:r>
          </w:p>
        </w:tc>
        <w:tc>
          <w:tcPr>
            <w:tcW w:w="0" w:type="dxa"/>
            <w:vAlign w:val="bottom"/>
          </w:tcPr>
          <w:p>
            <w:pPr>
              <w:spacing w:after="0"/>
              <w:rPr>
                <w:sz w:val="1"/>
                <w:szCs w:val="1"/>
                <w:color w:val="auto"/>
              </w:rPr>
            </w:pPr>
          </w:p>
        </w:tc>
      </w:tr>
      <w:tr>
        <w:trPr>
          <w:trHeight w:val="2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firstLine="252"/>
        <w:spacing w:after="0" w:line="272" w:lineRule="auto"/>
        <w:rPr>
          <w:sz w:val="20"/>
          <w:szCs w:val="20"/>
          <w:color w:val="auto"/>
        </w:rPr>
      </w:pPr>
      <w:r>
        <w:rPr>
          <w:rFonts w:ascii="Arial" w:cs="Arial" w:eastAsia="Arial" w:hAnsi="Arial"/>
          <w:sz w:val="17"/>
          <w:szCs w:val="17"/>
          <w:color w:val="auto"/>
        </w:rPr>
        <w:t xml:space="preserve">Changes in </w:t>
      </w:r>
      <w:r>
        <w:rPr>
          <w:rFonts w:ascii="Arial" w:cs="Arial" w:eastAsia="Arial" w:hAnsi="Arial"/>
          <w:sz w:val="17"/>
          <w:szCs w:val="17"/>
          <w:i w:val="1"/>
          <w:iCs w:val="1"/>
          <w:color w:val="auto"/>
        </w:rPr>
        <w:t>Intangible assets, net</w:t>
      </w:r>
      <w:r>
        <w:rPr>
          <w:rFonts w:ascii="Arial" w:cs="Arial" w:eastAsia="Arial" w:hAnsi="Arial"/>
          <w:sz w:val="17"/>
          <w:szCs w:val="17"/>
          <w:color w:val="auto"/>
        </w:rPr>
        <w:t xml:space="preserve"> during the fifty-two weeks ended August 28, 2021 were primarily related to the SimplyProtein Sale and recurring amortization expense. In conjunction with the SimplyProtein Sale, the Company sold its SimplyProtein brand intangible asset, which had a carrying value of approximately $5.0 million as of the date of the sale. Changes in </w:t>
      </w:r>
      <w:r>
        <w:rPr>
          <w:rFonts w:ascii="Arial" w:cs="Arial" w:eastAsia="Arial" w:hAnsi="Arial"/>
          <w:sz w:val="17"/>
          <w:szCs w:val="17"/>
          <w:i w:val="1"/>
          <w:iCs w:val="1"/>
          <w:color w:val="auto"/>
        </w:rPr>
        <w:t>Intangible assets, net</w:t>
      </w:r>
      <w:r>
        <w:rPr>
          <w:rFonts w:ascii="Arial" w:cs="Arial" w:eastAsia="Arial" w:hAnsi="Arial"/>
          <w:sz w:val="17"/>
          <w:szCs w:val="17"/>
          <w:color w:val="auto"/>
        </w:rPr>
        <w:t xml:space="preserve"> during the fifty-two weeks ended August 29, 2020 were primarily related to the Quest Acquisition, recurring amortization expense, and an impairment loss related to brand and trademark intangible assets. During the fourth quarter of fiscal 2020, the Company determined there were indicators of impairment related to the SimplyProtein brand intangible asset. Therefore, the Company performed a quantitative assessment of its brand intangible asset, which indicated its fair value did not exceed its carrying value, resulting in a loss on impairment of $3.0 million during the fifty-two weeks ended August 29, 2020.</w:t>
      </w:r>
    </w:p>
    <w:p>
      <w:pPr>
        <w:spacing w:after="0" w:line="204" w:lineRule="exact"/>
        <w:rPr>
          <w:sz w:val="20"/>
          <w:szCs w:val="20"/>
          <w:color w:val="auto"/>
        </w:rPr>
      </w:pPr>
    </w:p>
    <w:p>
      <w:pPr>
        <w:jc w:val="both"/>
        <w:ind w:firstLine="187"/>
        <w:spacing w:after="0" w:line="296" w:lineRule="auto"/>
        <w:rPr>
          <w:sz w:val="20"/>
          <w:szCs w:val="20"/>
          <w:color w:val="auto"/>
        </w:rPr>
      </w:pPr>
      <w:r>
        <w:rPr>
          <w:rFonts w:ascii="Arial" w:cs="Arial" w:eastAsia="Arial" w:hAnsi="Arial"/>
          <w:sz w:val="16"/>
          <w:szCs w:val="16"/>
          <w:color w:val="auto"/>
        </w:rPr>
        <w:t>During the fifty-two weeks ended August 28, 2021, the Company performed qualitative impairment assessments for its indefinite-lived intangible assets. The qualitative assessments did not identify indicators of impairment, and it was determined that it was more likely than not each indefinite-lived intangible asset had fair values in excess of their carrying values. Accordingly, no further impairment assessment was necessary. There were no impairment charges related to indefinite-lived intangibles recognized in the fifty-two weeks ended August 28, 2021 or the fifty-three weeks ended August 31, 2019. There was a $3.0 million loss on impairment of an indefinite-lived intangible in the fifty-two weeks ended August 29, 2020, as discussed above.</w:t>
      </w:r>
    </w:p>
    <w:p>
      <w:pPr>
        <w:spacing w:after="0" w:line="188" w:lineRule="exact"/>
        <w:rPr>
          <w:sz w:val="20"/>
          <w:szCs w:val="20"/>
          <w:color w:val="auto"/>
        </w:rPr>
      </w:pPr>
    </w:p>
    <w:p>
      <w:pPr>
        <w:jc w:val="both"/>
        <w:ind w:firstLine="227"/>
        <w:spacing w:after="0" w:line="259" w:lineRule="auto"/>
        <w:rPr>
          <w:sz w:val="20"/>
          <w:szCs w:val="20"/>
          <w:color w:val="auto"/>
        </w:rPr>
      </w:pPr>
      <w:r>
        <w:rPr>
          <w:rFonts w:ascii="Arial" w:cs="Arial" w:eastAsia="Arial" w:hAnsi="Arial"/>
          <w:sz w:val="18"/>
          <w:szCs w:val="18"/>
          <w:color w:val="auto"/>
        </w:rPr>
        <w:t>During the fifty-two weeks ended August 28, 2021, the Company did not identify indicators of impairment related to its finite-lived intangible assets, which are tested for impairment when events or circumstances indicated that the carrying amount may not be recoverable. There were no impairment charges related to the Company’s finite-lived intangible assets in the fifty-two weeks ended August 28, 2021, fifty-two weeks ended August 29, 2020, or the fifty-three weeks ended August 31, 2019.</w:t>
      </w:r>
    </w:p>
    <w:p>
      <w:pPr>
        <w:spacing w:after="0" w:line="214" w:lineRule="exact"/>
        <w:rPr>
          <w:sz w:val="20"/>
          <w:szCs w:val="20"/>
          <w:color w:val="auto"/>
        </w:rPr>
      </w:pPr>
    </w:p>
    <w:p>
      <w:pPr>
        <w:jc w:val="both"/>
        <w:ind w:firstLine="172"/>
        <w:spacing w:after="0" w:line="277" w:lineRule="auto"/>
        <w:rPr>
          <w:sz w:val="20"/>
          <w:szCs w:val="20"/>
          <w:color w:val="auto"/>
        </w:rPr>
      </w:pPr>
      <w:r>
        <w:rPr>
          <w:rFonts w:ascii="Arial" w:cs="Arial" w:eastAsia="Arial" w:hAnsi="Arial"/>
          <w:sz w:val="18"/>
          <w:szCs w:val="18"/>
          <w:color w:val="auto"/>
        </w:rPr>
        <w:t>Amortization expense related to intangible assets was $15.6 million for the fifty-two weeks ended August 28, 2021, $14.0 million for the fifty-two weeks ended August 29, 2020, and $6.5 million for the fifty-three weeks ended August 31, 2019.</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Estimated future amortization for each of the next five fiscal years and thereafter is as follows:</w:t>
      </w:r>
    </w:p>
    <w:p>
      <w:pPr>
        <w:spacing w:after="0" w:line="351" w:lineRule="exact"/>
        <w:rPr>
          <w:sz w:val="20"/>
          <w:szCs w:val="20"/>
          <w:color w:val="auto"/>
        </w:rPr>
      </w:pPr>
    </w:p>
    <w:tbl>
      <w:tblPr>
        <w:tblLayout w:type="fixed"/>
        <w:tblInd w:w="3080" w:type="dxa"/>
        <w:tblCellMar>
          <w:top w:w="0" w:type="dxa"/>
          <w:left w:w="0" w:type="dxa"/>
          <w:bottom w:w="0" w:type="dxa"/>
          <w:right w:w="0" w:type="dxa"/>
        </w:tblCellMar>
      </w:tblPr>
      <w:tr>
        <w:trPr>
          <w:trHeight w:val="209"/>
        </w:trPr>
        <w:tc>
          <w:tcPr>
            <w:tcW w:w="3560" w:type="dxa"/>
            <w:vAlign w:val="bottom"/>
            <w:gridSpan w:val="2"/>
          </w:tcPr>
          <w:p>
            <w:pPr>
              <w:spacing w:after="0"/>
              <w:rPr>
                <w:sz w:val="20"/>
                <w:szCs w:val="20"/>
                <w:color w:val="auto"/>
              </w:rPr>
            </w:pPr>
            <w:r>
              <w:rPr>
                <w:rFonts w:ascii="Arial" w:cs="Arial" w:eastAsia="Arial" w:hAnsi="Arial"/>
                <w:sz w:val="16"/>
                <w:szCs w:val="16"/>
                <w:i w:val="1"/>
                <w:iCs w:val="1"/>
                <w:color w:val="auto"/>
              </w:rPr>
              <w:t>(In thousands)</w:t>
            </w:r>
          </w:p>
        </w:tc>
        <w:tc>
          <w:tcPr>
            <w:tcW w:w="220" w:type="dxa"/>
            <w:vAlign w:val="bottom"/>
          </w:tcPr>
          <w:p>
            <w:pPr>
              <w:spacing w:after="0"/>
              <w:rPr>
                <w:sz w:val="18"/>
                <w:szCs w:val="18"/>
                <w:color w:val="auto"/>
              </w:rPr>
            </w:pPr>
          </w:p>
        </w:tc>
        <w:tc>
          <w:tcPr>
            <w:tcW w:w="1320" w:type="dxa"/>
            <w:vAlign w:val="bottom"/>
          </w:tcPr>
          <w:p>
            <w:pPr>
              <w:jc w:val="right"/>
              <w:ind w:right="259"/>
              <w:spacing w:after="0"/>
              <w:rPr>
                <w:sz w:val="20"/>
                <w:szCs w:val="20"/>
                <w:color w:val="auto"/>
              </w:rPr>
            </w:pPr>
            <w:r>
              <w:rPr>
                <w:rFonts w:ascii="Arial" w:cs="Arial" w:eastAsia="Arial" w:hAnsi="Arial"/>
                <w:sz w:val="16"/>
                <w:szCs w:val="16"/>
                <w:color w:val="auto"/>
              </w:rPr>
              <w:t>Amortization</w:t>
            </w:r>
          </w:p>
        </w:tc>
      </w:tr>
      <w:tr>
        <w:trPr>
          <w:trHeight w:val="253"/>
        </w:trPr>
        <w:tc>
          <w:tcPr>
            <w:tcW w:w="3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2022</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15,795</w:t>
            </w:r>
          </w:p>
        </w:tc>
      </w:tr>
      <w:tr>
        <w:trPr>
          <w:trHeight w:val="267"/>
        </w:trPr>
        <w:tc>
          <w:tcPr>
            <w:tcW w:w="3440" w:type="dxa"/>
            <w:vAlign w:val="bottom"/>
          </w:tcPr>
          <w:p>
            <w:pPr>
              <w:spacing w:after="0"/>
              <w:rPr>
                <w:sz w:val="20"/>
                <w:szCs w:val="20"/>
                <w:color w:val="auto"/>
              </w:rPr>
            </w:pPr>
            <w:r>
              <w:rPr>
                <w:rFonts w:ascii="Arial" w:cs="Arial" w:eastAsia="Arial" w:hAnsi="Arial"/>
                <w:sz w:val="16"/>
                <w:szCs w:val="16"/>
                <w:color w:val="auto"/>
              </w:rPr>
              <w:t>2023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15,326</w:t>
            </w:r>
          </w:p>
        </w:tc>
      </w:tr>
      <w:tr>
        <w:trPr>
          <w:trHeight w:val="273"/>
        </w:trPr>
        <w:tc>
          <w:tcPr>
            <w:tcW w:w="3440" w:type="dxa"/>
            <w:vAlign w:val="bottom"/>
            <w:shd w:val="clear" w:color="auto" w:fill="CCEEFF"/>
          </w:tcPr>
          <w:p>
            <w:pPr>
              <w:spacing w:after="0"/>
              <w:rPr>
                <w:sz w:val="20"/>
                <w:szCs w:val="20"/>
                <w:color w:val="auto"/>
              </w:rPr>
            </w:pPr>
            <w:r>
              <w:rPr>
                <w:rFonts w:ascii="Arial" w:cs="Arial" w:eastAsia="Arial" w:hAnsi="Arial"/>
                <w:sz w:val="16"/>
                <w:szCs w:val="16"/>
                <w:color w:val="auto"/>
              </w:rPr>
              <w:t>2024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14,635</w:t>
            </w:r>
          </w:p>
        </w:tc>
      </w:tr>
      <w:tr>
        <w:trPr>
          <w:trHeight w:val="267"/>
        </w:trPr>
        <w:tc>
          <w:tcPr>
            <w:tcW w:w="3440" w:type="dxa"/>
            <w:vAlign w:val="bottom"/>
          </w:tcPr>
          <w:p>
            <w:pPr>
              <w:spacing w:after="0"/>
              <w:rPr>
                <w:sz w:val="20"/>
                <w:szCs w:val="20"/>
                <w:color w:val="auto"/>
              </w:rPr>
            </w:pPr>
            <w:r>
              <w:rPr>
                <w:rFonts w:ascii="Arial" w:cs="Arial" w:eastAsia="Arial" w:hAnsi="Arial"/>
                <w:sz w:val="16"/>
                <w:szCs w:val="16"/>
                <w:color w:val="auto"/>
              </w:rPr>
              <w:t>2025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13,517</w:t>
            </w:r>
          </w:p>
        </w:tc>
      </w:tr>
      <w:tr>
        <w:trPr>
          <w:trHeight w:val="273"/>
        </w:trPr>
        <w:tc>
          <w:tcPr>
            <w:tcW w:w="3440" w:type="dxa"/>
            <w:vAlign w:val="bottom"/>
            <w:shd w:val="clear" w:color="auto" w:fill="CCEEFF"/>
          </w:tcPr>
          <w:p>
            <w:pPr>
              <w:spacing w:after="0"/>
              <w:rPr>
                <w:sz w:val="20"/>
                <w:szCs w:val="20"/>
                <w:color w:val="auto"/>
              </w:rPr>
            </w:pPr>
            <w:r>
              <w:rPr>
                <w:rFonts w:ascii="Arial" w:cs="Arial" w:eastAsia="Arial" w:hAnsi="Arial"/>
                <w:sz w:val="16"/>
                <w:szCs w:val="16"/>
                <w:color w:val="auto"/>
              </w:rPr>
              <w:t>2026</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13,517</w:t>
            </w:r>
          </w:p>
        </w:tc>
      </w:tr>
      <w:tr>
        <w:trPr>
          <w:trHeight w:val="267"/>
        </w:trPr>
        <w:tc>
          <w:tcPr>
            <w:tcW w:w="35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Thereafter</w:t>
            </w:r>
          </w:p>
        </w:tc>
        <w:tc>
          <w:tcPr>
            <w:tcW w:w="2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91,948</w:t>
            </w:r>
          </w:p>
        </w:tc>
      </w:tr>
      <w:tr>
        <w:trPr>
          <w:trHeight w:val="251"/>
        </w:trPr>
        <w:tc>
          <w:tcPr>
            <w:tcW w:w="3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164,738</w:t>
            </w: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ind w:left="180" w:hanging="172"/>
        <w:spacing w:after="0"/>
        <w:tabs>
          <w:tab w:leader="none" w:pos="18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256" w:lineRule="exact"/>
        <w:rPr>
          <w:rFonts w:ascii="Arial" w:cs="Arial" w:eastAsia="Arial" w:hAnsi="Arial"/>
          <w:sz w:val="18"/>
          <w:szCs w:val="18"/>
          <w:b w:val="1"/>
          <w:bCs w:val="1"/>
          <w:color w:val="auto"/>
        </w:rPr>
      </w:pPr>
    </w:p>
    <w:p>
      <w:pPr>
        <w:ind w:left="18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Accrued expenses and other current liabilities </w:t>
      </w:r>
      <w:r>
        <w:rPr>
          <w:rFonts w:ascii="Arial" w:cs="Arial" w:eastAsia="Arial" w:hAnsi="Arial"/>
          <w:sz w:val="18"/>
          <w:szCs w:val="18"/>
          <w:color w:val="auto"/>
        </w:rPr>
        <w:t>in the Consolidated Balance Sheets were comprised of the following:</w:t>
      </w:r>
    </w:p>
    <w:p>
      <w:pPr>
        <w:spacing w:after="0" w:line="324" w:lineRule="exact"/>
        <w:rPr>
          <w:sz w:val="20"/>
          <w:szCs w:val="20"/>
          <w:color w:val="auto"/>
        </w:rPr>
      </w:pPr>
    </w:p>
    <w:tbl>
      <w:tblPr>
        <w:tblLayout w:type="fixed"/>
        <w:tblInd w:w="2320" w:type="dxa"/>
        <w:tblCellMar>
          <w:top w:w="0" w:type="dxa"/>
          <w:left w:w="0" w:type="dxa"/>
          <w:bottom w:w="0" w:type="dxa"/>
          <w:right w:w="0" w:type="dxa"/>
        </w:tblCellMar>
      </w:tblPr>
      <w:tr>
        <w:trPr>
          <w:trHeight w:val="236"/>
        </w:trPr>
        <w:tc>
          <w:tcPr>
            <w:tcW w:w="338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94"/>
              </w:rPr>
              <w:t>August 28, 2021</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94"/>
              </w:rPr>
              <w:t>August 29, 2020</w:t>
            </w:r>
          </w:p>
        </w:tc>
      </w:tr>
      <w:tr>
        <w:trPr>
          <w:trHeight w:val="253"/>
        </w:trPr>
        <w:tc>
          <w:tcPr>
            <w:tcW w:w="3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Accrued professional fees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2,124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3,125</w:t>
            </w:r>
          </w:p>
        </w:tc>
      </w:tr>
      <w:tr>
        <w:trPr>
          <w:trHeight w:val="267"/>
        </w:trPr>
        <w:tc>
          <w:tcPr>
            <w:tcW w:w="3500" w:type="dxa"/>
            <w:vAlign w:val="bottom"/>
            <w:gridSpan w:val="2"/>
          </w:tcPr>
          <w:p>
            <w:pPr>
              <w:spacing w:after="0"/>
              <w:rPr>
                <w:sz w:val="20"/>
                <w:szCs w:val="20"/>
                <w:color w:val="auto"/>
              </w:rPr>
            </w:pPr>
            <w:r>
              <w:rPr>
                <w:rFonts w:ascii="Arial" w:cs="Arial" w:eastAsia="Arial" w:hAnsi="Arial"/>
                <w:sz w:val="16"/>
                <w:szCs w:val="16"/>
                <w:color w:val="auto"/>
              </w:rPr>
              <w:t>Accrued advertising allowances and claims</w:t>
            </w:r>
          </w:p>
        </w:tc>
        <w:tc>
          <w:tcPr>
            <w:tcW w:w="160" w:type="dxa"/>
            <w:vAlign w:val="bottom"/>
          </w:tcPr>
          <w:p>
            <w:pPr>
              <w:spacing w:after="0"/>
              <w:rPr>
                <w:sz w:val="23"/>
                <w:szCs w:val="23"/>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4,309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2,625</w:t>
            </w:r>
          </w:p>
        </w:tc>
      </w:tr>
      <w:tr>
        <w:trPr>
          <w:trHeight w:val="273"/>
        </w:trPr>
        <w:tc>
          <w:tcPr>
            <w:tcW w:w="3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Accrued bonus expenses</w:t>
            </w: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16,689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12,261</w:t>
            </w:r>
          </w:p>
        </w:tc>
      </w:tr>
      <w:tr>
        <w:trPr>
          <w:trHeight w:val="267"/>
        </w:trPr>
        <w:tc>
          <w:tcPr>
            <w:tcW w:w="3500" w:type="dxa"/>
            <w:vAlign w:val="bottom"/>
            <w:gridSpan w:val="2"/>
          </w:tcPr>
          <w:p>
            <w:pPr>
              <w:spacing w:after="0"/>
              <w:rPr>
                <w:sz w:val="20"/>
                <w:szCs w:val="20"/>
                <w:color w:val="auto"/>
              </w:rPr>
            </w:pPr>
            <w:r>
              <w:rPr>
                <w:rFonts w:ascii="Arial" w:cs="Arial" w:eastAsia="Arial" w:hAnsi="Arial"/>
                <w:sz w:val="16"/>
                <w:szCs w:val="16"/>
                <w:color w:val="auto"/>
              </w:rPr>
              <w:t>Accrued freight expenses</w:t>
            </w:r>
          </w:p>
        </w:tc>
        <w:tc>
          <w:tcPr>
            <w:tcW w:w="160" w:type="dxa"/>
            <w:vAlign w:val="bottom"/>
          </w:tcPr>
          <w:p>
            <w:pPr>
              <w:spacing w:after="0"/>
              <w:rPr>
                <w:sz w:val="23"/>
                <w:szCs w:val="23"/>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2,812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1,795</w:t>
            </w:r>
          </w:p>
        </w:tc>
      </w:tr>
      <w:tr>
        <w:trPr>
          <w:trHeight w:val="273"/>
        </w:trPr>
        <w:tc>
          <w:tcPr>
            <w:tcW w:w="3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Accrued payroll-related expenses</w:t>
            </w: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1,871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2,179</w:t>
            </w:r>
          </w:p>
        </w:tc>
      </w:tr>
      <w:tr>
        <w:trPr>
          <w:trHeight w:val="267"/>
        </w:trPr>
        <w:tc>
          <w:tcPr>
            <w:tcW w:w="3500" w:type="dxa"/>
            <w:vAlign w:val="bottom"/>
            <w:gridSpan w:val="2"/>
          </w:tcPr>
          <w:p>
            <w:pPr>
              <w:spacing w:after="0"/>
              <w:rPr>
                <w:sz w:val="20"/>
                <w:szCs w:val="20"/>
                <w:color w:val="auto"/>
              </w:rPr>
            </w:pPr>
            <w:r>
              <w:rPr>
                <w:rFonts w:ascii="Arial" w:cs="Arial" w:eastAsia="Arial" w:hAnsi="Arial"/>
                <w:sz w:val="16"/>
                <w:szCs w:val="16"/>
                <w:color w:val="auto"/>
              </w:rPr>
              <w:t>Accrued commissions</w:t>
            </w:r>
          </w:p>
        </w:tc>
        <w:tc>
          <w:tcPr>
            <w:tcW w:w="160" w:type="dxa"/>
            <w:vAlign w:val="bottom"/>
          </w:tcPr>
          <w:p>
            <w:pPr>
              <w:spacing w:after="0"/>
              <w:rPr>
                <w:sz w:val="23"/>
                <w:szCs w:val="23"/>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1,909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1,789</w:t>
            </w:r>
          </w:p>
        </w:tc>
      </w:tr>
      <w:tr>
        <w:trPr>
          <w:trHeight w:val="273"/>
        </w:trPr>
        <w:tc>
          <w:tcPr>
            <w:tcW w:w="3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taxes payable</w:t>
            </w: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9,020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w:t>
            </w:r>
          </w:p>
        </w:tc>
      </w:tr>
      <w:tr>
        <w:trPr>
          <w:trHeight w:val="267"/>
        </w:trPr>
        <w:tc>
          <w:tcPr>
            <w:tcW w:w="3500" w:type="dxa"/>
            <w:vAlign w:val="bottom"/>
            <w:gridSpan w:val="2"/>
          </w:tcPr>
          <w:p>
            <w:pPr>
              <w:spacing w:after="0"/>
              <w:rPr>
                <w:sz w:val="20"/>
                <w:szCs w:val="20"/>
                <w:color w:val="auto"/>
              </w:rPr>
            </w:pPr>
            <w:r>
              <w:rPr>
                <w:rFonts w:ascii="Arial" w:cs="Arial" w:eastAsia="Arial" w:hAnsi="Arial"/>
                <w:sz w:val="16"/>
                <w:szCs w:val="16"/>
                <w:color w:val="auto"/>
              </w:rPr>
              <w:t>VAT payable</w:t>
            </w:r>
          </w:p>
        </w:tc>
        <w:tc>
          <w:tcPr>
            <w:tcW w:w="160" w:type="dxa"/>
            <w:vAlign w:val="bottom"/>
          </w:tcPr>
          <w:p>
            <w:pPr>
              <w:spacing w:after="0"/>
              <w:rPr>
                <w:sz w:val="23"/>
                <w:szCs w:val="23"/>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4,386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2,367</w:t>
            </w:r>
          </w:p>
        </w:tc>
      </w:tr>
      <w:tr>
        <w:trPr>
          <w:trHeight w:val="273"/>
        </w:trPr>
        <w:tc>
          <w:tcPr>
            <w:tcW w:w="3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Accrued restructuring</w:t>
            </w: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851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4,139</w:t>
            </w:r>
          </w:p>
        </w:tc>
      </w:tr>
      <w:tr>
        <w:trPr>
          <w:trHeight w:val="267"/>
        </w:trPr>
        <w:tc>
          <w:tcPr>
            <w:tcW w:w="3500" w:type="dxa"/>
            <w:vAlign w:val="bottom"/>
            <w:gridSpan w:val="2"/>
          </w:tcPr>
          <w:p>
            <w:pPr>
              <w:spacing w:after="0"/>
              <w:rPr>
                <w:sz w:val="20"/>
                <w:szCs w:val="20"/>
                <w:color w:val="auto"/>
              </w:rPr>
            </w:pPr>
            <w:r>
              <w:rPr>
                <w:rFonts w:ascii="Arial" w:cs="Arial" w:eastAsia="Arial" w:hAnsi="Arial"/>
                <w:sz w:val="16"/>
                <w:szCs w:val="16"/>
                <w:color w:val="auto"/>
              </w:rPr>
              <w:t>Accrued capital expenditures</w:t>
            </w:r>
          </w:p>
        </w:tc>
        <w:tc>
          <w:tcPr>
            <w:tcW w:w="160" w:type="dxa"/>
            <w:vAlign w:val="bottom"/>
          </w:tcPr>
          <w:p>
            <w:pPr>
              <w:spacing w:after="0"/>
              <w:rPr>
                <w:sz w:val="23"/>
                <w:szCs w:val="23"/>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788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3"/>
        </w:trPr>
        <w:tc>
          <w:tcPr>
            <w:tcW w:w="3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accrued expenses</w:t>
            </w: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5,059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2,559</w:t>
            </w:r>
          </w:p>
        </w:tc>
      </w:tr>
      <w:tr>
        <w:trPr>
          <w:trHeight w:val="267"/>
        </w:trPr>
        <w:tc>
          <w:tcPr>
            <w:tcW w:w="35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Current operating lease liabilities</w:t>
            </w:r>
          </w:p>
        </w:tc>
        <w:tc>
          <w:tcPr>
            <w:tcW w:w="1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3,788</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4,329</w:t>
            </w:r>
          </w:p>
        </w:tc>
      </w:tr>
      <w:tr>
        <w:trPr>
          <w:trHeight w:val="251"/>
        </w:trPr>
        <w:tc>
          <w:tcPr>
            <w:tcW w:w="3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Accrued expenses and other current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53,606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38,007</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7. Long-Term Debt and Line of Credit</w:t>
      </w:r>
    </w:p>
    <w:p>
      <w:pPr>
        <w:spacing w:after="0" w:line="256" w:lineRule="exact"/>
        <w:rPr>
          <w:sz w:val="20"/>
          <w:szCs w:val="20"/>
          <w:color w:val="auto"/>
        </w:rPr>
      </w:pPr>
    </w:p>
    <w:p>
      <w:pPr>
        <w:jc w:val="both"/>
        <w:ind w:firstLine="193"/>
        <w:spacing w:after="0" w:line="286" w:lineRule="auto"/>
        <w:rPr>
          <w:sz w:val="20"/>
          <w:szCs w:val="20"/>
          <w:color w:val="auto"/>
        </w:rPr>
      </w:pPr>
      <w:r>
        <w:rPr>
          <w:rFonts w:ascii="Arial" w:cs="Arial" w:eastAsia="Arial" w:hAnsi="Arial"/>
          <w:sz w:val="16"/>
          <w:szCs w:val="16"/>
          <w:color w:val="auto"/>
        </w:rPr>
        <w:t>On July 7, 2017, the Company entered into a credit agreement with Barclays Bank PLC and other parties (as amended to date, the “Credit Agreement”). The Credit Agreement at that time provided for (i) a term facility of $200.0 million (“Term Facility”) with a seven-year maturity and (ii) a revolving credit facility of up to $75.0 million (the “Revolving Credit Facility”) with a five-year maturity. Substantially concurrent with the consummation of the Business Combination, the full $200.0 million of the Term Facility (the “Term Loan”) was drawn. The interest rate per annum is based on either: (i) a base rate equaling the higher of (a) the “prime rate,” (b) the federal funds effective rate plus 0.50%, or (c) the Euro-currency rate applicable for an interest period of one month plus 1.00% plus (x) 3.00% margin for the Term Loan or (y) 2.00% margin for the Revolving Credit Facility, or (ii) London Interbank Offered Rate (“LIBOR”) adjusted for statutory reserve requirements plus (x) 4.00% margin for the Term Loan subject to a floor of 1.00% or (y) 3.00% margin for the Revolving Credit Facility. The Simply Good Foods Company is not a borrower under the Credit Agreement and has not provided a guarantee of the Credit Agreement. Simply Good Foods USA, Inc., is the administrative borrower and certain other subsidiary holding companies are co-borrowers under the Credit Agreement. Each of the Company’s domestic subsidiaries that is not a named borrower under the Credit Agreement has provided a guarantee on a secured basis. As security for the payment or performance of the debt under the Credit Agreement, the borrowers and the guarantors have pledged certain equity interests in their respective subsidiaries and granted the lenders a security interest in substantially all of their domestic assets. All guarantors other than Quest Nutrition, LLC are holding companies with no assets other than their investments in their respective subsidiaries.</w:t>
      </w:r>
    </w:p>
    <w:p>
      <w:pPr>
        <w:spacing w:after="0" w:line="201" w:lineRule="exact"/>
        <w:rPr>
          <w:sz w:val="20"/>
          <w:szCs w:val="20"/>
          <w:color w:val="auto"/>
        </w:rPr>
      </w:pPr>
    </w:p>
    <w:p>
      <w:pPr>
        <w:jc w:val="both"/>
        <w:ind w:firstLine="225"/>
        <w:spacing w:after="0" w:line="291" w:lineRule="auto"/>
        <w:rPr>
          <w:sz w:val="20"/>
          <w:szCs w:val="20"/>
          <w:color w:val="auto"/>
        </w:rPr>
      </w:pPr>
      <w:r>
        <w:rPr>
          <w:rFonts w:ascii="Arial" w:cs="Arial" w:eastAsia="Arial" w:hAnsi="Arial"/>
          <w:sz w:val="16"/>
          <w:szCs w:val="16"/>
          <w:color w:val="auto"/>
        </w:rPr>
        <w:t>On March 16, 2018 (the “Amendment Date”), the Company entered into an amendment (the “Repricing Amendment”) to the Credit Agreement. As a result of the Repricing Amendment, the interest rate on the Term Loan was reduced and, as of the Amendment Date, such loans had an interest rate equal to, at the Company’s option, either LIBOR plus an applicable margin of 3.50%, or a base rate plus an applicable margin of 2.50%. The Repricing Amendment did not change the interest rate on the Revolving Credit Facility. The Revolving Credit Facility continued to bear interest based upon the Company’s consolidated net leverage ratio as of the last financial statements delivered to the administrative agent. No additional debt was incurred or any proceeds received by the Company in connection with the Repricing Amendment. The incremental fees paid to the administrative agent are reflected as additional debt discount and are amortized over the terms of the long-term financing agreements using the effective-interest method.</w:t>
      </w:r>
    </w:p>
    <w:p>
      <w:pPr>
        <w:spacing w:after="0" w:line="193" w:lineRule="exact"/>
        <w:rPr>
          <w:sz w:val="20"/>
          <w:szCs w:val="20"/>
          <w:color w:val="auto"/>
        </w:rPr>
      </w:pPr>
    </w:p>
    <w:p>
      <w:pPr>
        <w:jc w:val="both"/>
        <w:ind w:firstLine="193"/>
        <w:spacing w:after="0" w:line="273" w:lineRule="auto"/>
        <w:rPr>
          <w:sz w:val="20"/>
          <w:szCs w:val="20"/>
          <w:color w:val="auto"/>
        </w:rPr>
      </w:pPr>
      <w:r>
        <w:rPr>
          <w:rFonts w:ascii="Arial" w:cs="Arial" w:eastAsia="Arial" w:hAnsi="Arial"/>
          <w:sz w:val="17"/>
          <w:szCs w:val="17"/>
          <w:color w:val="auto"/>
        </w:rPr>
        <w:t>On November 7, 2019, the Company entered into a second amendment (the “Incremental Facility Amendment”) to the Credit Agreement to increase the principal borrowed on the Term Facility by $460.0 million. The Term Facility together with the incremental borrowing make up the Initial Term Loans (as defined in the Incremental Facility Amendment) and as of the Amendment No. 2 Effective Date (as defined in the Incremental Facility Amendment), the Initial Term Loans bear interest at a rate equal to, at the Company’s option, either LIBOR plus an applicable margin of 3.75%, or a base rate plus an applicable margin of 2.75%. The Incremental Facility Amendment was executed to partially finance the Quest Acquisition. No amounts under the Term Facility were repaid as a result of the execution of the Incremental Facility Amendment.</w:t>
      </w:r>
    </w:p>
    <w:p>
      <w:pPr>
        <w:spacing w:after="0" w:line="205" w:lineRule="exact"/>
        <w:rPr>
          <w:sz w:val="20"/>
          <w:szCs w:val="20"/>
          <w:color w:val="auto"/>
        </w:rPr>
      </w:pPr>
    </w:p>
    <w:p>
      <w:pPr>
        <w:jc w:val="both"/>
        <w:ind w:firstLine="240"/>
        <w:spacing w:after="0" w:line="263" w:lineRule="auto"/>
        <w:rPr>
          <w:sz w:val="20"/>
          <w:szCs w:val="20"/>
          <w:color w:val="auto"/>
        </w:rPr>
      </w:pPr>
      <w:r>
        <w:rPr>
          <w:rFonts w:ascii="Arial" w:cs="Arial" w:eastAsia="Arial" w:hAnsi="Arial"/>
          <w:sz w:val="18"/>
          <w:szCs w:val="18"/>
          <w:color w:val="auto"/>
        </w:rPr>
        <w:t>The Credit Agreement contains certain financial and other covenants that limit the Company’s ability to, among other things, incur and/or undertake asset sales and other dispositions, liens, indebtedness, certain acquisitions and investments, consolidations, mergers, reorganizations and other fundamental changes, payment of dividends and other distributions to equity and warrant holders, and</w:t>
      </w:r>
    </w:p>
    <w:p>
      <w:pPr>
        <w:sectPr>
          <w:pgSz w:w="11900" w:h="16838" w:orient="portrait"/>
          <w:cols w:equalWidth="0" w:num="1">
            <w:col w:w="11240"/>
          </w:cols>
          <w:pgMar w:left="320" w:top="125" w:right="339" w:bottom="1440" w:gutter="0" w:footer="0" w:header="0"/>
        </w:sect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9" w:name="page70"/>
    <w:bookmarkEnd w:id="6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prepayments of material subordinated debt, in each case, subject to customary exceptions materially consistent with credit facilities of such type and size. The Revolving Credit Facility has a maximum total net leverage ratio equal to or less than 6.00:1.00 contingent on credit extensions in excess of 30% of the total amount of commitments available under the Revolving Credit Facility. Any failure to comply with the restrictions of the credit facilities may result in an event of default. The Company was in compliance with all financial covenants as of August 28, 2021 and August 29, 2020, respectively.</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Long-term debt consists of the following:</w:t>
      </w:r>
    </w:p>
    <w:p>
      <w:pPr>
        <w:spacing w:after="0" w:line="324" w:lineRule="exact"/>
        <w:rPr>
          <w:sz w:val="20"/>
          <w:szCs w:val="20"/>
          <w:color w:val="auto"/>
        </w:rPr>
      </w:pPr>
    </w:p>
    <w:tbl>
      <w:tblPr>
        <w:tblLayout w:type="fixed"/>
        <w:tblInd w:w="2320" w:type="dxa"/>
        <w:tblCellMar>
          <w:top w:w="0" w:type="dxa"/>
          <w:left w:w="0" w:type="dxa"/>
          <w:bottom w:w="0" w:type="dxa"/>
          <w:right w:w="0" w:type="dxa"/>
        </w:tblCellMar>
      </w:tblPr>
      <w:tr>
        <w:trPr>
          <w:trHeight w:val="236"/>
        </w:trPr>
        <w:tc>
          <w:tcPr>
            <w:tcW w:w="338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94"/>
              </w:rPr>
              <w:t>August 28, 2021</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94"/>
              </w:rPr>
              <w:t>August 29, 2020</w:t>
            </w:r>
          </w:p>
        </w:tc>
        <w:tc>
          <w:tcPr>
            <w:tcW w:w="0" w:type="dxa"/>
            <w:vAlign w:val="bottom"/>
          </w:tcPr>
          <w:p>
            <w:pPr>
              <w:spacing w:after="0"/>
              <w:rPr>
                <w:sz w:val="1"/>
                <w:szCs w:val="1"/>
                <w:color w:val="auto"/>
              </w:rPr>
            </w:pPr>
          </w:p>
        </w:tc>
      </w:tr>
      <w:tr>
        <w:trPr>
          <w:trHeight w:val="162"/>
        </w:trPr>
        <w:tc>
          <w:tcPr>
            <w:tcW w:w="3500" w:type="dxa"/>
            <w:vAlign w:val="bottom"/>
            <w:gridSpan w:val="2"/>
            <w:shd w:val="clear" w:color="auto" w:fill="CCEEFF"/>
          </w:tcPr>
          <w:p>
            <w:pPr>
              <w:spacing w:after="0" w:line="162" w:lineRule="exact"/>
              <w:rPr>
                <w:sz w:val="20"/>
                <w:szCs w:val="20"/>
                <w:color w:val="auto"/>
              </w:rPr>
            </w:pPr>
            <w:r>
              <w:rPr>
                <w:rFonts w:ascii="Arial" w:cs="Arial" w:eastAsia="Arial" w:hAnsi="Arial"/>
                <w:sz w:val="16"/>
                <w:szCs w:val="16"/>
                <w:color w:val="auto"/>
              </w:rPr>
              <w:t>Term Facility (effective rate of 4.8% at August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456,500</w:t>
            </w:r>
          </w:p>
        </w:tc>
        <w:tc>
          <w:tcPr>
            <w:tcW w:w="12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606,500</w:t>
            </w:r>
          </w:p>
        </w:tc>
        <w:tc>
          <w:tcPr>
            <w:tcW w:w="0" w:type="dxa"/>
            <w:vAlign w:val="bottom"/>
          </w:tcPr>
          <w:p>
            <w:pPr>
              <w:spacing w:after="0"/>
              <w:rPr>
                <w:sz w:val="1"/>
                <w:szCs w:val="1"/>
                <w:color w:val="auto"/>
              </w:rPr>
            </w:pPr>
          </w:p>
        </w:tc>
      </w:tr>
      <w:tr>
        <w:trPr>
          <w:trHeight w:val="212"/>
        </w:trPr>
        <w:tc>
          <w:tcPr>
            <w:tcW w:w="33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28, 2021)</w:t>
            </w:r>
          </w:p>
        </w:tc>
        <w:tc>
          <w:tcPr>
            <w:tcW w:w="12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500" w:type="dxa"/>
            <w:vAlign w:val="bottom"/>
            <w:gridSpan w:val="2"/>
          </w:tcPr>
          <w:p>
            <w:pPr>
              <w:spacing w:after="0" w:line="166" w:lineRule="exact"/>
              <w:rPr>
                <w:sz w:val="20"/>
                <w:szCs w:val="20"/>
                <w:color w:val="auto"/>
              </w:rPr>
            </w:pPr>
            <w:r>
              <w:rPr>
                <w:rFonts w:ascii="Arial" w:cs="Arial" w:eastAsia="Arial" w:hAnsi="Arial"/>
                <w:sz w:val="16"/>
                <w:szCs w:val="16"/>
                <w:color w:val="auto"/>
              </w:rPr>
              <w:t>Finance lease liabilities (effective rate of 5.6% at</w:t>
            </w:r>
          </w:p>
        </w:tc>
        <w:tc>
          <w:tcPr>
            <w:tcW w:w="160" w:type="dxa"/>
            <w:vAlign w:val="bottom"/>
          </w:tcPr>
          <w:p>
            <w:pPr>
              <w:spacing w:after="0"/>
              <w:rPr>
                <w:sz w:val="14"/>
                <w:szCs w:val="14"/>
                <w:color w:val="auto"/>
              </w:rPr>
            </w:pPr>
          </w:p>
        </w:tc>
        <w:tc>
          <w:tcPr>
            <w:tcW w:w="1340" w:type="dxa"/>
            <w:vAlign w:val="bottom"/>
            <w:vMerge w:val="restart"/>
          </w:tcPr>
          <w:p>
            <w:pPr>
              <w:jc w:val="right"/>
              <w:ind w:right="19"/>
              <w:spacing w:after="0"/>
              <w:rPr>
                <w:sz w:val="20"/>
                <w:szCs w:val="20"/>
                <w:color w:val="auto"/>
              </w:rPr>
            </w:pPr>
            <w:r>
              <w:rPr>
                <w:rFonts w:ascii="Arial" w:cs="Arial" w:eastAsia="Arial" w:hAnsi="Arial"/>
                <w:sz w:val="16"/>
                <w:szCs w:val="16"/>
                <w:color w:val="auto"/>
              </w:rPr>
              <w:t>690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922</w:t>
            </w:r>
          </w:p>
        </w:tc>
        <w:tc>
          <w:tcPr>
            <w:tcW w:w="0" w:type="dxa"/>
            <w:vAlign w:val="bottom"/>
          </w:tcPr>
          <w:p>
            <w:pPr>
              <w:spacing w:after="0"/>
              <w:rPr>
                <w:sz w:val="1"/>
                <w:szCs w:val="1"/>
                <w:color w:val="auto"/>
              </w:rPr>
            </w:pPr>
          </w:p>
        </w:tc>
      </w:tr>
      <w:tr>
        <w:trPr>
          <w:trHeight w:val="209"/>
        </w:trPr>
        <w:tc>
          <w:tcPr>
            <w:tcW w:w="3500" w:type="dxa"/>
            <w:vAlign w:val="bottom"/>
            <w:gridSpan w:val="2"/>
          </w:tcPr>
          <w:p>
            <w:pPr>
              <w:ind w:left="160"/>
              <w:spacing w:after="0"/>
              <w:rPr>
                <w:sz w:val="20"/>
                <w:szCs w:val="20"/>
                <w:color w:val="auto"/>
              </w:rPr>
            </w:pPr>
            <w:r>
              <w:rPr>
                <w:rFonts w:ascii="Arial" w:cs="Arial" w:eastAsia="Arial" w:hAnsi="Arial"/>
                <w:sz w:val="16"/>
                <w:szCs w:val="16"/>
                <w:color w:val="auto"/>
              </w:rPr>
              <w:t>August 28, 2021)</w:t>
            </w:r>
          </w:p>
        </w:tc>
        <w:tc>
          <w:tcPr>
            <w:tcW w:w="16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Less: Deferred financing fees</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5,636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10,272</w:t>
            </w:r>
          </w:p>
        </w:tc>
        <w:tc>
          <w:tcPr>
            <w:tcW w:w="0" w:type="dxa"/>
            <w:vAlign w:val="bottom"/>
          </w:tcPr>
          <w:p>
            <w:pPr>
              <w:spacing w:after="0"/>
              <w:rPr>
                <w:sz w:val="1"/>
                <w:szCs w:val="1"/>
                <w:color w:val="auto"/>
              </w:rPr>
            </w:pPr>
          </w:p>
        </w:tc>
      </w:tr>
      <w:tr>
        <w:trPr>
          <w:trHeight w:val="207"/>
        </w:trPr>
        <w:tc>
          <w:tcPr>
            <w:tcW w:w="3500" w:type="dxa"/>
            <w:vAlign w:val="bottom"/>
            <w:gridSpan w:val="2"/>
          </w:tcPr>
          <w:p>
            <w:pPr>
              <w:spacing w:after="0"/>
              <w:rPr>
                <w:sz w:val="20"/>
                <w:szCs w:val="20"/>
                <w:color w:val="auto"/>
              </w:rPr>
            </w:pPr>
            <w:r>
              <w:rPr>
                <w:rFonts w:ascii="Arial" w:cs="Arial" w:eastAsia="Arial" w:hAnsi="Arial"/>
                <w:sz w:val="16"/>
                <w:szCs w:val="16"/>
                <w:color w:val="auto"/>
              </w:rPr>
              <w:t>Total debt</w:t>
            </w: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451,554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597,150</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Less: Current finance lease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212"/>
        </w:trPr>
        <w:tc>
          <w:tcPr>
            <w:tcW w:w="3500" w:type="dxa"/>
            <w:vAlign w:val="bottom"/>
            <w:gridSpan w:val="2"/>
          </w:tcPr>
          <w:p>
            <w:pPr>
              <w:spacing w:after="0"/>
              <w:rPr>
                <w:sz w:val="20"/>
                <w:szCs w:val="20"/>
                <w:color w:val="auto"/>
              </w:rPr>
            </w:pPr>
            <w:r>
              <w:rPr>
                <w:rFonts w:ascii="Arial" w:cs="Arial" w:eastAsia="Arial" w:hAnsi="Arial"/>
                <w:sz w:val="16"/>
                <w:szCs w:val="16"/>
                <w:color w:val="auto"/>
              </w:rPr>
              <w:t>Long-term debt, net of deferred financing fees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451,269</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596,879</w:t>
            </w:r>
          </w:p>
        </w:tc>
        <w:tc>
          <w:tcPr>
            <w:tcW w:w="0" w:type="dxa"/>
            <w:vAlign w:val="bottom"/>
          </w:tcPr>
          <w:p>
            <w:pPr>
              <w:spacing w:after="0"/>
              <w:rPr>
                <w:sz w:val="1"/>
                <w:szCs w:val="1"/>
                <w:color w:val="auto"/>
              </w:rPr>
            </w:pPr>
          </w:p>
        </w:tc>
      </w:tr>
      <w:tr>
        <w:trPr>
          <w:trHeight w:val="21"/>
        </w:trPr>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firstLine="185"/>
        <w:spacing w:after="0" w:line="263" w:lineRule="auto"/>
        <w:rPr>
          <w:sz w:val="20"/>
          <w:szCs w:val="20"/>
          <w:color w:val="auto"/>
        </w:rPr>
      </w:pPr>
      <w:r>
        <w:rPr>
          <w:rFonts w:ascii="Arial" w:cs="Arial" w:eastAsia="Arial" w:hAnsi="Arial"/>
          <w:sz w:val="18"/>
          <w:szCs w:val="18"/>
          <w:color w:val="auto"/>
        </w:rPr>
        <w:t>As of August 28, 2021, the Company had letters of credit in the amount of $3.5 million outstanding. These letters of credit offset against the availability of the Revolving Credit Facility and exist to support three of the Company’s leased buildings and insurance programs relating to workers’ compensation. No amounts were drawn against these letters of credit at August 28, 2021.</w:t>
      </w:r>
    </w:p>
    <w:p>
      <w:pPr>
        <w:spacing w:after="0" w:line="211" w:lineRule="exact"/>
        <w:rPr>
          <w:sz w:val="20"/>
          <w:szCs w:val="20"/>
          <w:color w:val="auto"/>
        </w:rPr>
      </w:pPr>
    </w:p>
    <w:p>
      <w:pPr>
        <w:jc w:val="both"/>
        <w:ind w:firstLine="186"/>
        <w:spacing w:after="0" w:line="263" w:lineRule="auto"/>
        <w:rPr>
          <w:sz w:val="20"/>
          <w:szCs w:val="20"/>
          <w:color w:val="auto"/>
        </w:rPr>
      </w:pPr>
      <w:r>
        <w:rPr>
          <w:rFonts w:ascii="Arial" w:cs="Arial" w:eastAsia="Arial" w:hAnsi="Arial"/>
          <w:sz w:val="18"/>
          <w:szCs w:val="18"/>
          <w:color w:val="auto"/>
        </w:rPr>
        <w:t>The Company is not required to make principal payments on the Term Facility over the twelve months following the period ended August 28, 2021. The outstanding balance of the Term Facility is due upon its maturity in July 2024. As of August 28, 2021, aggregate principal maturities of debt for each of the next five fiscal years and thereafter are as follows:</w:t>
      </w:r>
    </w:p>
    <w:p>
      <w:pPr>
        <w:spacing w:after="0" w:line="310" w:lineRule="exact"/>
        <w:rPr>
          <w:sz w:val="20"/>
          <w:szCs w:val="20"/>
          <w:color w:val="auto"/>
        </w:rPr>
      </w:pPr>
    </w:p>
    <w:tbl>
      <w:tblPr>
        <w:tblLayout w:type="fixed"/>
        <w:tblInd w:w="3080" w:type="dxa"/>
        <w:tblCellMar>
          <w:top w:w="0" w:type="dxa"/>
          <w:left w:w="0" w:type="dxa"/>
          <w:bottom w:w="0" w:type="dxa"/>
          <w:right w:w="0" w:type="dxa"/>
        </w:tblCellMar>
      </w:tblPr>
      <w:tr>
        <w:trPr>
          <w:trHeight w:val="209"/>
        </w:trPr>
        <w:tc>
          <w:tcPr>
            <w:tcW w:w="3580" w:type="dxa"/>
            <w:vAlign w:val="bottom"/>
            <w:gridSpan w:val="2"/>
          </w:tcPr>
          <w:p>
            <w:pPr>
              <w:spacing w:after="0"/>
              <w:rPr>
                <w:sz w:val="20"/>
                <w:szCs w:val="20"/>
                <w:color w:val="auto"/>
              </w:rPr>
            </w:pPr>
            <w:r>
              <w:rPr>
                <w:rFonts w:ascii="Arial" w:cs="Arial" w:eastAsia="Arial" w:hAnsi="Arial"/>
                <w:sz w:val="16"/>
                <w:szCs w:val="16"/>
                <w:i w:val="1"/>
                <w:iCs w:val="1"/>
                <w:color w:val="auto"/>
              </w:rPr>
              <w:t>(In thousands)</w:t>
            </w:r>
          </w:p>
        </w:tc>
        <w:tc>
          <w:tcPr>
            <w:tcW w:w="10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w w:val="94"/>
              </w:rPr>
              <w:t>Principal maturities</w:t>
            </w:r>
          </w:p>
        </w:tc>
      </w:tr>
      <w:tr>
        <w:trPr>
          <w:trHeight w:val="253"/>
        </w:trPr>
        <w:tc>
          <w:tcPr>
            <w:tcW w:w="3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2022</w:t>
            </w:r>
          </w:p>
        </w:tc>
        <w:tc>
          <w:tcPr>
            <w:tcW w:w="14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w:t>
            </w:r>
          </w:p>
        </w:tc>
      </w:tr>
      <w:tr>
        <w:trPr>
          <w:trHeight w:val="267"/>
        </w:trPr>
        <w:tc>
          <w:tcPr>
            <w:tcW w:w="3440" w:type="dxa"/>
            <w:vAlign w:val="bottom"/>
          </w:tcPr>
          <w:p>
            <w:pPr>
              <w:spacing w:after="0"/>
              <w:rPr>
                <w:sz w:val="20"/>
                <w:szCs w:val="20"/>
                <w:color w:val="auto"/>
              </w:rPr>
            </w:pPr>
            <w:r>
              <w:rPr>
                <w:rFonts w:ascii="Arial" w:cs="Arial" w:eastAsia="Arial" w:hAnsi="Arial"/>
                <w:sz w:val="16"/>
                <w:szCs w:val="16"/>
                <w:color w:val="auto"/>
              </w:rPr>
              <w:t>2023</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263</w:t>
            </w:r>
          </w:p>
        </w:tc>
      </w:tr>
      <w:tr>
        <w:trPr>
          <w:trHeight w:val="273"/>
        </w:trPr>
        <w:tc>
          <w:tcPr>
            <w:tcW w:w="3440" w:type="dxa"/>
            <w:vAlign w:val="bottom"/>
            <w:shd w:val="clear" w:color="auto" w:fill="CCEEFF"/>
          </w:tcPr>
          <w:p>
            <w:pPr>
              <w:spacing w:after="0"/>
              <w:rPr>
                <w:sz w:val="20"/>
                <w:szCs w:val="20"/>
                <w:color w:val="auto"/>
              </w:rPr>
            </w:pPr>
            <w:r>
              <w:rPr>
                <w:rFonts w:ascii="Arial" w:cs="Arial" w:eastAsia="Arial" w:hAnsi="Arial"/>
                <w:sz w:val="16"/>
                <w:szCs w:val="16"/>
                <w:color w:val="auto"/>
              </w:rPr>
              <w:t>2024</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456,642</w:t>
            </w:r>
          </w:p>
        </w:tc>
      </w:tr>
      <w:tr>
        <w:trPr>
          <w:trHeight w:val="267"/>
        </w:trPr>
        <w:tc>
          <w:tcPr>
            <w:tcW w:w="3440" w:type="dxa"/>
            <w:vAlign w:val="bottom"/>
          </w:tcPr>
          <w:p>
            <w:pPr>
              <w:spacing w:after="0"/>
              <w:rPr>
                <w:sz w:val="20"/>
                <w:szCs w:val="20"/>
                <w:color w:val="auto"/>
              </w:rPr>
            </w:pPr>
            <w:r>
              <w:rPr>
                <w:rFonts w:ascii="Arial" w:cs="Arial" w:eastAsia="Arial" w:hAnsi="Arial"/>
                <w:sz w:val="16"/>
                <w:szCs w:val="16"/>
                <w:color w:val="auto"/>
              </w:rPr>
              <w:t>2025</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3"/>
        </w:trPr>
        <w:tc>
          <w:tcPr>
            <w:tcW w:w="3440" w:type="dxa"/>
            <w:vAlign w:val="bottom"/>
            <w:shd w:val="clear" w:color="auto" w:fill="CCEEFF"/>
          </w:tcPr>
          <w:p>
            <w:pPr>
              <w:spacing w:after="0"/>
              <w:rPr>
                <w:sz w:val="20"/>
                <w:szCs w:val="20"/>
                <w:color w:val="auto"/>
              </w:rPr>
            </w:pPr>
            <w:r>
              <w:rPr>
                <w:rFonts w:ascii="Arial" w:cs="Arial" w:eastAsia="Arial" w:hAnsi="Arial"/>
                <w:sz w:val="16"/>
                <w:szCs w:val="16"/>
                <w:color w:val="auto"/>
              </w:rPr>
              <w:t>2026</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67"/>
        </w:trPr>
        <w:tc>
          <w:tcPr>
            <w:tcW w:w="35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Thereafter</w:t>
            </w:r>
          </w:p>
        </w:tc>
        <w:tc>
          <w:tcPr>
            <w:tcW w:w="10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51"/>
        </w:trPr>
        <w:tc>
          <w:tcPr>
            <w:tcW w:w="3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debt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457,190</w:t>
            </w: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268"/>
        <w:spacing w:after="0" w:line="279" w:lineRule="auto"/>
        <w:rPr>
          <w:sz w:val="20"/>
          <w:szCs w:val="20"/>
          <w:color w:val="auto"/>
        </w:rPr>
      </w:pPr>
      <w:r>
        <w:rPr>
          <w:rFonts w:ascii="Arial" w:cs="Arial" w:eastAsia="Arial" w:hAnsi="Arial"/>
          <w:sz w:val="17"/>
          <w:szCs w:val="17"/>
          <w:color w:val="auto"/>
        </w:rPr>
        <w:t>The Company utilizes market approaches to estimate the fair value of certain outstanding borrowings by discounting anticipated future cash flows derived from the contractual terms of the obligations and observable market interest and foreign exchange rates. The Company carries debt at historical cost and discloses fair value. As of August 28, 2021 and August 29, 2020, the book value of the Company’s debt approximated fair value. The estimated fair value of the Term Loan is valued based on observable inputs and classified as Level 2 in the fair value hierarchy.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of Financial Instruments</w:t>
      </w:r>
    </w:p>
    <w:p>
      <w:pPr>
        <w:spacing w:after="0" w:line="256" w:lineRule="exact"/>
        <w:rPr>
          <w:sz w:val="20"/>
          <w:szCs w:val="20"/>
          <w:color w:val="auto"/>
        </w:rPr>
      </w:pPr>
    </w:p>
    <w:p>
      <w:pPr>
        <w:jc w:val="both"/>
        <w:ind w:firstLine="182"/>
        <w:spacing w:after="0" w:line="263"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To increase the comparability of fair value measurements, a three-tier fair value hierarchy, which prioritizes the inputs used in the valuation methodologies, is used: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Valuations based on quoted prices for identical assets and liabilities in active markets.</w:t>
      </w:r>
    </w:p>
    <w:p>
      <w:pPr>
        <w:spacing w:after="0" w:line="252"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Level 2 – Valuations based on observable inputs other than quoted prices included in Level 1, such as quoted prices for similar assets or liabilities in active markets, quoted prices for identical or similar assets and liabilities in markets that are not active, or other inputs that are observable or can be corroborated by observable market data.</w:t>
      </w:r>
    </w:p>
    <w:p>
      <w:pPr>
        <w:spacing w:after="0" w:line="211"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Level 3 – Valuations based on unobservable inputs reflecting the Company’s own assumptions, consistent with reasonably available assumptions made by other market participants. These valuations require significant judgment.</w:t>
      </w:r>
    </w:p>
    <w:p>
      <w:pPr>
        <w:spacing w:after="0" w:line="197" w:lineRule="exact"/>
        <w:rPr>
          <w:sz w:val="20"/>
          <w:szCs w:val="20"/>
          <w:color w:val="auto"/>
        </w:rPr>
      </w:pPr>
    </w:p>
    <w:p>
      <w:pPr>
        <w:ind w:right="20" w:firstLine="170"/>
        <w:spacing w:after="0" w:line="277" w:lineRule="auto"/>
        <w:rPr>
          <w:sz w:val="20"/>
          <w:szCs w:val="20"/>
          <w:color w:val="auto"/>
        </w:rPr>
      </w:pPr>
      <w:r>
        <w:rPr>
          <w:rFonts w:ascii="Arial" w:cs="Arial" w:eastAsia="Arial" w:hAnsi="Arial"/>
          <w:sz w:val="18"/>
          <w:szCs w:val="18"/>
          <w:color w:val="auto"/>
        </w:rPr>
        <w:t xml:space="preserve">A loss of $0.5 million was charged to the </w:t>
      </w:r>
      <w:r>
        <w:rPr>
          <w:rFonts w:ascii="Arial" w:cs="Arial" w:eastAsia="Arial" w:hAnsi="Arial"/>
          <w:sz w:val="18"/>
          <w:szCs w:val="18"/>
          <w:i w:val="1"/>
          <w:iCs w:val="1"/>
          <w:color w:val="auto"/>
        </w:rPr>
        <w:t>Loss in fair value change of contingent consideration – TRA liability</w:t>
      </w:r>
      <w:r>
        <w:rPr>
          <w:rFonts w:ascii="Arial" w:cs="Arial" w:eastAsia="Arial" w:hAnsi="Arial"/>
          <w:sz w:val="18"/>
          <w:szCs w:val="18"/>
          <w:color w:val="auto"/>
        </w:rPr>
        <w:t xml:space="preserve"> for the fifty-three weeks ended August 31, 2019. The Company settled the Income Tax Receivable Agreement (the “TRA”) during the fifty-three weeks</w:t>
      </w:r>
    </w:p>
    <w:p>
      <w:pPr>
        <w:sectPr>
          <w:pgSz w:w="11900" w:h="16838" w:orient="portrait"/>
          <w:cols w:equalWidth="0" w:num="1">
            <w:col w:w="11240"/>
          </w:cols>
          <w:pgMar w:left="320" w:top="125" w:right="339" w:bottom="1440" w:gutter="0" w:footer="0" w:header="0"/>
        </w:sect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0" w:name="page71"/>
    <w:bookmarkEnd w:id="7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ended August 31, 2019, which resulted in a $1.5 million gain. Refer to Note 9, Income Taxes, for additional details regarding the TRA liability settlement.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3 Measurements</w:t>
      </w:r>
    </w:p>
    <w:p>
      <w:pPr>
        <w:spacing w:after="0" w:line="252" w:lineRule="exact"/>
        <w:rPr>
          <w:sz w:val="20"/>
          <w:szCs w:val="20"/>
          <w:color w:val="auto"/>
        </w:rPr>
      </w:pPr>
    </w:p>
    <w:p>
      <w:pPr>
        <w:jc w:val="both"/>
        <w:ind w:firstLine="238"/>
        <w:spacing w:after="0" w:line="290" w:lineRule="auto"/>
        <w:rPr>
          <w:sz w:val="20"/>
          <w:szCs w:val="20"/>
          <w:color w:val="auto"/>
        </w:rPr>
      </w:pPr>
      <w:r>
        <w:rPr>
          <w:rFonts w:ascii="Arial" w:cs="Arial" w:eastAsia="Arial" w:hAnsi="Arial"/>
          <w:sz w:val="16"/>
          <w:szCs w:val="16"/>
          <w:color w:val="auto"/>
        </w:rPr>
        <w:t>The Company has outstanding liability-classified Private Warrants that allow holders to purchase 6,700,000 shares of the Company’s common stock. Such Private Warrants are held by Conyers Park Sponsor, LLC, a related party. The Company utilizes the Black-Scholes model to estimate the fair value of the Private Warrants at each reporting date. The application of the Black-Scholes model utilizes significant assumptions, including volatility. Significant judgment is required in determining the expected volatility, historically the key assumption, of the Private Warrants. In order to determine the most accurate measure of this volatility, the Company measured expected volatility based on several inputs, including considering a peer group of publicly traded companies, the Company’s implied volatility based on traded options, the implied volatility of comparable warrants, and the implied volatility of any outstanding public warrants during the periods they were outstanding. As a result of the unobservable inputs that were used to determine the expected volatility of the Private Warrants, the fair value measurement of these warrants reflects a Level 3 measurement within the fair value measurement hierarchy.</w:t>
      </w:r>
    </w:p>
    <w:p>
      <w:pPr>
        <w:spacing w:after="0" w:line="192" w:lineRule="exact"/>
        <w:rPr>
          <w:sz w:val="20"/>
          <w:szCs w:val="20"/>
          <w:color w:val="auto"/>
        </w:rPr>
      </w:pPr>
    </w:p>
    <w:p>
      <w:pPr>
        <w:jc w:val="both"/>
        <w:ind w:firstLine="300"/>
        <w:spacing w:after="0" w:line="257" w:lineRule="auto"/>
        <w:rPr>
          <w:sz w:val="20"/>
          <w:szCs w:val="20"/>
          <w:color w:val="auto"/>
        </w:rPr>
      </w:pPr>
      <w:r>
        <w:rPr>
          <w:rFonts w:ascii="Arial" w:cs="Arial" w:eastAsia="Arial" w:hAnsi="Arial"/>
          <w:sz w:val="18"/>
          <w:szCs w:val="18"/>
          <w:color w:val="auto"/>
        </w:rPr>
        <w:t xml:space="preserve">The periodic remeasurement of the warrant liability is reflected in </w:t>
      </w:r>
      <w:r>
        <w:rPr>
          <w:rFonts w:ascii="Arial" w:cs="Arial" w:eastAsia="Arial" w:hAnsi="Arial"/>
          <w:sz w:val="18"/>
          <w:szCs w:val="18"/>
          <w:i w:val="1"/>
          <w:iCs w:val="1"/>
          <w:color w:val="auto"/>
        </w:rPr>
        <w:t>(Loss) gain in fair value change of warrant liability</w:t>
      </w:r>
      <w:r>
        <w:rPr>
          <w:rFonts w:ascii="Arial" w:cs="Arial" w:eastAsia="Arial" w:hAnsi="Arial"/>
          <w:sz w:val="18"/>
          <w:szCs w:val="18"/>
          <w:color w:val="auto"/>
        </w:rPr>
        <w:t xml:space="preserve"> within the Consolidated Statements of Operations and Comprehensive Income (Loss). The adjustments for changes in fair value of the warrant liability for the fifty-two weeks ended August 28, 2021, the fifty-two weeks ended August 29, 2020, and the fifty-three weeks ended August 31, 2019 were a loss of $66.2 million, a gain of $30.9 million and a loss of $72.7 million, respectively. The adjustments resulted in a total warrant liability at August 28, 2021 and August 29, 2020 of $159.8 million and $93.6 million, respectively.</w:t>
      </w:r>
    </w:p>
    <w:p>
      <w:pPr>
        <w:spacing w:after="0" w:line="215" w:lineRule="exact"/>
        <w:rPr>
          <w:sz w:val="20"/>
          <w:szCs w:val="20"/>
          <w:color w:val="auto"/>
        </w:rPr>
      </w:pPr>
    </w:p>
    <w:p>
      <w:pPr>
        <w:jc w:val="both"/>
        <w:ind w:firstLine="213"/>
        <w:spacing w:after="0" w:line="259" w:lineRule="auto"/>
        <w:rPr>
          <w:sz w:val="20"/>
          <w:szCs w:val="20"/>
          <w:color w:val="auto"/>
        </w:rPr>
      </w:pPr>
      <w:r>
        <w:rPr>
          <w:rFonts w:ascii="Arial" w:cs="Arial" w:eastAsia="Arial" w:hAnsi="Arial"/>
          <w:sz w:val="18"/>
          <w:szCs w:val="18"/>
          <w:color w:val="auto"/>
        </w:rPr>
        <w:t>There were 6,700,000 Private Warrants outstanding as of August 28, 2021, August 29, 2020, and August 31, 2019. Based on the fair value assessment that was performed, the Company determined a fair value price per Private Warrant of $23.86, $13.98, and $18.59 as of August 28, 2021, August 29, 2020, and August 31, 2019, respectively. The table below summarizes the inputs used to calculate the fair value of the warrant liability at each of the following reporting dates:</w:t>
      </w:r>
    </w:p>
    <w:p>
      <w:pPr>
        <w:spacing w:after="0" w:line="313" w:lineRule="exact"/>
        <w:rPr>
          <w:sz w:val="20"/>
          <w:szCs w:val="20"/>
          <w:color w:val="auto"/>
        </w:rPr>
      </w:pPr>
    </w:p>
    <w:tbl>
      <w:tblPr>
        <w:tblLayout w:type="fixed"/>
        <w:tblInd w:w="1580" w:type="dxa"/>
        <w:tblCellMar>
          <w:top w:w="0" w:type="dxa"/>
          <w:left w:w="0" w:type="dxa"/>
          <w:bottom w:w="0" w:type="dxa"/>
          <w:right w:w="0" w:type="dxa"/>
        </w:tblCellMar>
      </w:tblPr>
      <w:tr>
        <w:trPr>
          <w:trHeight w:val="209"/>
        </w:trPr>
        <w:tc>
          <w:tcPr>
            <w:tcW w:w="3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ind w:left="80"/>
              <w:spacing w:after="0"/>
              <w:rPr>
                <w:sz w:val="20"/>
                <w:szCs w:val="20"/>
                <w:color w:val="auto"/>
              </w:rPr>
            </w:pPr>
            <w:r>
              <w:rPr>
                <w:rFonts w:ascii="Arial" w:cs="Arial" w:eastAsia="Arial" w:hAnsi="Arial"/>
                <w:sz w:val="16"/>
                <w:szCs w:val="16"/>
                <w:color w:val="auto"/>
              </w:rPr>
              <w:t>August 28, 2021</w:t>
            </w:r>
          </w:p>
        </w:tc>
        <w:tc>
          <w:tcPr>
            <w:tcW w:w="16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Arial" w:cs="Arial" w:eastAsia="Arial" w:hAnsi="Arial"/>
                <w:sz w:val="16"/>
                <w:szCs w:val="16"/>
                <w:color w:val="auto"/>
              </w:rPr>
              <w:t>August 29, 2020</w:t>
            </w:r>
          </w:p>
        </w:tc>
        <w:tc>
          <w:tcPr>
            <w:tcW w:w="180" w:type="dxa"/>
            <w:vAlign w:val="bottom"/>
          </w:tcPr>
          <w:p>
            <w:pPr>
              <w:spacing w:after="0"/>
              <w:rPr>
                <w:sz w:val="18"/>
                <w:szCs w:val="18"/>
                <w:color w:val="auto"/>
              </w:rPr>
            </w:pPr>
          </w:p>
        </w:tc>
        <w:tc>
          <w:tcPr>
            <w:tcW w:w="1360" w:type="dxa"/>
            <w:vAlign w:val="bottom"/>
          </w:tcPr>
          <w:p>
            <w:pPr>
              <w:jc w:val="right"/>
              <w:ind w:right="159"/>
              <w:spacing w:after="0"/>
              <w:rPr>
                <w:sz w:val="20"/>
                <w:szCs w:val="20"/>
                <w:color w:val="auto"/>
              </w:rPr>
            </w:pPr>
            <w:r>
              <w:rPr>
                <w:rFonts w:ascii="Arial" w:cs="Arial" w:eastAsia="Arial" w:hAnsi="Arial"/>
                <w:sz w:val="16"/>
                <w:szCs w:val="16"/>
                <w:color w:val="auto"/>
                <w:w w:val="94"/>
              </w:rPr>
              <w:t>August 31, 2019</w:t>
            </w:r>
          </w:p>
        </w:tc>
      </w:tr>
      <w:tr>
        <w:trPr>
          <w:trHeight w:val="253"/>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Exercise price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11.50</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11.50</w:t>
            </w:r>
          </w:p>
        </w:tc>
        <w:tc>
          <w:tcPr>
            <w:tcW w:w="14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11.50</w:t>
            </w:r>
          </w:p>
        </w:tc>
      </w:tr>
      <w:tr>
        <w:trPr>
          <w:trHeight w:val="267"/>
        </w:trPr>
        <w:tc>
          <w:tcPr>
            <w:tcW w:w="3240" w:type="dxa"/>
            <w:vAlign w:val="bottom"/>
          </w:tcPr>
          <w:p>
            <w:pPr>
              <w:ind w:left="20"/>
              <w:spacing w:after="0"/>
              <w:rPr>
                <w:sz w:val="20"/>
                <w:szCs w:val="20"/>
                <w:color w:val="auto"/>
              </w:rPr>
            </w:pPr>
            <w:r>
              <w:rPr>
                <w:rFonts w:ascii="Arial" w:cs="Arial" w:eastAsia="Arial" w:hAnsi="Arial"/>
                <w:sz w:val="16"/>
                <w:szCs w:val="16"/>
                <w:color w:val="auto"/>
              </w:rPr>
              <w:t>Stock price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35.35</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25.39</w:t>
            </w:r>
          </w:p>
        </w:tc>
        <w:tc>
          <w:tcPr>
            <w:tcW w:w="14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29.63</w:t>
            </w:r>
          </w:p>
        </w:tc>
      </w:tr>
      <w:tr>
        <w:trPr>
          <w:trHeight w:val="273"/>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 yield</w:t>
            </w:r>
          </w:p>
        </w:tc>
        <w:tc>
          <w:tcPr>
            <w:tcW w:w="160" w:type="dxa"/>
            <w:vAlign w:val="bottom"/>
            <w:shd w:val="clear" w:color="auto" w:fill="CCEEFF"/>
          </w:tcPr>
          <w:p>
            <w:pPr>
              <w:spacing w:after="0"/>
              <w:rPr>
                <w:sz w:val="23"/>
                <w:szCs w:val="23"/>
                <w:color w:val="auto"/>
              </w:rPr>
            </w:pPr>
          </w:p>
        </w:tc>
        <w:tc>
          <w:tcPr>
            <w:tcW w:w="150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 %</w:t>
            </w:r>
          </w:p>
        </w:tc>
        <w:tc>
          <w:tcPr>
            <w:tcW w:w="160" w:type="dxa"/>
            <w:vAlign w:val="bottom"/>
            <w:shd w:val="clear" w:color="auto" w:fill="CCEEFF"/>
          </w:tcPr>
          <w:p>
            <w:pPr>
              <w:spacing w:after="0"/>
              <w:rPr>
                <w:sz w:val="23"/>
                <w:szCs w:val="23"/>
                <w:color w:val="auto"/>
              </w:rPr>
            </w:pPr>
          </w:p>
        </w:tc>
        <w:tc>
          <w:tcPr>
            <w:tcW w:w="150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 %</w:t>
            </w:r>
          </w:p>
        </w:tc>
        <w:tc>
          <w:tcPr>
            <w:tcW w:w="18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67"/>
        </w:trPr>
        <w:tc>
          <w:tcPr>
            <w:tcW w:w="3240" w:type="dxa"/>
            <w:vAlign w:val="bottom"/>
          </w:tcPr>
          <w:p>
            <w:pPr>
              <w:ind w:left="20"/>
              <w:spacing w:after="0"/>
              <w:rPr>
                <w:sz w:val="20"/>
                <w:szCs w:val="20"/>
                <w:color w:val="auto"/>
              </w:rPr>
            </w:pPr>
            <w:r>
              <w:rPr>
                <w:rFonts w:ascii="Arial" w:cs="Arial" w:eastAsia="Arial" w:hAnsi="Arial"/>
                <w:sz w:val="16"/>
                <w:szCs w:val="16"/>
                <w:color w:val="auto"/>
              </w:rPr>
              <w:t>Expected term (in years)</w:t>
            </w:r>
          </w:p>
        </w:tc>
        <w:tc>
          <w:tcPr>
            <w:tcW w:w="160" w:type="dxa"/>
            <w:vAlign w:val="bottom"/>
          </w:tcPr>
          <w:p>
            <w:pPr>
              <w:spacing w:after="0"/>
              <w:rPr>
                <w:sz w:val="23"/>
                <w:szCs w:val="23"/>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0.86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1.85</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2.85</w:t>
            </w:r>
          </w:p>
        </w:tc>
      </w:tr>
      <w:tr>
        <w:trPr>
          <w:trHeight w:val="273"/>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Risk-free interest rate</w:t>
            </w:r>
          </w:p>
        </w:tc>
        <w:tc>
          <w:tcPr>
            <w:tcW w:w="16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0.06 %</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0.14 %</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1.43 %</w:t>
            </w:r>
          </w:p>
        </w:tc>
      </w:tr>
      <w:tr>
        <w:trPr>
          <w:trHeight w:val="267"/>
        </w:trPr>
        <w:tc>
          <w:tcPr>
            <w:tcW w:w="3240" w:type="dxa"/>
            <w:vAlign w:val="bottom"/>
          </w:tcPr>
          <w:p>
            <w:pPr>
              <w:ind w:left="20"/>
              <w:spacing w:after="0"/>
              <w:rPr>
                <w:sz w:val="20"/>
                <w:szCs w:val="20"/>
                <w:color w:val="auto"/>
              </w:rPr>
            </w:pPr>
            <w:r>
              <w:rPr>
                <w:rFonts w:ascii="Arial" w:cs="Arial" w:eastAsia="Arial" w:hAnsi="Arial"/>
                <w:sz w:val="16"/>
                <w:szCs w:val="16"/>
                <w:color w:val="auto"/>
              </w:rPr>
              <w:t>Expected volatility</w:t>
            </w:r>
          </w:p>
        </w:tc>
        <w:tc>
          <w:tcPr>
            <w:tcW w:w="16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21.70 %</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29.20 %</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21.10 %</w:t>
            </w:r>
          </w:p>
        </w:tc>
      </w:tr>
      <w:tr>
        <w:trPr>
          <w:trHeight w:val="273"/>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 share value of warrants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23.86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13.98</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18.59</w:t>
            </w:r>
          </w:p>
        </w:tc>
      </w:tr>
    </w:tbl>
    <w:p>
      <w:pPr>
        <w:spacing w:after="0" w:line="323" w:lineRule="exact"/>
        <w:rPr>
          <w:sz w:val="20"/>
          <w:szCs w:val="20"/>
          <w:color w:val="auto"/>
        </w:rPr>
      </w:pPr>
    </w:p>
    <w:p>
      <w:pPr>
        <w:ind w:firstLine="251"/>
        <w:spacing w:after="0" w:line="277" w:lineRule="auto"/>
        <w:rPr>
          <w:sz w:val="20"/>
          <w:szCs w:val="20"/>
          <w:color w:val="auto"/>
        </w:rPr>
      </w:pPr>
      <w:r>
        <w:rPr>
          <w:rFonts w:ascii="Arial" w:cs="Arial" w:eastAsia="Arial" w:hAnsi="Arial"/>
          <w:sz w:val="18"/>
          <w:szCs w:val="18"/>
          <w:color w:val="auto"/>
        </w:rPr>
        <w:t>There were no transfers of financial instruments between the three levels of the fair value hierarchy during the fiscal years ended August 28, 2021, August 29, 2020, and August 31, 2019, respectively.</w:t>
      </w:r>
    </w:p>
    <w:p>
      <w:pPr>
        <w:spacing w:after="0" w:line="193" w:lineRule="exact"/>
        <w:rPr>
          <w:sz w:val="20"/>
          <w:szCs w:val="20"/>
          <w:color w:val="auto"/>
        </w:rPr>
      </w:pPr>
    </w:p>
    <w:p>
      <w:pPr>
        <w:ind w:left="180" w:hanging="172"/>
        <w:spacing w:after="0"/>
        <w:tabs>
          <w:tab w:leader="none" w:pos="18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6" w:lineRule="exact"/>
        <w:rPr>
          <w:rFonts w:ascii="Arial" w:cs="Arial" w:eastAsia="Arial" w:hAnsi="Arial"/>
          <w:sz w:val="18"/>
          <w:szCs w:val="18"/>
          <w:b w:val="1"/>
          <w:bCs w:val="1"/>
          <w:color w:val="auto"/>
        </w:rPr>
      </w:pPr>
    </w:p>
    <w:p>
      <w:pPr>
        <w:ind w:left="180"/>
        <w:spacing w:after="0"/>
        <w:rPr>
          <w:rFonts w:ascii="Arial" w:cs="Arial" w:eastAsia="Arial" w:hAnsi="Arial"/>
          <w:sz w:val="18"/>
          <w:szCs w:val="18"/>
          <w:b w:val="1"/>
          <w:bCs w:val="1"/>
          <w:color w:val="auto"/>
        </w:rPr>
      </w:pPr>
      <w:r>
        <w:rPr>
          <w:rFonts w:ascii="Arial" w:cs="Arial" w:eastAsia="Arial" w:hAnsi="Arial"/>
          <w:sz w:val="18"/>
          <w:szCs w:val="18"/>
          <w:color w:val="auto"/>
        </w:rPr>
        <w:t>The sources of income before income taxes are as follows:</w:t>
      </w:r>
    </w:p>
    <w:p>
      <w:pPr>
        <w:spacing w:after="0" w:line="351" w:lineRule="exact"/>
        <w:rPr>
          <w:sz w:val="20"/>
          <w:szCs w:val="20"/>
          <w:color w:val="auto"/>
        </w:rPr>
      </w:pPr>
    </w:p>
    <w:tbl>
      <w:tblPr>
        <w:tblLayout w:type="fixed"/>
        <w:tblInd w:w="1560" w:type="dxa"/>
        <w:tblCellMar>
          <w:top w:w="0" w:type="dxa"/>
          <w:left w:w="0" w:type="dxa"/>
          <w:bottom w:w="0" w:type="dxa"/>
          <w:right w:w="0" w:type="dxa"/>
        </w:tblCellMar>
      </w:tblPr>
      <w:tr>
        <w:trPr>
          <w:trHeight w:val="206"/>
        </w:trPr>
        <w:tc>
          <w:tcPr>
            <w:tcW w:w="3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ind w:left="40"/>
              <w:spacing w:after="0"/>
              <w:rPr>
                <w:sz w:val="20"/>
                <w:szCs w:val="20"/>
                <w:color w:val="auto"/>
              </w:rPr>
            </w:pPr>
            <w:r>
              <w:rPr>
                <w:rFonts w:ascii="Arial" w:cs="Arial" w:eastAsia="Arial" w:hAnsi="Arial"/>
                <w:sz w:val="16"/>
                <w:szCs w:val="16"/>
                <w:color w:val="auto"/>
              </w:rPr>
              <w:t>52-Weeks Ended</w:t>
            </w:r>
          </w:p>
        </w:tc>
        <w:tc>
          <w:tcPr>
            <w:tcW w:w="140" w:type="dxa"/>
            <w:vAlign w:val="bottom"/>
          </w:tcPr>
          <w:p>
            <w:pPr>
              <w:spacing w:after="0"/>
              <w:rPr>
                <w:sz w:val="17"/>
                <w:szCs w:val="17"/>
                <w:color w:val="auto"/>
              </w:rPr>
            </w:pPr>
          </w:p>
        </w:tc>
        <w:tc>
          <w:tcPr>
            <w:tcW w:w="1460" w:type="dxa"/>
            <w:vAlign w:val="bottom"/>
            <w:gridSpan w:val="2"/>
          </w:tcPr>
          <w:p>
            <w:pPr>
              <w:ind w:left="40"/>
              <w:spacing w:after="0"/>
              <w:rPr>
                <w:sz w:val="20"/>
                <w:szCs w:val="20"/>
                <w:color w:val="auto"/>
              </w:rPr>
            </w:pPr>
            <w:r>
              <w:rPr>
                <w:rFonts w:ascii="Arial" w:cs="Arial" w:eastAsia="Arial" w:hAnsi="Arial"/>
                <w:sz w:val="16"/>
                <w:szCs w:val="16"/>
                <w:color w:val="auto"/>
              </w:rPr>
              <w:t>52-Weeks Ended</w:t>
            </w:r>
          </w:p>
        </w:tc>
        <w:tc>
          <w:tcPr>
            <w:tcW w:w="140" w:type="dxa"/>
            <w:vAlign w:val="bottom"/>
          </w:tcPr>
          <w:p>
            <w:pPr>
              <w:spacing w:after="0"/>
              <w:rPr>
                <w:sz w:val="17"/>
                <w:szCs w:val="17"/>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color w:val="auto"/>
                <w:w w:val="91"/>
              </w:rPr>
              <w:t>53-Weeks Ended</w:t>
            </w:r>
          </w:p>
        </w:tc>
      </w:tr>
      <w:tr>
        <w:trPr>
          <w:trHeight w:val="273"/>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94"/>
              </w:rPr>
              <w:t>August 28, 2021</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94"/>
              </w:rPr>
              <w:t>August 29, 2020</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96"/>
              </w:rPr>
              <w:t>August 31, 2019</w:t>
            </w:r>
          </w:p>
        </w:tc>
      </w:tr>
      <w:tr>
        <w:trPr>
          <w:trHeight w:val="253"/>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Domestic</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79,526</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78,418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(8,565)</w:t>
            </w:r>
          </w:p>
        </w:tc>
      </w:tr>
      <w:tr>
        <w:trPr>
          <w:trHeight w:val="267"/>
        </w:trPr>
        <w:tc>
          <w:tcPr>
            <w:tcW w:w="34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Foreign</w:t>
            </w: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1,334</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546</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r>
      <w:tr>
        <w:trPr>
          <w:trHeight w:val="251"/>
        </w:trPr>
        <w:tc>
          <w:tcPr>
            <w:tcW w:w="3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income (loss) before income taxes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80,860</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78,964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(8,523)</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Income tax expense was comprised of the following:</w:t>
      </w:r>
    </w:p>
    <w:p>
      <w:pPr>
        <w:spacing w:after="0" w:line="351" w:lineRule="exact"/>
        <w:rPr>
          <w:sz w:val="20"/>
          <w:szCs w:val="20"/>
          <w:color w:val="auto"/>
        </w:rPr>
      </w:pPr>
    </w:p>
    <w:tbl>
      <w:tblPr>
        <w:tblLayout w:type="fixed"/>
        <w:tblInd w:w="1560" w:type="dxa"/>
        <w:tblCellMar>
          <w:top w:w="0" w:type="dxa"/>
          <w:left w:w="0" w:type="dxa"/>
          <w:bottom w:w="0" w:type="dxa"/>
          <w:right w:w="0" w:type="dxa"/>
        </w:tblCellMar>
      </w:tblPr>
      <w:tr>
        <w:trPr>
          <w:trHeight w:val="206"/>
        </w:trPr>
        <w:tc>
          <w:tcPr>
            <w:tcW w:w="3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ind w:left="40"/>
              <w:spacing w:after="0"/>
              <w:rPr>
                <w:sz w:val="20"/>
                <w:szCs w:val="20"/>
                <w:color w:val="auto"/>
              </w:rPr>
            </w:pPr>
            <w:r>
              <w:rPr>
                <w:rFonts w:ascii="Arial" w:cs="Arial" w:eastAsia="Arial" w:hAnsi="Arial"/>
                <w:sz w:val="16"/>
                <w:szCs w:val="16"/>
                <w:color w:val="auto"/>
              </w:rPr>
              <w:t>52-Weeks Ended</w:t>
            </w:r>
          </w:p>
        </w:tc>
        <w:tc>
          <w:tcPr>
            <w:tcW w:w="140" w:type="dxa"/>
            <w:vAlign w:val="bottom"/>
          </w:tcPr>
          <w:p>
            <w:pPr>
              <w:spacing w:after="0"/>
              <w:rPr>
                <w:sz w:val="17"/>
                <w:szCs w:val="17"/>
                <w:color w:val="auto"/>
              </w:rPr>
            </w:pPr>
          </w:p>
        </w:tc>
        <w:tc>
          <w:tcPr>
            <w:tcW w:w="1480" w:type="dxa"/>
            <w:vAlign w:val="bottom"/>
            <w:gridSpan w:val="2"/>
          </w:tcPr>
          <w:p>
            <w:pPr>
              <w:ind w:left="40"/>
              <w:spacing w:after="0"/>
              <w:rPr>
                <w:sz w:val="20"/>
                <w:szCs w:val="20"/>
                <w:color w:val="auto"/>
              </w:rPr>
            </w:pPr>
            <w:r>
              <w:rPr>
                <w:rFonts w:ascii="Arial" w:cs="Arial" w:eastAsia="Arial" w:hAnsi="Arial"/>
                <w:sz w:val="16"/>
                <w:szCs w:val="16"/>
                <w:color w:val="auto"/>
              </w:rPr>
              <w:t>52-Weeks Ended</w:t>
            </w:r>
          </w:p>
        </w:tc>
        <w:tc>
          <w:tcPr>
            <w:tcW w:w="140" w:type="dxa"/>
            <w:vAlign w:val="bottom"/>
          </w:tcPr>
          <w:p>
            <w:pPr>
              <w:spacing w:after="0"/>
              <w:rPr>
                <w:sz w:val="17"/>
                <w:szCs w:val="17"/>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color w:val="auto"/>
                <w:w w:val="91"/>
              </w:rPr>
              <w:t>53-Weeks Ended</w:t>
            </w:r>
          </w:p>
        </w:tc>
      </w:tr>
      <w:tr>
        <w:trPr>
          <w:trHeight w:val="273"/>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94"/>
              </w:rPr>
              <w:t>August 28, 2021</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96"/>
              </w:rPr>
              <w:t>August 29, 2020</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94"/>
              </w:rPr>
              <w:t>August 31, 2019</w:t>
            </w:r>
          </w:p>
        </w:tc>
      </w:tr>
      <w:tr>
        <w:trPr>
          <w:trHeight w:val="253"/>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Current: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67"/>
        </w:trPr>
        <w:tc>
          <w:tcPr>
            <w:tcW w:w="3440" w:type="dxa"/>
            <w:vAlign w:val="bottom"/>
            <w:gridSpan w:val="2"/>
          </w:tcPr>
          <w:p>
            <w:pPr>
              <w:ind w:left="140"/>
              <w:spacing w:after="0"/>
              <w:rPr>
                <w:sz w:val="20"/>
                <w:szCs w:val="20"/>
                <w:color w:val="auto"/>
              </w:rPr>
            </w:pPr>
            <w:r>
              <w:rPr>
                <w:rFonts w:ascii="Arial" w:cs="Arial" w:eastAsia="Arial" w:hAnsi="Arial"/>
                <w:sz w:val="16"/>
                <w:szCs w:val="16"/>
                <w:color w:val="auto"/>
              </w:rPr>
              <w:t>Federal</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23,225</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3,056</w:t>
            </w:r>
          </w:p>
        </w:tc>
        <w:tc>
          <w:tcPr>
            <w:tcW w:w="1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2,784</w:t>
            </w:r>
          </w:p>
        </w:tc>
      </w:tr>
      <w:tr>
        <w:trPr>
          <w:trHeight w:val="273"/>
        </w:trPr>
        <w:tc>
          <w:tcPr>
            <w:tcW w:w="34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State and local</w:t>
            </w: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5,800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1,835</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2,684</w:t>
            </w:r>
          </w:p>
        </w:tc>
      </w:tr>
      <w:tr>
        <w:trPr>
          <w:trHeight w:val="267"/>
        </w:trPr>
        <w:tc>
          <w:tcPr>
            <w:tcW w:w="344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Foreign</w:t>
            </w: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1,552</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w:t>
            </w:r>
          </w:p>
        </w:tc>
      </w:tr>
      <w:tr>
        <w:trPr>
          <w:trHeight w:val="253"/>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current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30,577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5,110</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5,842</w:t>
            </w:r>
          </w:p>
        </w:tc>
      </w:tr>
      <w:tr>
        <w:trPr>
          <w:trHeight w:val="270"/>
        </w:trPr>
        <w:tc>
          <w:tcPr>
            <w:tcW w:w="3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70"/>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Deferred:</w:t>
            </w: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67"/>
        </w:trPr>
        <w:tc>
          <w:tcPr>
            <w:tcW w:w="3440" w:type="dxa"/>
            <w:vAlign w:val="bottom"/>
            <w:gridSpan w:val="2"/>
          </w:tcPr>
          <w:p>
            <w:pPr>
              <w:ind w:left="140"/>
              <w:spacing w:after="0"/>
              <w:rPr>
                <w:sz w:val="20"/>
                <w:szCs w:val="20"/>
                <w:color w:val="auto"/>
              </w:rPr>
            </w:pPr>
            <w:r>
              <w:rPr>
                <w:rFonts w:ascii="Arial" w:cs="Arial" w:eastAsia="Arial" w:hAnsi="Arial"/>
                <w:sz w:val="16"/>
                <w:szCs w:val="16"/>
                <w:color w:val="auto"/>
              </w:rPr>
              <w:t>Federal</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5,982</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6,747</w:t>
            </w:r>
          </w:p>
        </w:tc>
        <w:tc>
          <w:tcPr>
            <w:tcW w:w="1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9,937</w:t>
            </w:r>
          </w:p>
        </w:tc>
      </w:tr>
      <w:tr>
        <w:trPr>
          <w:trHeight w:val="273"/>
        </w:trPr>
        <w:tc>
          <w:tcPr>
            <w:tcW w:w="34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State and local</w:t>
            </w: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3,096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1,637</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1,086</w:t>
            </w:r>
          </w:p>
        </w:tc>
      </w:tr>
      <w:tr>
        <w:trPr>
          <w:trHeight w:val="267"/>
        </w:trPr>
        <w:tc>
          <w:tcPr>
            <w:tcW w:w="344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Foreign</w:t>
            </w: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325</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w:t>
            </w:r>
          </w:p>
        </w:tc>
      </w:tr>
      <w:tr>
        <w:trPr>
          <w:trHeight w:val="250"/>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deferred income tax expense</w:t>
            </w: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9,403</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8,216</w:t>
            </w:r>
          </w:p>
        </w:tc>
        <w:tc>
          <w:tcPr>
            <w:tcW w:w="14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10,869</w:t>
            </w:r>
          </w:p>
        </w:tc>
      </w:tr>
      <w:tr>
        <w:trPr>
          <w:trHeight w:val="226"/>
        </w:trPr>
        <w:tc>
          <w:tcPr>
            <w:tcW w:w="3440" w:type="dxa"/>
            <w:vAlign w:val="bottom"/>
            <w:gridSpan w:val="2"/>
          </w:tcPr>
          <w:p>
            <w:pPr>
              <w:ind w:left="20"/>
              <w:spacing w:after="0"/>
              <w:rPr>
                <w:sz w:val="20"/>
                <w:szCs w:val="20"/>
                <w:color w:val="auto"/>
              </w:rPr>
            </w:pPr>
            <w:r>
              <w:rPr>
                <w:rFonts w:ascii="Arial" w:cs="Arial" w:eastAsia="Arial" w:hAnsi="Arial"/>
                <w:sz w:val="16"/>
                <w:szCs w:val="16"/>
                <w:color w:val="auto"/>
              </w:rPr>
              <w:t>Total tax expense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39,980</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13,326</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16,711</w:t>
            </w:r>
          </w:p>
        </w:tc>
      </w:tr>
      <w:tr>
        <w:trPr>
          <w:trHeight w:val="21"/>
        </w:trPr>
        <w:tc>
          <w:tcPr>
            <w:tcW w:w="3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 reconciliation of the federal statutory income tax rate to the effective income tax rate is as follows:</w:t>
      </w:r>
    </w:p>
    <w:p>
      <w:pPr>
        <w:spacing w:after="0" w:line="351" w:lineRule="exact"/>
        <w:rPr>
          <w:sz w:val="20"/>
          <w:szCs w:val="20"/>
          <w:color w:val="auto"/>
        </w:rPr>
      </w:pPr>
    </w:p>
    <w:tbl>
      <w:tblPr>
        <w:tblLayout w:type="fixed"/>
        <w:tblInd w:w="1560" w:type="dxa"/>
        <w:tblCellMar>
          <w:top w:w="0" w:type="dxa"/>
          <w:left w:w="0" w:type="dxa"/>
          <w:bottom w:w="0" w:type="dxa"/>
          <w:right w:w="0" w:type="dxa"/>
        </w:tblCellMar>
      </w:tblPr>
      <w:tr>
        <w:trPr>
          <w:trHeight w:val="206"/>
        </w:trPr>
        <w:tc>
          <w:tcPr>
            <w:tcW w:w="3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gridSpan w:val="2"/>
          </w:tcPr>
          <w:p>
            <w:pPr>
              <w:ind w:left="180"/>
              <w:spacing w:after="0"/>
              <w:rPr>
                <w:sz w:val="20"/>
                <w:szCs w:val="20"/>
                <w:color w:val="auto"/>
              </w:rPr>
            </w:pPr>
            <w:r>
              <w:rPr>
                <w:rFonts w:ascii="Arial" w:cs="Arial" w:eastAsia="Arial" w:hAnsi="Arial"/>
                <w:sz w:val="16"/>
                <w:szCs w:val="16"/>
                <w:color w:val="auto"/>
              </w:rPr>
              <w:t>52-Weeks Ended</w:t>
            </w:r>
          </w:p>
        </w:tc>
        <w:tc>
          <w:tcPr>
            <w:tcW w:w="1620" w:type="dxa"/>
            <w:vAlign w:val="bottom"/>
            <w:gridSpan w:val="2"/>
          </w:tcPr>
          <w:p>
            <w:pPr>
              <w:ind w:left="180"/>
              <w:spacing w:after="0"/>
              <w:rPr>
                <w:sz w:val="20"/>
                <w:szCs w:val="20"/>
                <w:color w:val="auto"/>
              </w:rPr>
            </w:pPr>
            <w:r>
              <w:rPr>
                <w:rFonts w:ascii="Arial" w:cs="Arial" w:eastAsia="Arial" w:hAnsi="Arial"/>
                <w:sz w:val="16"/>
                <w:szCs w:val="16"/>
                <w:color w:val="auto"/>
              </w:rPr>
              <w:t>52-Weeks Ended</w:t>
            </w:r>
          </w:p>
        </w:tc>
        <w:tc>
          <w:tcPr>
            <w:tcW w:w="1500" w:type="dxa"/>
            <w:vAlign w:val="bottom"/>
          </w:tcPr>
          <w:p>
            <w:pPr>
              <w:jc w:val="right"/>
              <w:ind w:right="119"/>
              <w:spacing w:after="0"/>
              <w:rPr>
                <w:sz w:val="20"/>
                <w:szCs w:val="20"/>
                <w:color w:val="auto"/>
              </w:rPr>
            </w:pPr>
            <w:r>
              <w:rPr>
                <w:rFonts w:ascii="Arial" w:cs="Arial" w:eastAsia="Arial" w:hAnsi="Arial"/>
                <w:sz w:val="16"/>
                <w:szCs w:val="16"/>
                <w:color w:val="auto"/>
              </w:rPr>
              <w:t>53-Weeks Ended</w:t>
            </w:r>
          </w:p>
        </w:tc>
      </w:tr>
      <w:tr>
        <w:trPr>
          <w:trHeight w:val="273"/>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Borders>
              <w:bottom w:val="single" w:sz="8" w:color="CCEEFF"/>
            </w:tcBorders>
          </w:tcPr>
          <w:p>
            <w:pPr>
              <w:spacing w:after="0"/>
              <w:rPr>
                <w:sz w:val="23"/>
                <w:szCs w:val="23"/>
                <w:color w:val="auto"/>
              </w:rPr>
            </w:pPr>
          </w:p>
        </w:tc>
        <w:tc>
          <w:tcPr>
            <w:tcW w:w="14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August 28, 2021</w:t>
            </w:r>
          </w:p>
        </w:tc>
        <w:tc>
          <w:tcPr>
            <w:tcW w:w="140" w:type="dxa"/>
            <w:vAlign w:val="bottom"/>
            <w:tcBorders>
              <w:bottom w:val="single" w:sz="8" w:color="CCEEFF"/>
            </w:tcBorders>
          </w:tcPr>
          <w:p>
            <w:pPr>
              <w:spacing w:after="0"/>
              <w:rPr>
                <w:sz w:val="23"/>
                <w:szCs w:val="23"/>
                <w:color w:val="auto"/>
              </w:rPr>
            </w:pPr>
          </w:p>
        </w:tc>
        <w:tc>
          <w:tcPr>
            <w:tcW w:w="14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August 29, 2020</w:t>
            </w:r>
          </w:p>
        </w:tc>
        <w:tc>
          <w:tcPr>
            <w:tcW w:w="140" w:type="dxa"/>
            <w:vAlign w:val="bottom"/>
            <w:tcBorders>
              <w:bottom w:val="single" w:sz="8" w:color="CCEEFF"/>
            </w:tcBorders>
          </w:tcPr>
          <w:p>
            <w:pPr>
              <w:spacing w:after="0"/>
              <w:rPr>
                <w:sz w:val="23"/>
                <w:szCs w:val="23"/>
                <w:color w:val="auto"/>
              </w:rPr>
            </w:pPr>
          </w:p>
        </w:tc>
        <w:tc>
          <w:tcPr>
            <w:tcW w:w="15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August 31, 2019</w:t>
            </w:r>
          </w:p>
        </w:tc>
      </w:tr>
      <w:tr>
        <w:trPr>
          <w:trHeight w:val="253"/>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Statutory income tax expense:</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4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4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r>
      <w:tr>
        <w:trPr>
          <w:trHeight w:val="267"/>
        </w:trPr>
        <w:tc>
          <w:tcPr>
            <w:tcW w:w="3400" w:type="dxa"/>
            <w:vAlign w:val="bottom"/>
            <w:gridSpan w:val="2"/>
          </w:tcPr>
          <w:p>
            <w:pPr>
              <w:ind w:left="140"/>
              <w:spacing w:after="0"/>
              <w:rPr>
                <w:sz w:val="20"/>
                <w:szCs w:val="20"/>
                <w:color w:val="auto"/>
              </w:rPr>
            </w:pPr>
            <w:r>
              <w:rPr>
                <w:rFonts w:ascii="Arial" w:cs="Arial" w:eastAsia="Arial" w:hAnsi="Arial"/>
                <w:sz w:val="16"/>
                <w:szCs w:val="16"/>
                <w:color w:val="auto"/>
              </w:rPr>
              <w:t>Change in fair value of warrant liabilities</w:t>
            </w:r>
          </w:p>
        </w:tc>
        <w:tc>
          <w:tcPr>
            <w:tcW w:w="1480" w:type="dxa"/>
            <w:vAlign w:val="bottom"/>
          </w:tcPr>
          <w:p>
            <w:pPr>
              <w:jc w:val="right"/>
              <w:ind w:right="119"/>
              <w:spacing w:after="0"/>
              <w:rPr>
                <w:sz w:val="20"/>
                <w:szCs w:val="20"/>
                <w:color w:val="auto"/>
              </w:rPr>
            </w:pPr>
            <w:r>
              <w:rPr>
                <w:rFonts w:ascii="Arial" w:cs="Arial" w:eastAsia="Arial" w:hAnsi="Arial"/>
                <w:sz w:val="16"/>
                <w:szCs w:val="16"/>
                <w:color w:val="auto"/>
              </w:rPr>
              <w:t>20.5</w:t>
            </w:r>
          </w:p>
        </w:tc>
        <w:tc>
          <w:tcPr>
            <w:tcW w:w="140" w:type="dxa"/>
            <w:vAlign w:val="bottom"/>
          </w:tcPr>
          <w:p>
            <w:pPr>
              <w:spacing w:after="0"/>
              <w:rPr>
                <w:sz w:val="23"/>
                <w:szCs w:val="23"/>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(10.8)</w:t>
            </w:r>
          </w:p>
        </w:tc>
        <w:tc>
          <w:tcPr>
            <w:tcW w:w="140" w:type="dxa"/>
            <w:vAlign w:val="bottom"/>
          </w:tcPr>
          <w:p>
            <w:pPr>
              <w:spacing w:after="0"/>
              <w:rPr>
                <w:sz w:val="23"/>
                <w:szCs w:val="23"/>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(222.2)</w:t>
            </w:r>
          </w:p>
        </w:tc>
      </w:tr>
      <w:tr>
        <w:trPr>
          <w:trHeight w:val="273"/>
        </w:trPr>
        <w:tc>
          <w:tcPr>
            <w:tcW w:w="34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State income tax expense, net of federal</w:t>
            </w:r>
          </w:p>
        </w:tc>
        <w:tc>
          <w:tcPr>
            <w:tcW w:w="14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4.3</w:t>
            </w: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5.0</w:t>
            </w:r>
          </w:p>
        </w:tc>
        <w:tc>
          <w:tcPr>
            <w:tcW w:w="14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3.9</w:t>
            </w:r>
          </w:p>
        </w:tc>
      </w:tr>
      <w:tr>
        <w:trPr>
          <w:trHeight w:val="267"/>
        </w:trPr>
        <w:tc>
          <w:tcPr>
            <w:tcW w:w="3400" w:type="dxa"/>
            <w:vAlign w:val="bottom"/>
            <w:gridSpan w:val="2"/>
          </w:tcPr>
          <w:p>
            <w:pPr>
              <w:ind w:left="140"/>
              <w:spacing w:after="0"/>
              <w:rPr>
                <w:sz w:val="20"/>
                <w:szCs w:val="20"/>
                <w:color w:val="auto"/>
              </w:rPr>
            </w:pPr>
            <w:r>
              <w:rPr>
                <w:rFonts w:ascii="Arial" w:cs="Arial" w:eastAsia="Arial" w:hAnsi="Arial"/>
                <w:sz w:val="16"/>
                <w:szCs w:val="16"/>
                <w:color w:val="auto"/>
              </w:rPr>
              <w:t>Valuation allowance</w:t>
            </w: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(1.2)</w:t>
            </w:r>
          </w:p>
        </w:tc>
        <w:tc>
          <w:tcPr>
            <w:tcW w:w="140" w:type="dxa"/>
            <w:vAlign w:val="bottom"/>
          </w:tcPr>
          <w:p>
            <w:pPr>
              <w:spacing w:after="0"/>
              <w:rPr>
                <w:sz w:val="23"/>
                <w:szCs w:val="23"/>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(1.2)</w:t>
            </w:r>
          </w:p>
        </w:tc>
        <w:tc>
          <w:tcPr>
            <w:tcW w:w="140" w:type="dxa"/>
            <w:vAlign w:val="bottom"/>
          </w:tcPr>
          <w:p>
            <w:pPr>
              <w:spacing w:after="0"/>
              <w:rPr>
                <w:sz w:val="23"/>
                <w:szCs w:val="23"/>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(0.6)</w:t>
            </w:r>
          </w:p>
        </w:tc>
      </w:tr>
      <w:tr>
        <w:trPr>
          <w:trHeight w:val="273"/>
        </w:trPr>
        <w:tc>
          <w:tcPr>
            <w:tcW w:w="34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Taxes on foreign income above the U.S. tax</w:t>
            </w:r>
          </w:p>
        </w:tc>
        <w:tc>
          <w:tcPr>
            <w:tcW w:w="14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w:t>
            </w: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0.1</w:t>
            </w:r>
          </w:p>
        </w:tc>
        <w:tc>
          <w:tcPr>
            <w:tcW w:w="14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0.2</w:t>
            </w:r>
          </w:p>
        </w:tc>
      </w:tr>
      <w:tr>
        <w:trPr>
          <w:trHeight w:val="267"/>
        </w:trPr>
        <w:tc>
          <w:tcPr>
            <w:tcW w:w="3400" w:type="dxa"/>
            <w:vAlign w:val="bottom"/>
            <w:gridSpan w:val="2"/>
          </w:tcPr>
          <w:p>
            <w:pPr>
              <w:ind w:left="140"/>
              <w:spacing w:after="0"/>
              <w:rPr>
                <w:sz w:val="20"/>
                <w:szCs w:val="20"/>
                <w:color w:val="auto"/>
              </w:rPr>
            </w:pPr>
            <w:r>
              <w:rPr>
                <w:rFonts w:ascii="Arial" w:cs="Arial" w:eastAsia="Arial" w:hAnsi="Arial"/>
                <w:sz w:val="16"/>
                <w:szCs w:val="16"/>
                <w:color w:val="auto"/>
              </w:rPr>
              <w:t>Change in tax rate</w:t>
            </w:r>
          </w:p>
        </w:tc>
        <w:tc>
          <w:tcPr>
            <w:tcW w:w="1480" w:type="dxa"/>
            <w:vAlign w:val="bottom"/>
          </w:tcPr>
          <w:p>
            <w:pPr>
              <w:jc w:val="right"/>
              <w:ind w:right="119"/>
              <w:spacing w:after="0"/>
              <w:rPr>
                <w:sz w:val="20"/>
                <w:szCs w:val="20"/>
                <w:color w:val="auto"/>
              </w:rPr>
            </w:pPr>
            <w:r>
              <w:rPr>
                <w:rFonts w:ascii="Arial" w:cs="Arial" w:eastAsia="Arial" w:hAnsi="Arial"/>
                <w:sz w:val="16"/>
                <w:szCs w:val="16"/>
                <w:color w:val="auto"/>
              </w:rPr>
              <w:t>1.8</w:t>
            </w:r>
          </w:p>
        </w:tc>
        <w:tc>
          <w:tcPr>
            <w:tcW w:w="140" w:type="dxa"/>
            <w:vAlign w:val="bottom"/>
          </w:tcPr>
          <w:p>
            <w:pPr>
              <w:spacing w:after="0"/>
              <w:rPr>
                <w:sz w:val="23"/>
                <w:szCs w:val="23"/>
                <w:color w:val="auto"/>
              </w:rPr>
            </w:pPr>
          </w:p>
        </w:tc>
        <w:tc>
          <w:tcPr>
            <w:tcW w:w="1480" w:type="dxa"/>
            <w:vAlign w:val="bottom"/>
          </w:tcPr>
          <w:p>
            <w:pPr>
              <w:jc w:val="right"/>
              <w:ind w:right="119"/>
              <w:spacing w:after="0"/>
              <w:rPr>
                <w:sz w:val="20"/>
                <w:szCs w:val="20"/>
                <w:color w:val="auto"/>
              </w:rPr>
            </w:pPr>
            <w:r>
              <w:rPr>
                <w:rFonts w:ascii="Arial" w:cs="Arial" w:eastAsia="Arial" w:hAnsi="Arial"/>
                <w:sz w:val="16"/>
                <w:szCs w:val="16"/>
                <w:color w:val="auto"/>
              </w:rPr>
              <w:t>1.5</w:t>
            </w:r>
          </w:p>
        </w:tc>
        <w:tc>
          <w:tcPr>
            <w:tcW w:w="140" w:type="dxa"/>
            <w:vAlign w:val="bottom"/>
          </w:tcPr>
          <w:p>
            <w:pPr>
              <w:spacing w:after="0"/>
              <w:rPr>
                <w:sz w:val="23"/>
                <w:szCs w:val="23"/>
                <w:color w:val="auto"/>
              </w:rPr>
            </w:pPr>
          </w:p>
        </w:tc>
        <w:tc>
          <w:tcPr>
            <w:tcW w:w="1500" w:type="dxa"/>
            <w:vAlign w:val="bottom"/>
          </w:tcPr>
          <w:p>
            <w:pPr>
              <w:jc w:val="right"/>
              <w:ind w:right="119"/>
              <w:spacing w:after="0"/>
              <w:rPr>
                <w:sz w:val="20"/>
                <w:szCs w:val="20"/>
                <w:color w:val="auto"/>
              </w:rPr>
            </w:pPr>
            <w:r>
              <w:rPr>
                <w:rFonts w:ascii="Arial" w:cs="Arial" w:eastAsia="Arial" w:hAnsi="Arial"/>
                <w:sz w:val="16"/>
                <w:szCs w:val="16"/>
                <w:color w:val="auto"/>
              </w:rPr>
              <w:t>1.5</w:t>
            </w:r>
          </w:p>
        </w:tc>
      </w:tr>
      <w:tr>
        <w:trPr>
          <w:trHeight w:val="273"/>
        </w:trPr>
        <w:tc>
          <w:tcPr>
            <w:tcW w:w="34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Non-deductible transaction costs</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0.1</w:t>
            </w:r>
          </w:p>
        </w:tc>
        <w:tc>
          <w:tcPr>
            <w:tcW w:w="14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r>
      <w:tr>
        <w:trPr>
          <w:trHeight w:val="267"/>
        </w:trPr>
        <w:tc>
          <w:tcPr>
            <w:tcW w:w="3400" w:type="dxa"/>
            <w:vAlign w:val="bottom"/>
            <w:gridSpan w:val="2"/>
          </w:tcPr>
          <w:p>
            <w:pPr>
              <w:ind w:left="140"/>
              <w:spacing w:after="0"/>
              <w:rPr>
                <w:sz w:val="20"/>
                <w:szCs w:val="20"/>
                <w:color w:val="auto"/>
              </w:rPr>
            </w:pPr>
            <w:r>
              <w:rPr>
                <w:rFonts w:ascii="Arial" w:cs="Arial" w:eastAsia="Arial" w:hAnsi="Arial"/>
                <w:sz w:val="16"/>
                <w:szCs w:val="16"/>
                <w:color w:val="auto"/>
              </w:rPr>
              <w:t>TRA contingent consideration</w:t>
            </w:r>
          </w:p>
        </w:tc>
        <w:tc>
          <w:tcPr>
            <w:tcW w:w="16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(0.4)</w:t>
            </w:r>
          </w:p>
        </w:tc>
      </w:tr>
      <w:tr>
        <w:trPr>
          <w:trHeight w:val="270"/>
        </w:trPr>
        <w:tc>
          <w:tcPr>
            <w:tcW w:w="34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Other permanent items</w:t>
            </w:r>
          </w:p>
        </w:tc>
        <w:tc>
          <w:tcPr>
            <w:tcW w:w="14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1.4</w:t>
            </w:r>
          </w:p>
        </w:tc>
        <w:tc>
          <w:tcPr>
            <w:tcW w:w="14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1.2</w:t>
            </w:r>
          </w:p>
        </w:tc>
        <w:tc>
          <w:tcPr>
            <w:tcW w:w="140" w:type="dxa"/>
            <w:vAlign w:val="bottom"/>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0.5</w:t>
            </w:r>
          </w:p>
        </w:tc>
      </w:tr>
      <w:tr>
        <w:trPr>
          <w:trHeight w:val="226"/>
        </w:trPr>
        <w:tc>
          <w:tcPr>
            <w:tcW w:w="3400" w:type="dxa"/>
            <w:vAlign w:val="bottom"/>
            <w:gridSpan w:val="2"/>
          </w:tcPr>
          <w:p>
            <w:pPr>
              <w:ind w:left="20"/>
              <w:spacing w:after="0"/>
              <w:rPr>
                <w:sz w:val="20"/>
                <w:szCs w:val="20"/>
                <w:color w:val="auto"/>
              </w:rPr>
            </w:pPr>
            <w:r>
              <w:rPr>
                <w:rFonts w:ascii="Arial" w:cs="Arial" w:eastAsia="Arial" w:hAnsi="Arial"/>
                <w:sz w:val="16"/>
                <w:szCs w:val="16"/>
                <w:color w:val="auto"/>
              </w:rPr>
              <w:t>Income tax expense (benefit)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49.4 %</w:t>
            </w:r>
          </w:p>
        </w:tc>
        <w:tc>
          <w:tcPr>
            <w:tcW w:w="14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16.9 %</w:t>
            </w:r>
          </w:p>
        </w:tc>
        <w:tc>
          <w:tcPr>
            <w:tcW w:w="14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(196.1)%</w:t>
            </w:r>
          </w:p>
        </w:tc>
      </w:tr>
      <w:tr>
        <w:trPr>
          <w:trHeight w:val="21"/>
        </w:trPr>
        <w:tc>
          <w:tcPr>
            <w:tcW w:w="3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right="20" w:firstLine="193"/>
        <w:spacing w:after="0" w:line="277" w:lineRule="auto"/>
        <w:rPr>
          <w:sz w:val="20"/>
          <w:szCs w:val="20"/>
          <w:color w:val="auto"/>
        </w:rPr>
      </w:pPr>
      <w:r>
        <w:rPr>
          <w:rFonts w:ascii="Arial" w:cs="Arial" w:eastAsia="Arial" w:hAnsi="Arial"/>
          <w:sz w:val="18"/>
          <w:szCs w:val="18"/>
          <w:color w:val="auto"/>
        </w:rPr>
        <w:t>The tax effects of temporary differences that gave rise to significant portions of the deferred tax assets and liabilities at August 28, 2021 and August 29, 2020 were as follows:</w:t>
      </w:r>
    </w:p>
    <w:p>
      <w:pPr>
        <w:spacing w:after="0" w:line="242" w:lineRule="exact"/>
        <w:rPr>
          <w:sz w:val="20"/>
          <w:szCs w:val="20"/>
          <w:color w:val="auto"/>
        </w:rPr>
      </w:pPr>
    </w:p>
    <w:tbl>
      <w:tblPr>
        <w:tblLayout w:type="fixed"/>
        <w:tblInd w:w="2320" w:type="dxa"/>
        <w:tblCellMar>
          <w:top w:w="0" w:type="dxa"/>
          <w:left w:w="0" w:type="dxa"/>
          <w:bottom w:w="0" w:type="dxa"/>
          <w:right w:w="0" w:type="dxa"/>
        </w:tblCellMar>
      </w:tblPr>
      <w:tr>
        <w:trPr>
          <w:trHeight w:val="206"/>
        </w:trPr>
        <w:tc>
          <w:tcPr>
            <w:tcW w:w="3380" w:type="dxa"/>
            <w:vAlign w:val="bottom"/>
            <w:vMerge w:val="restart"/>
          </w:tcPr>
          <w:p>
            <w:pPr>
              <w:spacing w:after="0"/>
              <w:rPr>
                <w:sz w:val="20"/>
                <w:szCs w:val="20"/>
                <w:color w:val="auto"/>
              </w:rPr>
            </w:pPr>
            <w:r>
              <w:rPr>
                <w:rFonts w:ascii="Arial" w:cs="Arial" w:eastAsia="Arial" w:hAnsi="Arial"/>
                <w:sz w:val="16"/>
                <w:szCs w:val="16"/>
                <w:i w:val="1"/>
                <w:iCs w:val="1"/>
                <w:color w:val="auto"/>
              </w:rPr>
              <w:t>(In thousands)</w:t>
            </w:r>
          </w:p>
        </w:tc>
        <w:tc>
          <w:tcPr>
            <w:tcW w:w="12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ind w:left="40"/>
              <w:spacing w:after="0"/>
              <w:rPr>
                <w:sz w:val="20"/>
                <w:szCs w:val="20"/>
                <w:color w:val="auto"/>
              </w:rPr>
            </w:pPr>
            <w:r>
              <w:rPr>
                <w:rFonts w:ascii="Arial" w:cs="Arial" w:eastAsia="Arial" w:hAnsi="Arial"/>
                <w:sz w:val="16"/>
                <w:szCs w:val="16"/>
                <w:color w:val="auto"/>
              </w:rPr>
              <w:t>August 28, 2021</w:t>
            </w:r>
          </w:p>
        </w:tc>
        <w:tc>
          <w:tcPr>
            <w:tcW w:w="160" w:type="dxa"/>
            <w:vAlign w:val="bottom"/>
          </w:tcPr>
          <w:p>
            <w:pPr>
              <w:spacing w:after="0"/>
              <w:rPr>
                <w:sz w:val="17"/>
                <w:szCs w:val="17"/>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w w:val="94"/>
              </w:rPr>
              <w:t>August 29, 2020</w:t>
            </w:r>
          </w:p>
        </w:tc>
        <w:tc>
          <w:tcPr>
            <w:tcW w:w="0" w:type="dxa"/>
            <w:vAlign w:val="bottom"/>
          </w:tcPr>
          <w:p>
            <w:pPr>
              <w:spacing w:after="0"/>
              <w:rPr>
                <w:sz w:val="1"/>
                <w:szCs w:val="1"/>
                <w:color w:val="auto"/>
              </w:rPr>
            </w:pPr>
          </w:p>
        </w:tc>
      </w:tr>
      <w:tr>
        <w:trPr>
          <w:trHeight w:val="57"/>
        </w:trPr>
        <w:tc>
          <w:tcPr>
            <w:tcW w:w="338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CCEEFF"/>
            </w:tcBorders>
            <w:vMerge w:val="continue"/>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3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Deferred tax assets</w:t>
            </w: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3500" w:type="dxa"/>
            <w:vAlign w:val="bottom"/>
            <w:gridSpan w:val="2"/>
          </w:tcPr>
          <w:p>
            <w:pPr>
              <w:ind w:left="160"/>
              <w:spacing w:after="0"/>
              <w:rPr>
                <w:sz w:val="20"/>
                <w:szCs w:val="20"/>
                <w:color w:val="auto"/>
              </w:rPr>
            </w:pPr>
            <w:r>
              <w:rPr>
                <w:rFonts w:ascii="Arial" w:cs="Arial" w:eastAsia="Arial" w:hAnsi="Arial"/>
                <w:sz w:val="16"/>
                <w:szCs w:val="16"/>
                <w:color w:val="auto"/>
              </w:rPr>
              <w:t>Accounts receivable allowances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2,353</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2,427</w:t>
            </w:r>
          </w:p>
        </w:tc>
        <w:tc>
          <w:tcPr>
            <w:tcW w:w="0" w:type="dxa"/>
            <w:vAlign w:val="bottom"/>
          </w:tcPr>
          <w:p>
            <w:pPr>
              <w:spacing w:after="0"/>
              <w:rPr>
                <w:sz w:val="1"/>
                <w:szCs w:val="1"/>
                <w:color w:val="auto"/>
              </w:rPr>
            </w:pPr>
          </w:p>
        </w:tc>
      </w:tr>
      <w:tr>
        <w:trPr>
          <w:trHeight w:val="273"/>
        </w:trPr>
        <w:tc>
          <w:tcPr>
            <w:tcW w:w="35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Inventories write-downs</w:t>
            </w: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67"/>
        </w:trPr>
        <w:tc>
          <w:tcPr>
            <w:tcW w:w="3500" w:type="dxa"/>
            <w:vAlign w:val="bottom"/>
            <w:gridSpan w:val="2"/>
          </w:tcPr>
          <w:p>
            <w:pPr>
              <w:ind w:left="160"/>
              <w:spacing w:after="0"/>
              <w:rPr>
                <w:sz w:val="20"/>
                <w:szCs w:val="20"/>
                <w:color w:val="auto"/>
              </w:rPr>
            </w:pPr>
            <w:r>
              <w:rPr>
                <w:rFonts w:ascii="Arial" w:cs="Arial" w:eastAsia="Arial" w:hAnsi="Arial"/>
                <w:sz w:val="16"/>
                <w:szCs w:val="16"/>
                <w:color w:val="auto"/>
              </w:rPr>
              <w:t>Accrued expenses</w:t>
            </w:r>
          </w:p>
        </w:tc>
        <w:tc>
          <w:tcPr>
            <w:tcW w:w="160" w:type="dxa"/>
            <w:vAlign w:val="bottom"/>
          </w:tcPr>
          <w:p>
            <w:pPr>
              <w:spacing w:after="0"/>
              <w:rPr>
                <w:sz w:val="23"/>
                <w:szCs w:val="23"/>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4,089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3,968</w:t>
            </w:r>
          </w:p>
        </w:tc>
        <w:tc>
          <w:tcPr>
            <w:tcW w:w="0" w:type="dxa"/>
            <w:vAlign w:val="bottom"/>
          </w:tcPr>
          <w:p>
            <w:pPr>
              <w:spacing w:after="0"/>
              <w:rPr>
                <w:sz w:val="1"/>
                <w:szCs w:val="1"/>
                <w:color w:val="auto"/>
              </w:rPr>
            </w:pPr>
          </w:p>
        </w:tc>
      </w:tr>
      <w:tr>
        <w:trPr>
          <w:trHeight w:val="273"/>
        </w:trPr>
        <w:tc>
          <w:tcPr>
            <w:tcW w:w="35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Net operating loss carryforwards</w:t>
            </w: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2,394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3,837</w:t>
            </w:r>
          </w:p>
        </w:tc>
        <w:tc>
          <w:tcPr>
            <w:tcW w:w="0" w:type="dxa"/>
            <w:vAlign w:val="bottom"/>
          </w:tcPr>
          <w:p>
            <w:pPr>
              <w:spacing w:after="0"/>
              <w:rPr>
                <w:sz w:val="1"/>
                <w:szCs w:val="1"/>
                <w:color w:val="auto"/>
              </w:rPr>
            </w:pPr>
          </w:p>
        </w:tc>
      </w:tr>
      <w:tr>
        <w:trPr>
          <w:trHeight w:val="267"/>
        </w:trPr>
        <w:tc>
          <w:tcPr>
            <w:tcW w:w="3500" w:type="dxa"/>
            <w:vAlign w:val="bottom"/>
            <w:gridSpan w:val="2"/>
          </w:tcPr>
          <w:p>
            <w:pPr>
              <w:ind w:left="160"/>
              <w:spacing w:after="0"/>
              <w:rPr>
                <w:sz w:val="20"/>
                <w:szCs w:val="20"/>
                <w:color w:val="auto"/>
              </w:rPr>
            </w:pPr>
            <w:r>
              <w:rPr>
                <w:rFonts w:ascii="Arial" w:cs="Arial" w:eastAsia="Arial" w:hAnsi="Arial"/>
                <w:sz w:val="16"/>
                <w:szCs w:val="16"/>
                <w:color w:val="auto"/>
              </w:rPr>
              <w:t>Share-based compensation</w:t>
            </w:r>
          </w:p>
        </w:tc>
        <w:tc>
          <w:tcPr>
            <w:tcW w:w="160" w:type="dxa"/>
            <w:vAlign w:val="bottom"/>
          </w:tcPr>
          <w:p>
            <w:pPr>
              <w:spacing w:after="0"/>
              <w:rPr>
                <w:sz w:val="23"/>
                <w:szCs w:val="23"/>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3,265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2,770</w:t>
            </w:r>
          </w:p>
        </w:tc>
        <w:tc>
          <w:tcPr>
            <w:tcW w:w="0" w:type="dxa"/>
            <w:vAlign w:val="bottom"/>
          </w:tcPr>
          <w:p>
            <w:pPr>
              <w:spacing w:after="0"/>
              <w:rPr>
                <w:sz w:val="1"/>
                <w:szCs w:val="1"/>
                <w:color w:val="auto"/>
              </w:rPr>
            </w:pPr>
          </w:p>
        </w:tc>
      </w:tr>
      <w:tr>
        <w:trPr>
          <w:trHeight w:val="273"/>
        </w:trPr>
        <w:tc>
          <w:tcPr>
            <w:tcW w:w="35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Tax credits</w:t>
            </w: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0" w:type="dxa"/>
            <w:vAlign w:val="bottom"/>
          </w:tcPr>
          <w:p>
            <w:pPr>
              <w:spacing w:after="0"/>
              <w:rPr>
                <w:sz w:val="1"/>
                <w:szCs w:val="1"/>
                <w:color w:val="auto"/>
              </w:rPr>
            </w:pPr>
          </w:p>
        </w:tc>
      </w:tr>
      <w:tr>
        <w:trPr>
          <w:trHeight w:val="267"/>
        </w:trPr>
        <w:tc>
          <w:tcPr>
            <w:tcW w:w="3500" w:type="dxa"/>
            <w:vAlign w:val="bottom"/>
            <w:gridSpan w:val="2"/>
          </w:tcPr>
          <w:p>
            <w:pPr>
              <w:ind w:left="160"/>
              <w:spacing w:after="0"/>
              <w:rPr>
                <w:sz w:val="20"/>
                <w:szCs w:val="20"/>
                <w:color w:val="auto"/>
              </w:rPr>
            </w:pPr>
            <w:r>
              <w:rPr>
                <w:rFonts w:ascii="Arial" w:cs="Arial" w:eastAsia="Arial" w:hAnsi="Arial"/>
                <w:sz w:val="16"/>
                <w:szCs w:val="16"/>
                <w:color w:val="auto"/>
              </w:rPr>
              <w:t>Lease liabilities</w:t>
            </w:r>
          </w:p>
        </w:tc>
        <w:tc>
          <w:tcPr>
            <w:tcW w:w="160" w:type="dxa"/>
            <w:vAlign w:val="bottom"/>
          </w:tcPr>
          <w:p>
            <w:pPr>
              <w:spacing w:after="0"/>
              <w:rPr>
                <w:sz w:val="23"/>
                <w:szCs w:val="23"/>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12,271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6,785</w:t>
            </w:r>
          </w:p>
        </w:tc>
        <w:tc>
          <w:tcPr>
            <w:tcW w:w="0" w:type="dxa"/>
            <w:vAlign w:val="bottom"/>
          </w:tcPr>
          <w:p>
            <w:pPr>
              <w:spacing w:after="0"/>
              <w:rPr>
                <w:sz w:val="1"/>
                <w:szCs w:val="1"/>
                <w:color w:val="auto"/>
              </w:rPr>
            </w:pPr>
          </w:p>
        </w:tc>
      </w:tr>
      <w:tr>
        <w:trPr>
          <w:trHeight w:val="270"/>
        </w:trPr>
        <w:tc>
          <w:tcPr>
            <w:tcW w:w="35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5,665</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3,714</w:t>
            </w:r>
          </w:p>
        </w:tc>
        <w:tc>
          <w:tcPr>
            <w:tcW w:w="0" w:type="dxa"/>
            <w:vAlign w:val="bottom"/>
          </w:tcPr>
          <w:p>
            <w:pPr>
              <w:spacing w:after="0"/>
              <w:rPr>
                <w:sz w:val="1"/>
                <w:szCs w:val="1"/>
                <w:color w:val="auto"/>
              </w:rPr>
            </w:pPr>
          </w:p>
        </w:tc>
      </w:tr>
      <w:tr>
        <w:trPr>
          <w:trHeight w:val="250"/>
        </w:trPr>
        <w:tc>
          <w:tcPr>
            <w:tcW w:w="3500" w:type="dxa"/>
            <w:vAlign w:val="bottom"/>
            <w:gridSpan w:val="2"/>
          </w:tcPr>
          <w:p>
            <w:pPr>
              <w:spacing w:after="0"/>
              <w:rPr>
                <w:sz w:val="20"/>
                <w:szCs w:val="20"/>
                <w:color w:val="auto"/>
              </w:rPr>
            </w:pPr>
            <w:r>
              <w:rPr>
                <w:rFonts w:ascii="Arial" w:cs="Arial" w:eastAsia="Arial" w:hAnsi="Arial"/>
                <w:sz w:val="16"/>
                <w:szCs w:val="16"/>
                <w:color w:val="auto"/>
              </w:rPr>
              <w:t>Deferred tax assets</w:t>
            </w:r>
          </w:p>
        </w:tc>
        <w:tc>
          <w:tcPr>
            <w:tcW w:w="160" w:type="dxa"/>
            <w:vAlign w:val="bottom"/>
          </w:tcPr>
          <w:p>
            <w:pPr>
              <w:spacing w:after="0"/>
              <w:rPr>
                <w:sz w:val="21"/>
                <w:szCs w:val="21"/>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30,281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23,849</w:t>
            </w:r>
          </w:p>
        </w:tc>
        <w:tc>
          <w:tcPr>
            <w:tcW w:w="0" w:type="dxa"/>
            <w:vAlign w:val="bottom"/>
          </w:tcPr>
          <w:p>
            <w:pPr>
              <w:spacing w:after="0"/>
              <w:rPr>
                <w:sz w:val="1"/>
                <w:szCs w:val="1"/>
                <w:color w:val="auto"/>
              </w:rPr>
            </w:pPr>
          </w:p>
        </w:tc>
      </w:tr>
      <w:tr>
        <w:trPr>
          <w:trHeight w:val="270"/>
        </w:trPr>
        <w:tc>
          <w:tcPr>
            <w:tcW w:w="3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Valuation allowance</w:t>
            </w:r>
          </w:p>
        </w:tc>
        <w:tc>
          <w:tcPr>
            <w:tcW w:w="1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(2,218)</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(3,190)</w:t>
            </w:r>
          </w:p>
        </w:tc>
        <w:tc>
          <w:tcPr>
            <w:tcW w:w="0" w:type="dxa"/>
            <w:vAlign w:val="bottom"/>
          </w:tcPr>
          <w:p>
            <w:pPr>
              <w:spacing w:after="0"/>
              <w:rPr>
                <w:sz w:val="1"/>
                <w:szCs w:val="1"/>
                <w:color w:val="auto"/>
              </w:rPr>
            </w:pPr>
          </w:p>
        </w:tc>
      </w:tr>
      <w:tr>
        <w:trPr>
          <w:trHeight w:val="250"/>
        </w:trPr>
        <w:tc>
          <w:tcPr>
            <w:tcW w:w="3500" w:type="dxa"/>
            <w:vAlign w:val="bottom"/>
            <w:gridSpan w:val="2"/>
          </w:tcPr>
          <w:p>
            <w:pPr>
              <w:spacing w:after="0"/>
              <w:rPr>
                <w:sz w:val="20"/>
                <w:szCs w:val="20"/>
                <w:color w:val="auto"/>
              </w:rPr>
            </w:pPr>
            <w:r>
              <w:rPr>
                <w:rFonts w:ascii="Arial" w:cs="Arial" w:eastAsia="Arial" w:hAnsi="Arial"/>
                <w:sz w:val="16"/>
                <w:szCs w:val="16"/>
                <w:color w:val="auto"/>
              </w:rPr>
              <w:t>Deferred tax asset, net of valuation allowance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28,063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20,659</w:t>
            </w:r>
          </w:p>
        </w:tc>
        <w:tc>
          <w:tcPr>
            <w:tcW w:w="0" w:type="dxa"/>
            <w:vAlign w:val="bottom"/>
          </w:tcPr>
          <w:p>
            <w:pPr>
              <w:spacing w:after="0"/>
              <w:rPr>
                <w:sz w:val="1"/>
                <w:szCs w:val="1"/>
                <w:color w:val="auto"/>
              </w:rPr>
            </w:pPr>
          </w:p>
        </w:tc>
      </w:tr>
      <w:tr>
        <w:trPr>
          <w:trHeight w:val="273"/>
        </w:trPr>
        <w:tc>
          <w:tcPr>
            <w:tcW w:w="3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500" w:type="dxa"/>
            <w:vAlign w:val="bottom"/>
            <w:gridSpan w:val="2"/>
          </w:tcPr>
          <w:p>
            <w:pPr>
              <w:spacing w:after="0"/>
              <w:rPr>
                <w:sz w:val="20"/>
                <w:szCs w:val="20"/>
                <w:color w:val="auto"/>
              </w:rPr>
            </w:pPr>
            <w:r>
              <w:rPr>
                <w:rFonts w:ascii="Arial" w:cs="Arial" w:eastAsia="Arial" w:hAnsi="Arial"/>
                <w:sz w:val="16"/>
                <w:szCs w:val="16"/>
                <w:color w:val="auto"/>
              </w:rPr>
              <w:t>Deferred tax liabilities:</w:t>
            </w: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35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Prepaid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w:t>
            </w:r>
          </w:p>
        </w:tc>
        <w:tc>
          <w:tcPr>
            <w:tcW w:w="0" w:type="dxa"/>
            <w:vAlign w:val="bottom"/>
          </w:tcPr>
          <w:p>
            <w:pPr>
              <w:spacing w:after="0"/>
              <w:rPr>
                <w:sz w:val="1"/>
                <w:szCs w:val="1"/>
                <w:color w:val="auto"/>
              </w:rPr>
            </w:pPr>
          </w:p>
        </w:tc>
      </w:tr>
      <w:tr>
        <w:trPr>
          <w:trHeight w:val="267"/>
        </w:trPr>
        <w:tc>
          <w:tcPr>
            <w:tcW w:w="3500" w:type="dxa"/>
            <w:vAlign w:val="bottom"/>
            <w:gridSpan w:val="2"/>
          </w:tcPr>
          <w:p>
            <w:pPr>
              <w:ind w:left="160"/>
              <w:spacing w:after="0"/>
              <w:rPr>
                <w:sz w:val="20"/>
                <w:szCs w:val="20"/>
                <w:color w:val="auto"/>
              </w:rPr>
            </w:pPr>
            <w:r>
              <w:rPr>
                <w:rFonts w:ascii="Arial" w:cs="Arial" w:eastAsia="Arial" w:hAnsi="Arial"/>
                <w:sz w:val="16"/>
                <w:szCs w:val="16"/>
                <w:color w:val="auto"/>
              </w:rPr>
              <w:t>Excess tax over book depreciation</w:t>
            </w:r>
          </w:p>
        </w:tc>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(2,121)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(2,278)</w:t>
            </w:r>
          </w:p>
        </w:tc>
        <w:tc>
          <w:tcPr>
            <w:tcW w:w="0" w:type="dxa"/>
            <w:vAlign w:val="bottom"/>
          </w:tcPr>
          <w:p>
            <w:pPr>
              <w:spacing w:after="0"/>
              <w:rPr>
                <w:sz w:val="1"/>
                <w:szCs w:val="1"/>
                <w:color w:val="auto"/>
              </w:rPr>
            </w:pPr>
          </w:p>
        </w:tc>
      </w:tr>
      <w:tr>
        <w:trPr>
          <w:trHeight w:val="273"/>
        </w:trPr>
        <w:tc>
          <w:tcPr>
            <w:tcW w:w="35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Website development costs</w:t>
            </w: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w:t>
            </w:r>
          </w:p>
        </w:tc>
        <w:tc>
          <w:tcPr>
            <w:tcW w:w="0" w:type="dxa"/>
            <w:vAlign w:val="bottom"/>
          </w:tcPr>
          <w:p>
            <w:pPr>
              <w:spacing w:after="0"/>
              <w:rPr>
                <w:sz w:val="1"/>
                <w:szCs w:val="1"/>
                <w:color w:val="auto"/>
              </w:rPr>
            </w:pPr>
          </w:p>
        </w:tc>
      </w:tr>
      <w:tr>
        <w:trPr>
          <w:trHeight w:val="267"/>
        </w:trPr>
        <w:tc>
          <w:tcPr>
            <w:tcW w:w="3500" w:type="dxa"/>
            <w:vAlign w:val="bottom"/>
            <w:gridSpan w:val="2"/>
          </w:tcPr>
          <w:p>
            <w:pPr>
              <w:ind w:left="160"/>
              <w:spacing w:after="0"/>
              <w:rPr>
                <w:sz w:val="20"/>
                <w:szCs w:val="20"/>
                <w:color w:val="auto"/>
              </w:rPr>
            </w:pPr>
            <w:r>
              <w:rPr>
                <w:rFonts w:ascii="Arial" w:cs="Arial" w:eastAsia="Arial" w:hAnsi="Arial"/>
                <w:sz w:val="16"/>
                <w:szCs w:val="16"/>
                <w:color w:val="auto"/>
              </w:rPr>
              <w:t>Intangible assets</w:t>
            </w:r>
          </w:p>
        </w:tc>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(105,997)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(94,398)</w:t>
            </w:r>
          </w:p>
        </w:tc>
        <w:tc>
          <w:tcPr>
            <w:tcW w:w="0" w:type="dxa"/>
            <w:vAlign w:val="bottom"/>
          </w:tcPr>
          <w:p>
            <w:pPr>
              <w:spacing w:after="0"/>
              <w:rPr>
                <w:sz w:val="1"/>
                <w:szCs w:val="1"/>
                <w:color w:val="auto"/>
              </w:rPr>
            </w:pPr>
          </w:p>
        </w:tc>
      </w:tr>
      <w:tr>
        <w:trPr>
          <w:trHeight w:val="273"/>
        </w:trPr>
        <w:tc>
          <w:tcPr>
            <w:tcW w:w="35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Lease right-of-use assets</w:t>
            </w: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(11,709)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(6,442)</w:t>
            </w:r>
          </w:p>
        </w:tc>
        <w:tc>
          <w:tcPr>
            <w:tcW w:w="0" w:type="dxa"/>
            <w:vAlign w:val="bottom"/>
          </w:tcPr>
          <w:p>
            <w:pPr>
              <w:spacing w:after="0"/>
              <w:rPr>
                <w:sz w:val="1"/>
                <w:szCs w:val="1"/>
                <w:color w:val="auto"/>
              </w:rPr>
            </w:pPr>
          </w:p>
        </w:tc>
      </w:tr>
      <w:tr>
        <w:trPr>
          <w:trHeight w:val="267"/>
        </w:trPr>
        <w:tc>
          <w:tcPr>
            <w:tcW w:w="3500" w:type="dxa"/>
            <w:vAlign w:val="bottom"/>
            <w:tcBorders>
              <w:bottom w:val="single" w:sz="8" w:color="CCEEFF"/>
            </w:tcBorders>
            <w:gridSpan w:val="2"/>
          </w:tcPr>
          <w:p>
            <w:pPr>
              <w:ind w:left="16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(584)</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(563)</w:t>
            </w:r>
          </w:p>
        </w:tc>
        <w:tc>
          <w:tcPr>
            <w:tcW w:w="0" w:type="dxa"/>
            <w:vAlign w:val="bottom"/>
          </w:tcPr>
          <w:p>
            <w:pPr>
              <w:spacing w:after="0"/>
              <w:rPr>
                <w:sz w:val="1"/>
                <w:szCs w:val="1"/>
                <w:color w:val="auto"/>
              </w:rPr>
            </w:pPr>
          </w:p>
        </w:tc>
      </w:tr>
      <w:tr>
        <w:trPr>
          <w:trHeight w:val="250"/>
        </w:trPr>
        <w:tc>
          <w:tcPr>
            <w:tcW w:w="3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Deferred tax liabilities</w:t>
            </w:r>
          </w:p>
        </w:tc>
        <w:tc>
          <w:tcPr>
            <w:tcW w:w="1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(121,818)</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(105,011)</w:t>
            </w:r>
          </w:p>
        </w:tc>
        <w:tc>
          <w:tcPr>
            <w:tcW w:w="0" w:type="dxa"/>
            <w:vAlign w:val="bottom"/>
          </w:tcPr>
          <w:p>
            <w:pPr>
              <w:spacing w:after="0"/>
              <w:rPr>
                <w:sz w:val="1"/>
                <w:szCs w:val="1"/>
                <w:color w:val="auto"/>
              </w:rPr>
            </w:pPr>
          </w:p>
        </w:tc>
      </w:tr>
      <w:tr>
        <w:trPr>
          <w:trHeight w:val="226"/>
        </w:trPr>
        <w:tc>
          <w:tcPr>
            <w:tcW w:w="3500" w:type="dxa"/>
            <w:vAlign w:val="bottom"/>
            <w:gridSpan w:val="2"/>
          </w:tcPr>
          <w:p>
            <w:pPr>
              <w:spacing w:after="0"/>
              <w:rPr>
                <w:sz w:val="20"/>
                <w:szCs w:val="20"/>
                <w:color w:val="auto"/>
              </w:rPr>
            </w:pPr>
            <w:r>
              <w:rPr>
                <w:rFonts w:ascii="Arial" w:cs="Arial" w:eastAsia="Arial" w:hAnsi="Arial"/>
                <w:sz w:val="16"/>
                <w:szCs w:val="16"/>
                <w:color w:val="auto"/>
              </w:rPr>
              <w:t>Net deferred tax liabilities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(93,755)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(84,352)</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firstLine="227"/>
        <w:spacing w:after="0" w:line="342" w:lineRule="auto"/>
        <w:rPr>
          <w:sz w:val="20"/>
          <w:szCs w:val="20"/>
          <w:color w:val="auto"/>
        </w:rPr>
      </w:pPr>
      <w:r>
        <w:rPr>
          <w:rFonts w:ascii="Arial" w:cs="Arial" w:eastAsia="Arial" w:hAnsi="Arial"/>
          <w:sz w:val="16"/>
          <w:szCs w:val="16"/>
          <w:color w:val="auto"/>
        </w:rPr>
        <w:t>The Company had state net operating loss carryforwards of $2.5 million and $11.9 million and foreign net operating losses of $9.4 million and $12.8 million at August 28, 2021 and August 29, 2020, respectively. The state and foreign net operating loss carryforwards will begin to expire in 2022.</w:t>
      </w:r>
    </w:p>
    <w:p>
      <w:pPr>
        <w:spacing w:after="0" w:line="151" w:lineRule="exact"/>
        <w:rPr>
          <w:sz w:val="20"/>
          <w:szCs w:val="20"/>
          <w:color w:val="auto"/>
        </w:rPr>
      </w:pPr>
    </w:p>
    <w:p>
      <w:pPr>
        <w:jc w:val="both"/>
        <w:ind w:firstLine="193"/>
        <w:spacing w:after="0" w:line="263" w:lineRule="auto"/>
        <w:rPr>
          <w:sz w:val="20"/>
          <w:szCs w:val="20"/>
          <w:color w:val="auto"/>
        </w:rPr>
      </w:pPr>
      <w:r>
        <w:rPr>
          <w:rFonts w:ascii="Arial" w:cs="Arial" w:eastAsia="Arial" w:hAnsi="Arial"/>
          <w:sz w:val="18"/>
          <w:szCs w:val="18"/>
          <w:color w:val="auto"/>
        </w:rPr>
        <w:t>As of August 28, 2021, the Company has recorded total valuation allowances of $2.2 million on deferred tax assets related to foreign net operating loss carryforwards. This amount represents a full valuation allowance on the deferred tax assets of foreign entities within the United Kingdom and the Netherlands.</w:t>
      </w:r>
    </w:p>
    <w:p>
      <w:pPr>
        <w:spacing w:after="0" w:line="211" w:lineRule="exact"/>
        <w:rPr>
          <w:sz w:val="20"/>
          <w:szCs w:val="20"/>
          <w:color w:val="auto"/>
        </w:rPr>
      </w:pPr>
    </w:p>
    <w:p>
      <w:pPr>
        <w:jc w:val="both"/>
        <w:ind w:firstLine="182"/>
        <w:spacing w:after="0" w:line="255" w:lineRule="auto"/>
        <w:rPr>
          <w:sz w:val="20"/>
          <w:szCs w:val="20"/>
          <w:color w:val="auto"/>
        </w:rPr>
      </w:pPr>
      <w:r>
        <w:rPr>
          <w:rFonts w:ascii="Arial" w:cs="Arial" w:eastAsia="Arial" w:hAnsi="Arial"/>
          <w:sz w:val="18"/>
          <w:szCs w:val="18"/>
          <w:color w:val="auto"/>
        </w:rPr>
        <w:t>During the fifty-two weeks ended August 28, 2021, and August 29, 2020, the Company changed its intentions and determined to not indefinitely reinvest its foreign earnings within its subsidiaries in the Netherlands and in the United Kingdom, Spain, and Canada. The change in assertion did not result in recognition of tax liabilities related to these jurisdictions. It is the Company’s intention to reinvest the earnings of its other non-U.S. subsidiaries in its Australia and New Zealand operations. As of August 28, 2021, the Company has not made a provision for U.S. or additional foreign withholding taxes for any outside basis differences inherent in its investments in foreign subsidiaries that are indefinitely reinvested. It is not practicable to estimate the amount of deferred tax liability related to investments in these foreign subsidiaries.</w:t>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As of August 28, 2021 and August 29, 2020, the Company has no unrecognized tax benefits.</w:t>
      </w:r>
    </w:p>
    <w:p>
      <w:pPr>
        <w:spacing w:after="0" w:line="252" w:lineRule="exact"/>
        <w:rPr>
          <w:sz w:val="20"/>
          <w:szCs w:val="20"/>
          <w:color w:val="auto"/>
        </w:rPr>
      </w:pPr>
    </w:p>
    <w:p>
      <w:pPr>
        <w:jc w:val="both"/>
        <w:ind w:firstLine="264"/>
        <w:spacing w:after="0" w:line="259" w:lineRule="auto"/>
        <w:rPr>
          <w:sz w:val="20"/>
          <w:szCs w:val="20"/>
          <w:color w:val="auto"/>
        </w:rPr>
      </w:pPr>
      <w:r>
        <w:rPr>
          <w:rFonts w:ascii="Arial" w:cs="Arial" w:eastAsia="Arial" w:hAnsi="Arial"/>
          <w:sz w:val="18"/>
          <w:szCs w:val="18"/>
          <w:color w:val="auto"/>
        </w:rPr>
        <w:t>The Company records interest and penalties associated with unrecognized tax benefits as a component of tax expense. As of August 28, 2021 and August 29, 2020, the Company has not accrued interest or penalties on unrecognized tax benefits, as there is no position recorded as of these fiscal years. No changes to the uncertain tax position balance are anticipated within the next 12 months, and are not expected to materially affect the financial statements.</w:t>
      </w:r>
    </w:p>
    <w:p>
      <w:pPr>
        <w:spacing w:after="0" w:line="214" w:lineRule="exact"/>
        <w:rPr>
          <w:sz w:val="20"/>
          <w:szCs w:val="20"/>
          <w:color w:val="auto"/>
        </w:rPr>
      </w:pPr>
    </w:p>
    <w:p>
      <w:pPr>
        <w:jc w:val="both"/>
        <w:ind w:right="20" w:firstLine="231"/>
        <w:spacing w:after="0" w:line="263" w:lineRule="auto"/>
        <w:rPr>
          <w:sz w:val="20"/>
          <w:szCs w:val="20"/>
          <w:color w:val="auto"/>
        </w:rPr>
      </w:pPr>
      <w:r>
        <w:rPr>
          <w:rFonts w:ascii="Arial" w:cs="Arial" w:eastAsia="Arial" w:hAnsi="Arial"/>
          <w:sz w:val="18"/>
          <w:szCs w:val="18"/>
          <w:color w:val="auto"/>
        </w:rPr>
        <w:t>As of August 28, 2021, tax years 2015 to 2020 remain subject to examination in the United States and the tax years 2015 to 2020 remain subject to examination in other major foreign jurisdictions where the Company conducts business. State income tax returns are generally subject to examination for a period of three to five years after the filing of the respective return.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3" w:name="page74"/>
    <w:bookmarkEnd w:id="7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Receivable Agreement</w:t>
      </w:r>
    </w:p>
    <w:p>
      <w:pPr>
        <w:spacing w:after="0" w:line="252" w:lineRule="exact"/>
        <w:rPr>
          <w:sz w:val="20"/>
          <w:szCs w:val="20"/>
          <w:color w:val="auto"/>
        </w:rPr>
      </w:pPr>
    </w:p>
    <w:p>
      <w:pPr>
        <w:jc w:val="both"/>
        <w:ind w:firstLine="214"/>
        <w:spacing w:after="0" w:line="255" w:lineRule="auto"/>
        <w:rPr>
          <w:sz w:val="20"/>
          <w:szCs w:val="20"/>
          <w:color w:val="auto"/>
        </w:rPr>
      </w:pPr>
      <w:r>
        <w:rPr>
          <w:rFonts w:ascii="Arial" w:cs="Arial" w:eastAsia="Arial" w:hAnsi="Arial"/>
          <w:sz w:val="18"/>
          <w:szCs w:val="18"/>
          <w:color w:val="auto"/>
        </w:rPr>
        <w:t>Concurrent with the Business Combination, the Company entered into the TRA with the historical stockholders of Atkins. The TRA was valued based on the future expected payments under the terms of the agreement. The TRA provides for the payment by Simply Good Foods to the Atkins’ selling equity holders for certain federal, state, local and non-U.S. tax benefits deemed realized in post-closing taxable periods by Simply Good Foods, Conyers Park, Atkins and Atkins’ eligible subsidiaries from the use of up to $100 million of the following tax attributes: (i) net operating losses available to be carried forward as of the closing of the Business Combination, (ii) certain deductions generated by the consummation of the business transaction and (iii) remaining depreciable tax basis from the 2003 acquisition of Atkins Nutritionals, Inc.</w:t>
      </w:r>
    </w:p>
    <w:p>
      <w:pPr>
        <w:spacing w:after="0" w:line="219" w:lineRule="exact"/>
        <w:rPr>
          <w:sz w:val="20"/>
          <w:szCs w:val="20"/>
          <w:color w:val="auto"/>
        </w:rPr>
      </w:pPr>
    </w:p>
    <w:p>
      <w:pPr>
        <w:jc w:val="both"/>
        <w:ind w:firstLine="177"/>
        <w:spacing w:after="0" w:line="308" w:lineRule="auto"/>
        <w:rPr>
          <w:sz w:val="20"/>
          <w:szCs w:val="20"/>
          <w:color w:val="auto"/>
        </w:rPr>
      </w:pPr>
      <w:r>
        <w:rPr>
          <w:rFonts w:ascii="Arial" w:cs="Arial" w:eastAsia="Arial" w:hAnsi="Arial"/>
          <w:sz w:val="17"/>
          <w:szCs w:val="17"/>
          <w:color w:val="auto"/>
        </w:rPr>
        <w:t xml:space="preserve">The Company re-measured the TRA in the second fiscal quarter of 2018 due to the Tax Act. The second quarter assessment of these changes resulted in a provisional one-time gain of $4.7 million, recognized in </w:t>
      </w:r>
      <w:r>
        <w:rPr>
          <w:rFonts w:ascii="Arial" w:cs="Arial" w:eastAsia="Arial" w:hAnsi="Arial"/>
          <w:sz w:val="17"/>
          <w:szCs w:val="17"/>
          <w:i w:val="1"/>
          <w:iCs w:val="1"/>
          <w:color w:val="auto"/>
        </w:rPr>
        <w:t>Loss in fair value change of contingent consideration – TRA liability</w:t>
      </w:r>
      <w:r>
        <w:rPr>
          <w:rFonts w:ascii="Arial" w:cs="Arial" w:eastAsia="Arial" w:hAnsi="Arial"/>
          <w:sz w:val="17"/>
          <w:szCs w:val="17"/>
          <w:color w:val="auto"/>
        </w:rPr>
        <w:t>.</w:t>
      </w:r>
    </w:p>
    <w:p>
      <w:pPr>
        <w:spacing w:after="0" w:line="173"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During the first fiscal quarter of 2019, the Company entered into a termination agreement (the “Termination Agreement”) with Atkins Holdings, LLC and Roark Capital Acquisition, LLC. Pursuant to the Termination Agreement, the Company paid $26.5 million to settle the TRA in full. Under the Termination Agreement, each of the parties thereto agreed to terminate the TRA and to release any and all obligations and liabilities of the other parties thereunder effective as of the receipt of the termination payment. The Company recorded a $0.5 million loss on the fair value change in the TRA liability through the settlement on November 14, 2018 and recognized a gain of $1.5 million in connection with the execution of the Termination Agreement and final cash payment.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components of lease expense for the fifty-two weeks ended August 28, 2021 and August 29, 2020 were as follows.</w:t>
      </w:r>
    </w:p>
    <w:p>
      <w:pPr>
        <w:spacing w:after="0" w:line="351" w:lineRule="exact"/>
        <w:rPr>
          <w:sz w:val="20"/>
          <w:szCs w:val="20"/>
          <w:color w:val="auto"/>
        </w:rPr>
      </w:pPr>
    </w:p>
    <w:tbl>
      <w:tblPr>
        <w:tblLayout w:type="fixed"/>
        <w:tblInd w:w="620" w:type="dxa"/>
        <w:tblCellMar>
          <w:top w:w="0" w:type="dxa"/>
          <w:left w:w="0" w:type="dxa"/>
          <w:bottom w:w="0" w:type="dxa"/>
          <w:right w:w="0" w:type="dxa"/>
        </w:tblCellMar>
      </w:tblPr>
      <w:tr>
        <w:trPr>
          <w:trHeight w:val="206"/>
        </w:trPr>
        <w:tc>
          <w:tcPr>
            <w:tcW w:w="3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ind w:left="40"/>
              <w:spacing w:after="0"/>
              <w:rPr>
                <w:sz w:val="20"/>
                <w:szCs w:val="20"/>
                <w:color w:val="auto"/>
              </w:rPr>
            </w:pPr>
            <w:r>
              <w:rPr>
                <w:rFonts w:ascii="Arial" w:cs="Arial" w:eastAsia="Arial" w:hAnsi="Arial"/>
                <w:sz w:val="16"/>
                <w:szCs w:val="16"/>
                <w:color w:val="auto"/>
              </w:rPr>
              <w:t>52-Weeks Ended</w:t>
            </w:r>
          </w:p>
        </w:tc>
        <w:tc>
          <w:tcPr>
            <w:tcW w:w="160" w:type="dxa"/>
            <w:vAlign w:val="bottom"/>
          </w:tcPr>
          <w:p>
            <w:pPr>
              <w:spacing w:after="0"/>
              <w:rPr>
                <w:sz w:val="17"/>
                <w:szCs w:val="17"/>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color w:val="auto"/>
                <w:w w:val="91"/>
              </w:rPr>
              <w:t>52-Weeks Ended</w:t>
            </w:r>
          </w:p>
        </w:tc>
      </w:tr>
      <w:tr>
        <w:trPr>
          <w:trHeight w:val="273"/>
        </w:trPr>
        <w:tc>
          <w:tcPr>
            <w:tcW w:w="318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Borders>
              <w:bottom w:val="single" w:sz="8" w:color="CCEEFF"/>
            </w:tcBorders>
          </w:tcPr>
          <w:p>
            <w:pPr>
              <w:spacing w:after="0"/>
              <w:rPr>
                <w:sz w:val="23"/>
                <w:szCs w:val="23"/>
                <w:color w:val="auto"/>
              </w:rPr>
            </w:pPr>
          </w:p>
        </w:tc>
        <w:tc>
          <w:tcPr>
            <w:tcW w:w="34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Statement of Operations Caption</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96"/>
              </w:rPr>
              <w:t>August 28, 2021</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94"/>
              </w:rPr>
              <w:t>August 29, 2020</w:t>
            </w:r>
          </w:p>
        </w:tc>
      </w:tr>
      <w:tr>
        <w:trPr>
          <w:trHeight w:val="253"/>
        </w:trPr>
        <w:tc>
          <w:tcPr>
            <w:tcW w:w="33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Operating lease cost:</w:t>
            </w:r>
          </w:p>
        </w:tc>
        <w:tc>
          <w:tcPr>
            <w:tcW w:w="34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67"/>
        </w:trPr>
        <w:tc>
          <w:tcPr>
            <w:tcW w:w="3320" w:type="dxa"/>
            <w:vAlign w:val="bottom"/>
            <w:gridSpan w:val="2"/>
          </w:tcPr>
          <w:p>
            <w:pPr>
              <w:ind w:left="120"/>
              <w:spacing w:after="0"/>
              <w:rPr>
                <w:sz w:val="20"/>
                <w:szCs w:val="20"/>
                <w:color w:val="auto"/>
              </w:rPr>
            </w:pPr>
            <w:r>
              <w:rPr>
                <w:rFonts w:ascii="Arial" w:cs="Arial" w:eastAsia="Arial" w:hAnsi="Arial"/>
                <w:sz w:val="16"/>
                <w:szCs w:val="16"/>
                <w:color w:val="auto"/>
              </w:rPr>
              <w:t>Lease cost</w:t>
            </w:r>
          </w:p>
        </w:tc>
        <w:tc>
          <w:tcPr>
            <w:tcW w:w="3580" w:type="dxa"/>
            <w:vAlign w:val="bottom"/>
            <w:gridSpan w:val="2"/>
          </w:tcPr>
          <w:p>
            <w:pPr>
              <w:spacing w:after="0"/>
              <w:rPr>
                <w:sz w:val="20"/>
                <w:szCs w:val="20"/>
                <w:color w:val="auto"/>
              </w:rPr>
            </w:pPr>
            <w:r>
              <w:rPr>
                <w:rFonts w:ascii="Arial" w:cs="Arial" w:eastAsia="Arial" w:hAnsi="Arial"/>
                <w:sz w:val="16"/>
                <w:szCs w:val="16"/>
                <w:i w:val="1"/>
                <w:iCs w:val="1"/>
                <w:color w:val="auto"/>
                <w:w w:val="99"/>
              </w:rPr>
              <w:t xml:space="preserve">Cost of goods sold </w:t>
            </w:r>
            <w:r>
              <w:rPr>
                <w:rFonts w:ascii="Arial" w:cs="Arial" w:eastAsia="Arial" w:hAnsi="Arial"/>
                <w:sz w:val="16"/>
                <w:szCs w:val="16"/>
                <w:color w:val="auto"/>
                <w:w w:val="99"/>
              </w:rPr>
              <w:t>and</w:t>
            </w:r>
            <w:r>
              <w:rPr>
                <w:rFonts w:ascii="Arial" w:cs="Arial" w:eastAsia="Arial" w:hAnsi="Arial"/>
                <w:sz w:val="16"/>
                <w:szCs w:val="16"/>
                <w:i w:val="1"/>
                <w:iCs w:val="1"/>
                <w:color w:val="auto"/>
                <w:w w:val="99"/>
              </w:rPr>
              <w:t xml:space="preserve"> General and administrative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6,752</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5,242</w:t>
            </w:r>
          </w:p>
        </w:tc>
      </w:tr>
      <w:tr>
        <w:trPr>
          <w:trHeight w:val="273"/>
        </w:trPr>
        <w:tc>
          <w:tcPr>
            <w:tcW w:w="33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 xml:space="preserve">Variable lease cost </w:t>
            </w:r>
            <w:r>
              <w:rPr>
                <w:rFonts w:ascii="Arial" w:cs="Arial" w:eastAsia="Arial" w:hAnsi="Arial"/>
                <w:sz w:val="21"/>
                <w:szCs w:val="21"/>
                <w:color w:val="auto"/>
                <w:vertAlign w:val="superscript"/>
              </w:rPr>
              <w:t>(1)</w:t>
            </w:r>
          </w:p>
        </w:tc>
        <w:tc>
          <w:tcPr>
            <w:tcW w:w="358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w w:val="99"/>
              </w:rPr>
              <w:t xml:space="preserve">Cost of goods sold </w:t>
            </w:r>
            <w:r>
              <w:rPr>
                <w:rFonts w:ascii="Arial" w:cs="Arial" w:eastAsia="Arial" w:hAnsi="Arial"/>
                <w:sz w:val="16"/>
                <w:szCs w:val="16"/>
                <w:color w:val="auto"/>
                <w:w w:val="99"/>
              </w:rPr>
              <w:t>and</w:t>
            </w:r>
            <w:r>
              <w:rPr>
                <w:rFonts w:ascii="Arial" w:cs="Arial" w:eastAsia="Arial" w:hAnsi="Arial"/>
                <w:sz w:val="16"/>
                <w:szCs w:val="16"/>
                <w:i w:val="1"/>
                <w:iCs w:val="1"/>
                <w:color w:val="auto"/>
                <w:w w:val="99"/>
              </w:rPr>
              <w:t xml:space="preserve"> General and administrative</w:t>
            </w: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1,681</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1,648</w:t>
            </w:r>
          </w:p>
        </w:tc>
      </w:tr>
      <w:tr>
        <w:trPr>
          <w:trHeight w:val="247"/>
        </w:trPr>
        <w:tc>
          <w:tcPr>
            <w:tcW w:w="3320" w:type="dxa"/>
            <w:vAlign w:val="bottom"/>
            <w:gridSpan w:val="2"/>
          </w:tcPr>
          <w:p>
            <w:pPr>
              <w:ind w:left="200"/>
              <w:spacing w:after="0"/>
              <w:rPr>
                <w:sz w:val="20"/>
                <w:szCs w:val="20"/>
                <w:color w:val="auto"/>
              </w:rPr>
            </w:pPr>
            <w:r>
              <w:rPr>
                <w:rFonts w:ascii="Arial" w:cs="Arial" w:eastAsia="Arial" w:hAnsi="Arial"/>
                <w:sz w:val="16"/>
                <w:szCs w:val="16"/>
                <w:color w:val="auto"/>
              </w:rPr>
              <w:t>Operating lease cost</w:t>
            </w:r>
          </w:p>
        </w:tc>
        <w:tc>
          <w:tcPr>
            <w:tcW w:w="3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8,433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6,890</w:t>
            </w:r>
          </w:p>
        </w:tc>
      </w:tr>
      <w:tr>
        <w:trPr>
          <w:trHeight w:val="273"/>
        </w:trPr>
        <w:tc>
          <w:tcPr>
            <w:tcW w:w="31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4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67"/>
        </w:trPr>
        <w:tc>
          <w:tcPr>
            <w:tcW w:w="3320" w:type="dxa"/>
            <w:vAlign w:val="bottom"/>
            <w:gridSpan w:val="2"/>
          </w:tcPr>
          <w:p>
            <w:pPr>
              <w:spacing w:after="0"/>
              <w:rPr>
                <w:sz w:val="20"/>
                <w:szCs w:val="20"/>
                <w:color w:val="auto"/>
              </w:rPr>
            </w:pPr>
            <w:r>
              <w:rPr>
                <w:rFonts w:ascii="Arial" w:cs="Arial" w:eastAsia="Arial" w:hAnsi="Arial"/>
                <w:sz w:val="16"/>
                <w:szCs w:val="16"/>
                <w:color w:val="auto"/>
              </w:rPr>
              <w:t>Short-term lease cost</w:t>
            </w:r>
          </w:p>
        </w:tc>
        <w:tc>
          <w:tcPr>
            <w:tcW w:w="3580" w:type="dxa"/>
            <w:vAlign w:val="bottom"/>
            <w:gridSpan w:val="2"/>
          </w:tcPr>
          <w:p>
            <w:pPr>
              <w:spacing w:after="0"/>
              <w:rPr>
                <w:sz w:val="20"/>
                <w:szCs w:val="20"/>
                <w:color w:val="auto"/>
              </w:rPr>
            </w:pPr>
            <w:r>
              <w:rPr>
                <w:rFonts w:ascii="Arial" w:cs="Arial" w:eastAsia="Arial" w:hAnsi="Arial"/>
                <w:sz w:val="16"/>
                <w:szCs w:val="16"/>
                <w:i w:val="1"/>
                <w:iCs w:val="1"/>
                <w:color w:val="auto"/>
              </w:rPr>
              <w:t>General and administrative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73"/>
        </w:trPr>
        <w:tc>
          <w:tcPr>
            <w:tcW w:w="31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4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67"/>
        </w:trPr>
        <w:tc>
          <w:tcPr>
            <w:tcW w:w="3320" w:type="dxa"/>
            <w:vAlign w:val="bottom"/>
            <w:gridSpan w:val="2"/>
          </w:tcPr>
          <w:p>
            <w:pPr>
              <w:spacing w:after="0"/>
              <w:rPr>
                <w:sz w:val="20"/>
                <w:szCs w:val="20"/>
                <w:color w:val="auto"/>
              </w:rPr>
            </w:pPr>
            <w:r>
              <w:rPr>
                <w:rFonts w:ascii="Arial" w:cs="Arial" w:eastAsia="Arial" w:hAnsi="Arial"/>
                <w:sz w:val="16"/>
                <w:szCs w:val="16"/>
                <w:color w:val="auto"/>
              </w:rPr>
              <w:t>Finance lease cost:</w:t>
            </w:r>
          </w:p>
        </w:tc>
        <w:tc>
          <w:tcPr>
            <w:tcW w:w="3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73"/>
        </w:trPr>
        <w:tc>
          <w:tcPr>
            <w:tcW w:w="33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Amortization of right-of use assets</w:t>
            </w:r>
          </w:p>
        </w:tc>
        <w:tc>
          <w:tcPr>
            <w:tcW w:w="358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Cost of goods sold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w:t>
            </w:r>
          </w:p>
        </w:tc>
      </w:tr>
      <w:tr>
        <w:trPr>
          <w:trHeight w:val="267"/>
        </w:trPr>
        <w:tc>
          <w:tcPr>
            <w:tcW w:w="332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Interest on lease liabilities</w:t>
            </w:r>
          </w:p>
        </w:tc>
        <w:tc>
          <w:tcPr>
            <w:tcW w:w="35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i w:val="1"/>
                <w:iCs w:val="1"/>
                <w:color w:val="auto"/>
              </w:rPr>
              <w:t>Interest expense</w:t>
            </w:r>
          </w:p>
        </w:tc>
        <w:tc>
          <w:tcPr>
            <w:tcW w:w="1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r>
      <w:tr>
        <w:trPr>
          <w:trHeight w:val="253"/>
        </w:trPr>
        <w:tc>
          <w:tcPr>
            <w:tcW w:w="33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Total finance lease cost</w:t>
            </w:r>
          </w:p>
        </w:tc>
        <w:tc>
          <w:tcPr>
            <w:tcW w:w="34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w:t>
            </w:r>
          </w:p>
        </w:tc>
      </w:tr>
      <w:tr>
        <w:trPr>
          <w:trHeight w:val="270"/>
        </w:trPr>
        <w:tc>
          <w:tcPr>
            <w:tcW w:w="318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344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spacing w:after="0"/>
              <w:rPr>
                <w:sz w:val="23"/>
                <w:szCs w:val="23"/>
                <w:color w:val="auto"/>
              </w:rPr>
            </w:pPr>
          </w:p>
        </w:tc>
      </w:tr>
      <w:tr>
        <w:trPr>
          <w:trHeight w:val="248"/>
        </w:trPr>
        <w:tc>
          <w:tcPr>
            <w:tcW w:w="3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lease cost</w:t>
            </w:r>
          </w:p>
        </w:tc>
        <w:tc>
          <w:tcPr>
            <w:tcW w:w="3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8,751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7,253</w:t>
            </w: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50" w:lineRule="exact"/>
        <w:rPr>
          <w:sz w:val="20"/>
          <w:szCs w:val="20"/>
          <w:color w:val="auto"/>
        </w:rPr>
      </w:pPr>
    </w:p>
    <w:p>
      <w:pPr>
        <w:ind w:left="460" w:hanging="290"/>
        <w:spacing w:after="0"/>
        <w:tabs>
          <w:tab w:leader="none" w:pos="460" w:val="left"/>
        </w:tabs>
        <w:numPr>
          <w:ilvl w:val="0"/>
          <w:numId w:val="26"/>
        </w:numPr>
        <w:rPr>
          <w:rFonts w:ascii="Arial" w:cs="Arial" w:eastAsia="Arial" w:hAnsi="Arial"/>
          <w:sz w:val="21"/>
          <w:szCs w:val="21"/>
          <w:color w:val="auto"/>
          <w:vertAlign w:val="superscript"/>
        </w:rPr>
      </w:pPr>
      <w:r>
        <w:rPr>
          <w:rFonts w:ascii="Arial" w:cs="Arial" w:eastAsia="Arial" w:hAnsi="Arial"/>
          <w:sz w:val="16"/>
          <w:szCs w:val="16"/>
          <w:color w:val="auto"/>
        </w:rPr>
        <w:t>Variable lease cost primarily consists of common area maintenance, such as cleaning and repairs.</w:t>
      </w:r>
    </w:p>
    <w:p>
      <w:pPr>
        <w:spacing w:after="0" w:line="221" w:lineRule="exact"/>
        <w:rPr>
          <w:sz w:val="20"/>
          <w:szCs w:val="20"/>
          <w:color w:val="auto"/>
        </w:rPr>
      </w:pPr>
    </w:p>
    <w:p>
      <w:pPr>
        <w:jc w:val="both"/>
        <w:ind w:firstLine="195"/>
        <w:spacing w:after="0" w:line="277" w:lineRule="auto"/>
        <w:rPr>
          <w:sz w:val="20"/>
          <w:szCs w:val="20"/>
          <w:color w:val="auto"/>
        </w:rPr>
      </w:pPr>
      <w:r>
        <w:rPr>
          <w:rFonts w:ascii="Arial" w:cs="Arial" w:eastAsia="Arial" w:hAnsi="Arial"/>
          <w:sz w:val="18"/>
          <w:szCs w:val="18"/>
          <w:color w:val="auto"/>
        </w:rPr>
        <w:t>Under the previous lease accounting standard in effect for the period, ASC Topic 840, Leases, rent expense for operating leases was $2.2 million for the fifty-three weeks ended August 31, 2019.</w:t>
      </w:r>
    </w:p>
    <w:p>
      <w:pPr>
        <w:spacing w:after="0" w:line="197" w:lineRule="exact"/>
        <w:rPr>
          <w:sz w:val="20"/>
          <w:szCs w:val="20"/>
          <w:color w:val="auto"/>
        </w:rPr>
      </w:pPr>
    </w:p>
    <w:p>
      <w:pPr>
        <w:jc w:val="both"/>
        <w:ind w:firstLine="240"/>
        <w:spacing w:after="0" w:line="296" w:lineRule="auto"/>
        <w:rPr>
          <w:sz w:val="20"/>
          <w:szCs w:val="20"/>
          <w:color w:val="auto"/>
        </w:rPr>
      </w:pPr>
      <w:r>
        <w:rPr>
          <w:rFonts w:ascii="Arial" w:cs="Arial" w:eastAsia="Arial" w:hAnsi="Arial"/>
          <w:sz w:val="16"/>
          <w:szCs w:val="16"/>
          <w:color w:val="auto"/>
        </w:rPr>
        <w:t xml:space="preserve">In conjunction with the Company’s restructuring activities as discussed in Note 17, the Company incurred impairment charges of $0.7 million in the fifty-two weeks ended August 28, 2021 related to its operating lease right-of-use assets for leases in Toronto, Ontario and the Netherlands. Additionally, the Company terminated the lease in Toronto, Ontario, which resulted in a gain on lease termination of $0.2 million in the fifty-two weeks ended August 28, 2021. The effect of these restructuring activities has been included within </w:t>
      </w:r>
      <w:r>
        <w:rPr>
          <w:rFonts w:ascii="Arial" w:cs="Arial" w:eastAsia="Arial" w:hAnsi="Arial"/>
          <w:sz w:val="16"/>
          <w:szCs w:val="16"/>
          <w:i w:val="1"/>
          <w:iCs w:val="1"/>
          <w:color w:val="auto"/>
        </w:rPr>
        <w:t>General and administrative</w:t>
      </w:r>
      <w:r>
        <w:rPr>
          <w:rFonts w:ascii="Arial" w:cs="Arial" w:eastAsia="Arial" w:hAnsi="Arial"/>
          <w:sz w:val="16"/>
          <w:szCs w:val="16"/>
          <w:color w:val="auto"/>
        </w:rPr>
        <w:t xml:space="preserve"> on the Consolidated Statements of Operations and Comprehensive Income (Loss). Refer to Note 17, Restructuring and Related Charges, for additional information regarding restructuring activities.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right-of-use assets and corresponding liabilities related to both operating and finance leases are as follows:</w:t>
      </w:r>
    </w:p>
    <w:p>
      <w:pPr>
        <w:spacing w:after="0" w:line="351" w:lineRule="exact"/>
        <w:rPr>
          <w:sz w:val="20"/>
          <w:szCs w:val="20"/>
          <w:color w:val="auto"/>
        </w:rPr>
      </w:pPr>
    </w:p>
    <w:tbl>
      <w:tblPr>
        <w:tblLayout w:type="fixed"/>
        <w:tblInd w:w="620" w:type="dxa"/>
        <w:tblCellMar>
          <w:top w:w="0" w:type="dxa"/>
          <w:left w:w="0" w:type="dxa"/>
          <w:bottom w:w="0" w:type="dxa"/>
          <w:right w:w="0" w:type="dxa"/>
        </w:tblCellMar>
      </w:tblPr>
      <w:tr>
        <w:trPr>
          <w:trHeight w:val="209"/>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Borders>
              <w:bottom w:val="single" w:sz="8" w:color="CCEEFF"/>
            </w:tcBorders>
          </w:tcPr>
          <w:p>
            <w:pPr>
              <w:spacing w:after="0"/>
              <w:rPr>
                <w:sz w:val="18"/>
                <w:szCs w:val="18"/>
                <w:color w:val="auto"/>
              </w:rPr>
            </w:pPr>
          </w:p>
        </w:tc>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Balance Sheet Caption</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94"/>
              </w:rPr>
              <w:t>August 28, 2021</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96"/>
              </w:rPr>
              <w:t>August 29, 2020</w:t>
            </w:r>
          </w:p>
        </w:tc>
      </w:tr>
      <w:tr>
        <w:trPr>
          <w:trHeight w:val="253"/>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34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67"/>
        </w:trPr>
        <w:tc>
          <w:tcPr>
            <w:tcW w:w="3280" w:type="dxa"/>
            <w:vAlign w:val="bottom"/>
            <w:gridSpan w:val="2"/>
          </w:tcPr>
          <w:p>
            <w:pPr>
              <w:ind w:left="20"/>
              <w:spacing w:after="0"/>
              <w:rPr>
                <w:sz w:val="20"/>
                <w:szCs w:val="20"/>
                <w:color w:val="auto"/>
              </w:rPr>
            </w:pPr>
            <w:r>
              <w:rPr>
                <w:rFonts w:ascii="Arial" w:cs="Arial" w:eastAsia="Arial" w:hAnsi="Arial"/>
                <w:sz w:val="16"/>
                <w:szCs w:val="16"/>
                <w:color w:val="auto"/>
              </w:rPr>
              <w:t>Operating lease right-of-use assets</w:t>
            </w:r>
          </w:p>
        </w:tc>
        <w:tc>
          <w:tcPr>
            <w:tcW w:w="3580" w:type="dxa"/>
            <w:vAlign w:val="bottom"/>
            <w:gridSpan w:val="2"/>
          </w:tcPr>
          <w:p>
            <w:pPr>
              <w:ind w:left="20"/>
              <w:spacing w:after="0"/>
              <w:rPr>
                <w:sz w:val="20"/>
                <w:szCs w:val="20"/>
                <w:color w:val="auto"/>
              </w:rPr>
            </w:pPr>
            <w:r>
              <w:rPr>
                <w:rFonts w:ascii="Arial" w:cs="Arial" w:eastAsia="Arial" w:hAnsi="Arial"/>
                <w:sz w:val="16"/>
                <w:szCs w:val="16"/>
                <w:i w:val="1"/>
                <w:iCs w:val="1"/>
                <w:color w:val="auto"/>
              </w:rPr>
              <w:t>Other long-term assets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46,197</w:t>
            </w:r>
          </w:p>
        </w:tc>
        <w:tc>
          <w:tcPr>
            <w:tcW w:w="14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25,703</w:t>
            </w:r>
          </w:p>
        </w:tc>
      </w:tr>
      <w:tr>
        <w:trPr>
          <w:trHeight w:val="270"/>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Finance lease right-of-use assets</w:t>
            </w:r>
          </w:p>
        </w:tc>
        <w:tc>
          <w:tcPr>
            <w:tcW w:w="3580" w:type="dxa"/>
            <w:vAlign w:val="bottom"/>
            <w:gridSpan w:val="2"/>
            <w:shd w:val="clear" w:color="auto" w:fill="CCEEFF"/>
          </w:tcPr>
          <w:p>
            <w:pPr>
              <w:ind w:left="20"/>
              <w:spacing w:after="0"/>
              <w:rPr>
                <w:sz w:val="20"/>
                <w:szCs w:val="20"/>
                <w:color w:val="auto"/>
              </w:rPr>
            </w:pPr>
            <w:r>
              <w:rPr>
                <w:rFonts w:ascii="Arial" w:cs="Arial" w:eastAsia="Arial" w:hAnsi="Arial"/>
                <w:sz w:val="16"/>
                <w:szCs w:val="16"/>
                <w:i w:val="1"/>
                <w:iCs w:val="1"/>
                <w:color w:val="auto"/>
              </w:rPr>
              <w:t>Property and equipment, net</w:t>
            </w:r>
          </w:p>
        </w:tc>
        <w:tc>
          <w:tcPr>
            <w:tcW w:w="1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640</w:t>
            </w:r>
          </w:p>
        </w:tc>
        <w:tc>
          <w:tcPr>
            <w:tcW w:w="14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912</w:t>
            </w:r>
          </w:p>
        </w:tc>
      </w:tr>
      <w:tr>
        <w:trPr>
          <w:trHeight w:val="226"/>
        </w:trPr>
        <w:tc>
          <w:tcPr>
            <w:tcW w:w="3280" w:type="dxa"/>
            <w:vAlign w:val="bottom"/>
            <w:gridSpan w:val="2"/>
          </w:tcPr>
          <w:p>
            <w:pPr>
              <w:ind w:left="140"/>
              <w:spacing w:after="0"/>
              <w:rPr>
                <w:sz w:val="20"/>
                <w:szCs w:val="20"/>
                <w:color w:val="auto"/>
              </w:rPr>
            </w:pPr>
            <w:r>
              <w:rPr>
                <w:rFonts w:ascii="Arial" w:cs="Arial" w:eastAsia="Arial" w:hAnsi="Arial"/>
                <w:sz w:val="16"/>
                <w:szCs w:val="16"/>
                <w:color w:val="auto"/>
              </w:rPr>
              <w:t>Total lease assets</w:t>
            </w:r>
          </w:p>
        </w:tc>
        <w:tc>
          <w:tcPr>
            <w:tcW w:w="3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46,837</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26,615</w:t>
            </w: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37"/>
        </w:trPr>
        <w:tc>
          <w:tcPr>
            <w:tcW w:w="3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67"/>
        </w:trPr>
        <w:tc>
          <w:tcPr>
            <w:tcW w:w="3280" w:type="dxa"/>
            <w:vAlign w:val="bottom"/>
            <w:gridSpan w:val="2"/>
          </w:tcPr>
          <w:p>
            <w:pPr>
              <w:ind w:left="20"/>
              <w:spacing w:after="0"/>
              <w:rPr>
                <w:sz w:val="20"/>
                <w:szCs w:val="20"/>
                <w:color w:val="auto"/>
              </w:rPr>
            </w:pPr>
            <w:r>
              <w:rPr>
                <w:rFonts w:ascii="Arial" w:cs="Arial" w:eastAsia="Arial" w:hAnsi="Arial"/>
                <w:sz w:val="16"/>
                <w:szCs w:val="16"/>
                <w:color w:val="auto"/>
              </w:rPr>
              <w:t>Liabilities</w:t>
            </w:r>
          </w:p>
        </w:tc>
        <w:tc>
          <w:tcPr>
            <w:tcW w:w="3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3"/>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Current:</w:t>
            </w:r>
          </w:p>
        </w:tc>
        <w:tc>
          <w:tcPr>
            <w:tcW w:w="34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67"/>
        </w:trPr>
        <w:tc>
          <w:tcPr>
            <w:tcW w:w="3280" w:type="dxa"/>
            <w:vAlign w:val="bottom"/>
            <w:gridSpan w:val="2"/>
          </w:tcPr>
          <w:p>
            <w:pPr>
              <w:ind w:left="140"/>
              <w:spacing w:after="0"/>
              <w:rPr>
                <w:sz w:val="20"/>
                <w:szCs w:val="20"/>
                <w:color w:val="auto"/>
              </w:rPr>
            </w:pPr>
            <w:r>
              <w:rPr>
                <w:rFonts w:ascii="Arial" w:cs="Arial" w:eastAsia="Arial" w:hAnsi="Arial"/>
                <w:sz w:val="16"/>
                <w:szCs w:val="16"/>
                <w:color w:val="auto"/>
              </w:rPr>
              <w:t>Operating lease liabilities</w:t>
            </w:r>
          </w:p>
        </w:tc>
        <w:tc>
          <w:tcPr>
            <w:tcW w:w="3580" w:type="dxa"/>
            <w:vAlign w:val="bottom"/>
            <w:gridSpan w:val="2"/>
          </w:tcPr>
          <w:p>
            <w:pPr>
              <w:ind w:left="20"/>
              <w:spacing w:after="0"/>
              <w:rPr>
                <w:sz w:val="20"/>
                <w:szCs w:val="20"/>
                <w:color w:val="auto"/>
              </w:rPr>
            </w:pPr>
            <w:r>
              <w:rPr>
                <w:rFonts w:ascii="Arial" w:cs="Arial" w:eastAsia="Arial" w:hAnsi="Arial"/>
                <w:sz w:val="16"/>
                <w:szCs w:val="16"/>
                <w:i w:val="1"/>
                <w:iCs w:val="1"/>
                <w:color w:val="auto"/>
              </w:rPr>
              <w:t>Accrued expenses and other current liabilities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3,788</w:t>
            </w:r>
          </w:p>
        </w:tc>
        <w:tc>
          <w:tcPr>
            <w:tcW w:w="14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4,329</w:t>
            </w:r>
          </w:p>
        </w:tc>
      </w:tr>
      <w:tr>
        <w:trPr>
          <w:trHeight w:val="273"/>
        </w:trPr>
        <w:tc>
          <w:tcPr>
            <w:tcW w:w="3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Finance lease liabilities</w:t>
            </w:r>
          </w:p>
        </w:tc>
        <w:tc>
          <w:tcPr>
            <w:tcW w:w="3580" w:type="dxa"/>
            <w:vAlign w:val="bottom"/>
            <w:gridSpan w:val="2"/>
            <w:shd w:val="clear" w:color="auto" w:fill="CCEEFF"/>
          </w:tcPr>
          <w:p>
            <w:pPr>
              <w:ind w:left="20"/>
              <w:spacing w:after="0"/>
              <w:rPr>
                <w:sz w:val="20"/>
                <w:szCs w:val="20"/>
                <w:color w:val="auto"/>
              </w:rPr>
            </w:pPr>
            <w:r>
              <w:rPr>
                <w:rFonts w:ascii="Arial" w:cs="Arial" w:eastAsia="Arial" w:hAnsi="Arial"/>
                <w:sz w:val="16"/>
                <w:szCs w:val="16"/>
                <w:i w:val="1"/>
                <w:iCs w:val="1"/>
                <w:color w:val="auto"/>
              </w:rPr>
              <w:t>Current maturities of long-term debt</w:t>
            </w: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w:t>
            </w:r>
          </w:p>
        </w:tc>
      </w:tr>
      <w:tr>
        <w:trPr>
          <w:trHeight w:val="267"/>
        </w:trPr>
        <w:tc>
          <w:tcPr>
            <w:tcW w:w="3280" w:type="dxa"/>
            <w:vAlign w:val="bottom"/>
            <w:gridSpan w:val="2"/>
          </w:tcPr>
          <w:p>
            <w:pPr>
              <w:ind w:left="20"/>
              <w:spacing w:after="0"/>
              <w:rPr>
                <w:sz w:val="20"/>
                <w:szCs w:val="20"/>
                <w:color w:val="auto"/>
              </w:rPr>
            </w:pPr>
            <w:r>
              <w:rPr>
                <w:rFonts w:ascii="Arial" w:cs="Arial" w:eastAsia="Arial" w:hAnsi="Arial"/>
                <w:sz w:val="16"/>
                <w:szCs w:val="16"/>
                <w:color w:val="auto"/>
              </w:rPr>
              <w:t>Long-term:</w:t>
            </w:r>
          </w:p>
        </w:tc>
        <w:tc>
          <w:tcPr>
            <w:tcW w:w="3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3"/>
        </w:trPr>
        <w:tc>
          <w:tcPr>
            <w:tcW w:w="3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Operating lease liabilities</w:t>
            </w:r>
          </w:p>
        </w:tc>
        <w:tc>
          <w:tcPr>
            <w:tcW w:w="3580" w:type="dxa"/>
            <w:vAlign w:val="bottom"/>
            <w:gridSpan w:val="2"/>
            <w:shd w:val="clear" w:color="auto" w:fill="CCEEFF"/>
          </w:tcPr>
          <w:p>
            <w:pPr>
              <w:ind w:left="20"/>
              <w:spacing w:after="0"/>
              <w:rPr>
                <w:sz w:val="20"/>
                <w:szCs w:val="20"/>
                <w:color w:val="auto"/>
              </w:rPr>
            </w:pPr>
            <w:r>
              <w:rPr>
                <w:rFonts w:ascii="Arial" w:cs="Arial" w:eastAsia="Arial" w:hAnsi="Arial"/>
                <w:sz w:val="16"/>
                <w:szCs w:val="16"/>
                <w:i w:val="1"/>
                <w:iCs w:val="1"/>
                <w:color w:val="auto"/>
              </w:rPr>
              <w:t>Other long-term liabilities</w:t>
            </w: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44,892</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22,764</w:t>
            </w:r>
          </w:p>
        </w:tc>
      </w:tr>
      <w:tr>
        <w:trPr>
          <w:trHeight w:val="267"/>
        </w:trPr>
        <w:tc>
          <w:tcPr>
            <w:tcW w:w="328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Finance lease liabilities</w:t>
            </w:r>
          </w:p>
        </w:tc>
        <w:tc>
          <w:tcPr>
            <w:tcW w:w="35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i w:val="1"/>
                <w:iCs w:val="1"/>
                <w:color w:val="auto"/>
              </w:rPr>
              <w:t>Long-term debt, less current maturities</w:t>
            </w:r>
          </w:p>
        </w:tc>
        <w:tc>
          <w:tcPr>
            <w:tcW w:w="1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w:t>
            </w:r>
          </w:p>
        </w:tc>
        <w:tc>
          <w:tcPr>
            <w:tcW w:w="14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651</w:t>
            </w:r>
          </w:p>
        </w:tc>
      </w:tr>
      <w:tr>
        <w:trPr>
          <w:trHeight w:val="251"/>
        </w:trPr>
        <w:tc>
          <w:tcPr>
            <w:tcW w:w="32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Total lease liabilities</w:t>
            </w:r>
          </w:p>
        </w:tc>
        <w:tc>
          <w:tcPr>
            <w:tcW w:w="3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49,370</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28,015</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Future maturities of lease liabilities as of August 28, 2021 were as follows:</w:t>
      </w:r>
    </w:p>
    <w:p>
      <w:pPr>
        <w:spacing w:after="0" w:line="351" w:lineRule="exact"/>
        <w:rPr>
          <w:sz w:val="20"/>
          <w:szCs w:val="20"/>
          <w:color w:val="auto"/>
        </w:rPr>
      </w:pPr>
    </w:p>
    <w:tbl>
      <w:tblPr>
        <w:tblLayout w:type="fixed"/>
        <w:tblInd w:w="2320" w:type="dxa"/>
        <w:tblCellMar>
          <w:top w:w="0" w:type="dxa"/>
          <w:left w:w="0" w:type="dxa"/>
          <w:bottom w:w="0" w:type="dxa"/>
          <w:right w:w="0" w:type="dxa"/>
        </w:tblCellMar>
      </w:tblPr>
      <w:tr>
        <w:trPr>
          <w:trHeight w:val="209"/>
        </w:trPr>
        <w:tc>
          <w:tcPr>
            <w:tcW w:w="338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91"/>
              </w:rPr>
              <w:t>Operating Leases</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93"/>
              </w:rPr>
              <w:t>Finance Leases</w:t>
            </w:r>
          </w:p>
        </w:tc>
      </w:tr>
      <w:tr>
        <w:trPr>
          <w:trHeight w:val="253"/>
        </w:trPr>
        <w:tc>
          <w:tcPr>
            <w:tcW w:w="3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Fiscal year ending:</w:t>
            </w: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67"/>
        </w:trPr>
        <w:tc>
          <w:tcPr>
            <w:tcW w:w="3380" w:type="dxa"/>
            <w:vAlign w:val="bottom"/>
          </w:tcPr>
          <w:p>
            <w:pPr>
              <w:spacing w:after="0"/>
              <w:rPr>
                <w:sz w:val="20"/>
                <w:szCs w:val="20"/>
                <w:color w:val="auto"/>
              </w:rPr>
            </w:pPr>
            <w:r>
              <w:rPr>
                <w:rFonts w:ascii="Arial" w:cs="Arial" w:eastAsia="Arial" w:hAnsi="Arial"/>
                <w:sz w:val="16"/>
                <w:szCs w:val="16"/>
                <w:color w:val="auto"/>
              </w:rPr>
              <w:t>2022</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6,087</w:t>
            </w:r>
          </w:p>
        </w:tc>
        <w:tc>
          <w:tcPr>
            <w:tcW w:w="14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313</w:t>
            </w:r>
          </w:p>
        </w:tc>
      </w:tr>
      <w:tr>
        <w:trPr>
          <w:trHeight w:val="273"/>
        </w:trPr>
        <w:tc>
          <w:tcPr>
            <w:tcW w:w="3380" w:type="dxa"/>
            <w:vAlign w:val="bottom"/>
            <w:shd w:val="clear" w:color="auto" w:fill="CCEEFF"/>
          </w:tcPr>
          <w:p>
            <w:pPr>
              <w:spacing w:after="0"/>
              <w:rPr>
                <w:sz w:val="20"/>
                <w:szCs w:val="20"/>
                <w:color w:val="auto"/>
              </w:rPr>
            </w:pPr>
            <w:r>
              <w:rPr>
                <w:rFonts w:ascii="Arial" w:cs="Arial" w:eastAsia="Arial" w:hAnsi="Arial"/>
                <w:sz w:val="16"/>
                <w:szCs w:val="16"/>
                <w:color w:val="auto"/>
              </w:rPr>
              <w:t>2023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7,005</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w:t>
            </w:r>
          </w:p>
        </w:tc>
      </w:tr>
      <w:tr>
        <w:trPr>
          <w:trHeight w:val="267"/>
        </w:trPr>
        <w:tc>
          <w:tcPr>
            <w:tcW w:w="3380" w:type="dxa"/>
            <w:vAlign w:val="bottom"/>
          </w:tcPr>
          <w:p>
            <w:pPr>
              <w:spacing w:after="0"/>
              <w:rPr>
                <w:sz w:val="20"/>
                <w:szCs w:val="20"/>
                <w:color w:val="auto"/>
              </w:rPr>
            </w:pPr>
            <w:r>
              <w:rPr>
                <w:rFonts w:ascii="Arial" w:cs="Arial" w:eastAsia="Arial" w:hAnsi="Arial"/>
                <w:sz w:val="16"/>
                <w:szCs w:val="16"/>
                <w:color w:val="auto"/>
              </w:rPr>
              <w:t>2024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7,489</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145</w:t>
            </w:r>
          </w:p>
        </w:tc>
      </w:tr>
      <w:tr>
        <w:trPr>
          <w:trHeight w:val="273"/>
        </w:trPr>
        <w:tc>
          <w:tcPr>
            <w:tcW w:w="3380" w:type="dxa"/>
            <w:vAlign w:val="bottom"/>
            <w:shd w:val="clear" w:color="auto" w:fill="CCEEFF"/>
          </w:tcPr>
          <w:p>
            <w:pPr>
              <w:spacing w:after="0"/>
              <w:rPr>
                <w:sz w:val="20"/>
                <w:szCs w:val="20"/>
                <w:color w:val="auto"/>
              </w:rPr>
            </w:pPr>
            <w:r>
              <w:rPr>
                <w:rFonts w:ascii="Arial" w:cs="Arial" w:eastAsia="Arial" w:hAnsi="Arial"/>
                <w:sz w:val="16"/>
                <w:szCs w:val="16"/>
                <w:color w:val="auto"/>
              </w:rPr>
              <w:t>2025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7,152</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67"/>
        </w:trPr>
        <w:tc>
          <w:tcPr>
            <w:tcW w:w="3380" w:type="dxa"/>
            <w:vAlign w:val="bottom"/>
          </w:tcPr>
          <w:p>
            <w:pPr>
              <w:spacing w:after="0"/>
              <w:rPr>
                <w:sz w:val="20"/>
                <w:szCs w:val="20"/>
                <w:color w:val="auto"/>
              </w:rPr>
            </w:pPr>
            <w:r>
              <w:rPr>
                <w:rFonts w:ascii="Arial" w:cs="Arial" w:eastAsia="Arial" w:hAnsi="Arial"/>
                <w:sz w:val="16"/>
                <w:szCs w:val="16"/>
                <w:color w:val="auto"/>
              </w:rPr>
              <w:t>2026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6,701</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Thereafter</w:t>
            </w: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25,501</w:t>
            </w:r>
          </w:p>
        </w:tc>
        <w:tc>
          <w:tcPr>
            <w:tcW w:w="14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3500" w:type="dxa"/>
            <w:vAlign w:val="bottom"/>
            <w:gridSpan w:val="2"/>
          </w:tcPr>
          <w:p>
            <w:pPr>
              <w:spacing w:after="0"/>
              <w:rPr>
                <w:sz w:val="20"/>
                <w:szCs w:val="20"/>
                <w:color w:val="auto"/>
              </w:rPr>
            </w:pPr>
            <w:r>
              <w:rPr>
                <w:rFonts w:ascii="Arial" w:cs="Arial" w:eastAsia="Arial" w:hAnsi="Arial"/>
                <w:sz w:val="16"/>
                <w:szCs w:val="16"/>
                <w:color w:val="auto"/>
              </w:rPr>
              <w:t>Total lease payments</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59,935</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736</w:t>
            </w:r>
          </w:p>
        </w:tc>
      </w:tr>
      <w:tr>
        <w:trPr>
          <w:trHeight w:val="270"/>
        </w:trPr>
        <w:tc>
          <w:tcPr>
            <w:tcW w:w="3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Less: Interest</w:t>
            </w: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(11,255)</w:t>
            </w:r>
          </w:p>
        </w:tc>
        <w:tc>
          <w:tcPr>
            <w:tcW w:w="14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26"/>
        </w:trPr>
        <w:tc>
          <w:tcPr>
            <w:tcW w:w="3500" w:type="dxa"/>
            <w:vAlign w:val="bottom"/>
            <w:gridSpan w:val="2"/>
          </w:tcPr>
          <w:p>
            <w:pPr>
              <w:spacing w:after="0"/>
              <w:rPr>
                <w:sz w:val="20"/>
                <w:szCs w:val="20"/>
                <w:color w:val="auto"/>
              </w:rPr>
            </w:pPr>
            <w:r>
              <w:rPr>
                <w:rFonts w:ascii="Arial" w:cs="Arial" w:eastAsia="Arial" w:hAnsi="Arial"/>
                <w:sz w:val="16"/>
                <w:szCs w:val="16"/>
                <w:color w:val="auto"/>
              </w:rPr>
              <w:t>Present value of lease liabilities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48,680</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690</w:t>
            </w:r>
          </w:p>
        </w:tc>
      </w:tr>
      <w:tr>
        <w:trPr>
          <w:trHeight w:val="20"/>
        </w:trPr>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firstLine="278"/>
        <w:spacing w:after="0" w:line="277" w:lineRule="auto"/>
        <w:rPr>
          <w:sz w:val="20"/>
          <w:szCs w:val="20"/>
          <w:color w:val="auto"/>
        </w:rPr>
      </w:pPr>
      <w:r>
        <w:rPr>
          <w:rFonts w:ascii="Arial" w:cs="Arial" w:eastAsia="Arial" w:hAnsi="Arial"/>
          <w:sz w:val="18"/>
          <w:szCs w:val="18"/>
          <w:color w:val="auto"/>
        </w:rPr>
        <w:t>The weighted-average remaining lease terms and weighted-average discount rates for operating and finance leases as of August 28, 2021 were as follows:</w:t>
      </w:r>
    </w:p>
    <w:p>
      <w:pPr>
        <w:spacing w:after="0" w:line="296" w:lineRule="exact"/>
        <w:rPr>
          <w:sz w:val="20"/>
          <w:szCs w:val="20"/>
          <w:color w:val="auto"/>
        </w:rPr>
      </w:pPr>
    </w:p>
    <w:tbl>
      <w:tblPr>
        <w:tblLayout w:type="fixed"/>
        <w:tblInd w:w="2320" w:type="dxa"/>
        <w:tblCellMar>
          <w:top w:w="0" w:type="dxa"/>
          <w:left w:w="0" w:type="dxa"/>
          <w:bottom w:w="0" w:type="dxa"/>
          <w:right w:w="0" w:type="dxa"/>
        </w:tblCellMar>
      </w:tblPr>
      <w:tr>
        <w:trPr>
          <w:trHeight w:val="209"/>
        </w:trPr>
        <w:tc>
          <w:tcPr>
            <w:tcW w:w="3460" w:type="dxa"/>
            <w:vAlign w:val="bottom"/>
          </w:tcPr>
          <w:p>
            <w:pPr>
              <w:spacing w:after="0"/>
              <w:rPr>
                <w:sz w:val="18"/>
                <w:szCs w:val="18"/>
                <w:color w:val="auto"/>
              </w:rPr>
            </w:pPr>
          </w:p>
        </w:tc>
        <w:tc>
          <w:tcPr>
            <w:tcW w:w="1660" w:type="dxa"/>
            <w:vAlign w:val="bottom"/>
            <w:gridSpan w:val="2"/>
          </w:tcPr>
          <w:p>
            <w:pPr>
              <w:ind w:left="180"/>
              <w:spacing w:after="0"/>
              <w:rPr>
                <w:sz w:val="20"/>
                <w:szCs w:val="20"/>
                <w:color w:val="auto"/>
              </w:rPr>
            </w:pPr>
            <w:r>
              <w:rPr>
                <w:rFonts w:ascii="Arial" w:cs="Arial" w:eastAsia="Arial" w:hAnsi="Arial"/>
                <w:sz w:val="16"/>
                <w:szCs w:val="16"/>
                <w:color w:val="auto"/>
              </w:rPr>
              <w:t>Operating Leases</w:t>
            </w:r>
          </w:p>
        </w:tc>
        <w:tc>
          <w:tcPr>
            <w:tcW w:w="1500" w:type="dxa"/>
            <w:vAlign w:val="bottom"/>
          </w:tcPr>
          <w:p>
            <w:pPr>
              <w:jc w:val="right"/>
              <w:ind w:right="179"/>
              <w:spacing w:after="0"/>
              <w:rPr>
                <w:sz w:val="20"/>
                <w:szCs w:val="20"/>
                <w:color w:val="auto"/>
              </w:rPr>
            </w:pPr>
            <w:r>
              <w:rPr>
                <w:rFonts w:ascii="Arial" w:cs="Arial" w:eastAsia="Arial" w:hAnsi="Arial"/>
                <w:sz w:val="16"/>
                <w:szCs w:val="16"/>
                <w:color w:val="auto"/>
              </w:rPr>
              <w:t>Finance Leases</w:t>
            </w:r>
          </w:p>
        </w:tc>
        <w:tc>
          <w:tcPr>
            <w:tcW w:w="0" w:type="dxa"/>
            <w:vAlign w:val="bottom"/>
          </w:tcPr>
          <w:p>
            <w:pPr>
              <w:spacing w:after="0"/>
              <w:rPr>
                <w:sz w:val="1"/>
                <w:szCs w:val="1"/>
                <w:color w:val="auto"/>
              </w:rPr>
            </w:pPr>
          </w:p>
        </w:tc>
      </w:tr>
      <w:tr>
        <w:trPr>
          <w:trHeight w:val="253"/>
        </w:trPr>
        <w:tc>
          <w:tcPr>
            <w:tcW w:w="3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As of August 28, 2021</w:t>
            </w:r>
          </w:p>
        </w:tc>
        <w:tc>
          <w:tcPr>
            <w:tcW w:w="152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150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460" w:type="dxa"/>
            <w:vAlign w:val="bottom"/>
          </w:tcPr>
          <w:p>
            <w:pPr>
              <w:ind w:left="120"/>
              <w:spacing w:after="0" w:line="166" w:lineRule="exact"/>
              <w:rPr>
                <w:sz w:val="20"/>
                <w:szCs w:val="20"/>
                <w:color w:val="auto"/>
              </w:rPr>
            </w:pPr>
            <w:r>
              <w:rPr>
                <w:rFonts w:ascii="Arial" w:cs="Arial" w:eastAsia="Arial" w:hAnsi="Arial"/>
                <w:sz w:val="16"/>
                <w:szCs w:val="16"/>
                <w:color w:val="auto"/>
              </w:rPr>
              <w:t>Weighted-average remaining lease term (in</w:t>
            </w:r>
          </w:p>
        </w:tc>
        <w:tc>
          <w:tcPr>
            <w:tcW w:w="1520" w:type="dxa"/>
            <w:vAlign w:val="bottom"/>
            <w:vMerge w:val="restart"/>
          </w:tcPr>
          <w:p>
            <w:pPr>
              <w:jc w:val="right"/>
              <w:spacing w:after="0"/>
              <w:rPr>
                <w:sz w:val="20"/>
                <w:szCs w:val="20"/>
                <w:color w:val="auto"/>
              </w:rPr>
            </w:pPr>
            <w:r>
              <w:rPr>
                <w:rFonts w:ascii="Arial" w:cs="Arial" w:eastAsia="Arial" w:hAnsi="Arial"/>
                <w:sz w:val="16"/>
                <w:szCs w:val="16"/>
                <w:color w:val="auto"/>
              </w:rPr>
              <w:t>8.38</w:t>
            </w:r>
          </w:p>
        </w:tc>
        <w:tc>
          <w:tcPr>
            <w:tcW w:w="140" w:type="dxa"/>
            <w:vAlign w:val="bottom"/>
          </w:tcPr>
          <w:p>
            <w:pPr>
              <w:spacing w:after="0"/>
              <w:rPr>
                <w:sz w:val="14"/>
                <w:szCs w:val="14"/>
                <w:color w:val="auto"/>
              </w:rPr>
            </w:pPr>
          </w:p>
        </w:tc>
        <w:tc>
          <w:tcPr>
            <w:tcW w:w="1500" w:type="dxa"/>
            <w:vAlign w:val="bottom"/>
            <w:vMerge w:val="restart"/>
          </w:tcPr>
          <w:p>
            <w:pPr>
              <w:jc w:val="right"/>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209"/>
        </w:trPr>
        <w:tc>
          <w:tcPr>
            <w:tcW w:w="3460" w:type="dxa"/>
            <w:vAlign w:val="bottom"/>
          </w:tcPr>
          <w:p>
            <w:pPr>
              <w:ind w:left="120"/>
              <w:spacing w:after="0"/>
              <w:rPr>
                <w:sz w:val="20"/>
                <w:szCs w:val="20"/>
                <w:color w:val="auto"/>
              </w:rPr>
            </w:pPr>
            <w:r>
              <w:rPr>
                <w:rFonts w:ascii="Arial" w:cs="Arial" w:eastAsia="Arial" w:hAnsi="Arial"/>
                <w:sz w:val="16"/>
                <w:szCs w:val="16"/>
                <w:color w:val="auto"/>
              </w:rPr>
              <w:t>years)</w:t>
            </w:r>
          </w:p>
        </w:tc>
        <w:tc>
          <w:tcPr>
            <w:tcW w:w="15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34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Weighted-average discount rate</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4.9 %</w:t>
            </w:r>
          </w:p>
        </w:tc>
        <w:tc>
          <w:tcPr>
            <w:tcW w:w="14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5.6 %</w:t>
            </w:r>
          </w:p>
        </w:tc>
        <w:tc>
          <w:tcPr>
            <w:tcW w:w="0" w:type="dxa"/>
            <w:vAlign w:val="bottom"/>
          </w:tcPr>
          <w:p>
            <w:pPr>
              <w:spacing w:after="0"/>
              <w:rPr>
                <w:sz w:val="1"/>
                <w:szCs w:val="1"/>
                <w:color w:val="auto"/>
              </w:rPr>
            </w:pPr>
          </w:p>
        </w:tc>
      </w:tr>
      <w:tr>
        <w:trPr>
          <w:trHeight w:val="267"/>
        </w:trPr>
        <w:tc>
          <w:tcPr>
            <w:tcW w:w="3460" w:type="dxa"/>
            <w:vAlign w:val="bottom"/>
          </w:tcPr>
          <w:p>
            <w:pPr>
              <w:spacing w:after="0"/>
              <w:rPr>
                <w:sz w:val="20"/>
                <w:szCs w:val="20"/>
                <w:color w:val="auto"/>
              </w:rPr>
            </w:pPr>
            <w:r>
              <w:rPr>
                <w:rFonts w:ascii="Arial" w:cs="Arial" w:eastAsia="Arial" w:hAnsi="Arial"/>
                <w:sz w:val="16"/>
                <w:szCs w:val="16"/>
                <w:color w:val="auto"/>
              </w:rPr>
              <w:t>As of August 29, 2020</w:t>
            </w:r>
          </w:p>
        </w:tc>
        <w:tc>
          <w:tcPr>
            <w:tcW w:w="15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3460" w:type="dxa"/>
            <w:vAlign w:val="bottom"/>
            <w:shd w:val="clear" w:color="auto" w:fill="CCEEFF"/>
          </w:tcPr>
          <w:p>
            <w:pPr>
              <w:ind w:left="120"/>
              <w:spacing w:after="0" w:line="169" w:lineRule="exact"/>
              <w:rPr>
                <w:sz w:val="20"/>
                <w:szCs w:val="20"/>
                <w:color w:val="auto"/>
              </w:rPr>
            </w:pPr>
            <w:r>
              <w:rPr>
                <w:rFonts w:ascii="Arial" w:cs="Arial" w:eastAsia="Arial" w:hAnsi="Arial"/>
                <w:sz w:val="16"/>
                <w:szCs w:val="16"/>
                <w:color w:val="auto"/>
              </w:rPr>
              <w:t>Weighted-average remaining lease term (in</w:t>
            </w: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6.97</w:t>
            </w:r>
          </w:p>
        </w:tc>
        <w:tc>
          <w:tcPr>
            <w:tcW w:w="140" w:type="dxa"/>
            <w:vAlign w:val="bottom"/>
            <w:shd w:val="clear" w:color="auto" w:fill="CCEEFF"/>
          </w:tcPr>
          <w:p>
            <w:pPr>
              <w:spacing w:after="0"/>
              <w:rPr>
                <w:sz w:val="14"/>
                <w:szCs w:val="14"/>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0" w:type="dxa"/>
            <w:vAlign w:val="bottom"/>
          </w:tcPr>
          <w:p>
            <w:pPr>
              <w:spacing w:after="0"/>
              <w:rPr>
                <w:sz w:val="1"/>
                <w:szCs w:val="1"/>
                <w:color w:val="auto"/>
              </w:rPr>
            </w:pPr>
          </w:p>
        </w:tc>
      </w:tr>
      <w:tr>
        <w:trPr>
          <w:trHeight w:val="212"/>
        </w:trPr>
        <w:tc>
          <w:tcPr>
            <w:tcW w:w="34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years)</w:t>
            </w:r>
          </w:p>
        </w:tc>
        <w:tc>
          <w:tcPr>
            <w:tcW w:w="15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3460" w:type="dxa"/>
            <w:vAlign w:val="bottom"/>
          </w:tcPr>
          <w:p>
            <w:pPr>
              <w:ind w:left="120"/>
              <w:spacing w:after="0"/>
              <w:rPr>
                <w:sz w:val="20"/>
                <w:szCs w:val="20"/>
                <w:color w:val="auto"/>
              </w:rPr>
            </w:pPr>
            <w:r>
              <w:rPr>
                <w:rFonts w:ascii="Arial" w:cs="Arial" w:eastAsia="Arial" w:hAnsi="Arial"/>
                <w:sz w:val="16"/>
                <w:szCs w:val="16"/>
                <w:color w:val="auto"/>
              </w:rPr>
              <w:t>Weighted-average discount rate</w:t>
            </w:r>
          </w:p>
        </w:tc>
        <w:tc>
          <w:tcPr>
            <w:tcW w:w="1520" w:type="dxa"/>
            <w:vAlign w:val="bottom"/>
          </w:tcPr>
          <w:p>
            <w:pPr>
              <w:jc w:val="right"/>
              <w:spacing w:after="0"/>
              <w:rPr>
                <w:sz w:val="20"/>
                <w:szCs w:val="20"/>
                <w:color w:val="auto"/>
              </w:rPr>
            </w:pPr>
            <w:r>
              <w:rPr>
                <w:rFonts w:ascii="Arial" w:cs="Arial" w:eastAsia="Arial" w:hAnsi="Arial"/>
                <w:sz w:val="16"/>
                <w:szCs w:val="16"/>
                <w:color w:val="auto"/>
              </w:rPr>
              <w:t>5.7 %</w:t>
            </w:r>
          </w:p>
        </w:tc>
        <w:tc>
          <w:tcPr>
            <w:tcW w:w="14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5.6 %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Supplemental and other information related to leases was as follows:</w:t>
      </w:r>
    </w:p>
    <w:p>
      <w:pPr>
        <w:spacing w:after="0" w:line="297" w:lineRule="exact"/>
        <w:rPr>
          <w:sz w:val="20"/>
          <w:szCs w:val="20"/>
          <w:color w:val="auto"/>
        </w:rPr>
      </w:pPr>
    </w:p>
    <w:tbl>
      <w:tblPr>
        <w:tblLayout w:type="fixed"/>
        <w:tblInd w:w="2320" w:type="dxa"/>
        <w:tblCellMar>
          <w:top w:w="0" w:type="dxa"/>
          <w:left w:w="0" w:type="dxa"/>
          <w:bottom w:w="0" w:type="dxa"/>
          <w:right w:w="0" w:type="dxa"/>
        </w:tblCellMar>
      </w:tblPr>
      <w:tr>
        <w:trPr>
          <w:trHeight w:val="206"/>
        </w:trPr>
        <w:tc>
          <w:tcPr>
            <w:tcW w:w="3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ind w:left="40"/>
              <w:spacing w:after="0"/>
              <w:rPr>
                <w:sz w:val="20"/>
                <w:szCs w:val="20"/>
                <w:color w:val="auto"/>
              </w:rPr>
            </w:pPr>
            <w:r>
              <w:rPr>
                <w:rFonts w:ascii="Arial" w:cs="Arial" w:eastAsia="Arial" w:hAnsi="Arial"/>
                <w:sz w:val="16"/>
                <w:szCs w:val="16"/>
                <w:color w:val="auto"/>
              </w:rPr>
              <w:t>52-Weeks Ended</w:t>
            </w:r>
          </w:p>
        </w:tc>
        <w:tc>
          <w:tcPr>
            <w:tcW w:w="140" w:type="dxa"/>
            <w:vAlign w:val="bottom"/>
          </w:tcPr>
          <w:p>
            <w:pPr>
              <w:spacing w:after="0"/>
              <w:rPr>
                <w:sz w:val="17"/>
                <w:szCs w:val="17"/>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color w:val="auto"/>
                <w:w w:val="91"/>
              </w:rPr>
              <w:t>52-Weeks Ended</w:t>
            </w:r>
          </w:p>
        </w:tc>
      </w:tr>
      <w:tr>
        <w:trPr>
          <w:trHeight w:val="219"/>
        </w:trPr>
        <w:tc>
          <w:tcPr>
            <w:tcW w:w="338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96"/>
              </w:rPr>
              <w:t>August 28, 2021</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96"/>
              </w:rPr>
              <w:t>August 29, 2020</w:t>
            </w:r>
          </w:p>
        </w:tc>
      </w:tr>
      <w:tr>
        <w:trPr>
          <w:trHeight w:val="162"/>
        </w:trPr>
        <w:tc>
          <w:tcPr>
            <w:tcW w:w="3520" w:type="dxa"/>
            <w:vAlign w:val="bottom"/>
            <w:gridSpan w:val="2"/>
            <w:shd w:val="clear" w:color="auto" w:fill="CCEEFF"/>
          </w:tcPr>
          <w:p>
            <w:pPr>
              <w:spacing w:after="0" w:line="162" w:lineRule="exact"/>
              <w:rPr>
                <w:sz w:val="20"/>
                <w:szCs w:val="20"/>
                <w:color w:val="auto"/>
              </w:rPr>
            </w:pPr>
            <w:r>
              <w:rPr>
                <w:rFonts w:ascii="Arial" w:cs="Arial" w:eastAsia="Arial" w:hAnsi="Arial"/>
                <w:sz w:val="16"/>
                <w:szCs w:val="16"/>
                <w:color w:val="auto"/>
              </w:rPr>
              <w:t>Cash paid for amounts included in the</w:t>
            </w:r>
          </w:p>
        </w:tc>
        <w:tc>
          <w:tcPr>
            <w:tcW w:w="1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212"/>
        </w:trPr>
        <w:tc>
          <w:tcPr>
            <w:tcW w:w="3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measurement of lease liabilities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67"/>
        </w:trPr>
        <w:tc>
          <w:tcPr>
            <w:tcW w:w="3520" w:type="dxa"/>
            <w:vAlign w:val="bottom"/>
            <w:gridSpan w:val="2"/>
          </w:tcPr>
          <w:p>
            <w:pPr>
              <w:ind w:left="120"/>
              <w:spacing w:after="0"/>
              <w:rPr>
                <w:sz w:val="20"/>
                <w:szCs w:val="20"/>
                <w:color w:val="auto"/>
              </w:rPr>
            </w:pPr>
            <w:r>
              <w:rPr>
                <w:rFonts w:ascii="Arial" w:cs="Arial" w:eastAsia="Arial" w:hAnsi="Arial"/>
                <w:sz w:val="16"/>
                <w:szCs w:val="16"/>
                <w:color w:val="auto"/>
              </w:rPr>
              <w:t>Operating cash flows from operating leases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7,622</w:t>
            </w:r>
          </w:p>
        </w:tc>
        <w:tc>
          <w:tcPr>
            <w:tcW w:w="1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6,534</w:t>
            </w:r>
          </w:p>
        </w:tc>
      </w:tr>
      <w:tr>
        <w:trPr>
          <w:trHeight w:val="273"/>
        </w:trPr>
        <w:tc>
          <w:tcPr>
            <w:tcW w:w="35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Operating cash flows from finance leases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64"/>
        </w:trPr>
        <w:tc>
          <w:tcPr>
            <w:tcW w:w="3520" w:type="dxa"/>
            <w:vAlign w:val="bottom"/>
            <w:gridSpan w:val="2"/>
          </w:tcPr>
          <w:p>
            <w:pPr>
              <w:ind w:left="120"/>
              <w:spacing w:after="0"/>
              <w:rPr>
                <w:sz w:val="20"/>
                <w:szCs w:val="20"/>
                <w:color w:val="auto"/>
              </w:rPr>
            </w:pPr>
            <w:r>
              <w:rPr>
                <w:rFonts w:ascii="Arial" w:cs="Arial" w:eastAsia="Arial" w:hAnsi="Arial"/>
                <w:sz w:val="16"/>
                <w:szCs w:val="16"/>
                <w:color w:val="auto"/>
              </w:rPr>
              <w:t>Financing cash flows from finance leases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314</w:t>
            </w:r>
          </w:p>
        </w:tc>
        <w:tc>
          <w:tcPr>
            <w:tcW w:w="1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338</w:t>
            </w:r>
          </w:p>
        </w:tc>
      </w:tr>
    </w:tbl>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52" w:lineRule="exact"/>
        <w:rPr>
          <w:sz w:val="20"/>
          <w:szCs w:val="20"/>
          <w:color w:val="auto"/>
        </w:rPr>
      </w:pPr>
    </w:p>
    <w:p>
      <w:pPr>
        <w:jc w:val="both"/>
        <w:ind w:firstLine="182"/>
        <w:spacing w:after="0" w:line="259" w:lineRule="auto"/>
        <w:rPr>
          <w:sz w:val="20"/>
          <w:szCs w:val="20"/>
          <w:color w:val="auto"/>
        </w:rPr>
      </w:pPr>
      <w:r>
        <w:rPr>
          <w:rFonts w:ascii="Arial" w:cs="Arial" w:eastAsia="Arial" w:hAnsi="Arial"/>
          <w:sz w:val="18"/>
          <w:szCs w:val="18"/>
          <w:color w:val="auto"/>
        </w:rPr>
        <w:t>The Company is a party to certain litigation and claims that are considered normal to the operations of the business. From time to time, the Company has been and may again become involved in legal proceedings arising in the ordinary course of business. The Company is not presently a party to any litigation that it believes to be material, and the Company is not aware of any pending or threatened litigation against it that its management believes could have a material adverse effect on its business, operating results, financial condition or cash flows.</w:t>
      </w:r>
    </w:p>
    <w:p>
      <w:pPr>
        <w:spacing w:after="0" w:line="214" w:lineRule="exact"/>
        <w:rPr>
          <w:sz w:val="20"/>
          <w:szCs w:val="20"/>
          <w:color w:val="auto"/>
        </w:rPr>
      </w:pPr>
    </w:p>
    <w:p>
      <w:pPr>
        <w:jc w:val="both"/>
        <w:ind w:firstLine="180"/>
        <w:spacing w:after="0" w:line="259" w:lineRule="auto"/>
        <w:rPr>
          <w:sz w:val="20"/>
          <w:szCs w:val="20"/>
          <w:color w:val="auto"/>
        </w:rPr>
      </w:pPr>
      <w:r>
        <w:rPr>
          <w:rFonts w:ascii="Arial" w:cs="Arial" w:eastAsia="Arial" w:hAnsi="Arial"/>
          <w:sz w:val="18"/>
          <w:szCs w:val="18"/>
          <w:color w:val="auto"/>
        </w:rPr>
        <w:t xml:space="preserve">During the fifty-three weeks ended August 31, 2019, the Company reserved $3.5 million for the potential settlement of class action litigation concerning certain product label claims. During the fifty-two weeks ended August 29, 2020, the Company reserved an additional $0.3 million. The reserve was included within </w:t>
      </w:r>
      <w:r>
        <w:rPr>
          <w:rFonts w:ascii="Arial" w:cs="Arial" w:eastAsia="Arial" w:hAnsi="Arial"/>
          <w:sz w:val="18"/>
          <w:szCs w:val="18"/>
          <w:i w:val="1"/>
          <w:iCs w:val="1"/>
          <w:color w:val="auto"/>
        </w:rPr>
        <w:t>General and administrative</w:t>
      </w:r>
      <w:r>
        <w:rPr>
          <w:rFonts w:ascii="Arial" w:cs="Arial" w:eastAsia="Arial" w:hAnsi="Arial"/>
          <w:sz w:val="18"/>
          <w:szCs w:val="18"/>
          <w:color w:val="auto"/>
        </w:rPr>
        <w:t xml:space="preserve"> in the Consolidated Statements of Operations and Comprehensive Income (Loss) and the reserve was fully paid into escrow and settled during the fifty-two weeks ended August 29, 2020.</w:t>
      </w:r>
    </w:p>
    <w:p>
      <w:pPr>
        <w:spacing w:after="0" w:line="214" w:lineRule="exact"/>
        <w:rPr>
          <w:sz w:val="20"/>
          <w:szCs w:val="20"/>
          <w:color w:val="auto"/>
        </w:rPr>
      </w:pPr>
    </w:p>
    <w:p>
      <w:pPr>
        <w:jc w:val="both"/>
        <w:ind w:firstLine="184"/>
        <w:spacing w:after="0" w:line="277" w:lineRule="auto"/>
        <w:rPr>
          <w:sz w:val="20"/>
          <w:szCs w:val="20"/>
          <w:color w:val="auto"/>
        </w:rPr>
      </w:pPr>
      <w:r>
        <w:rPr>
          <w:rFonts w:ascii="Arial" w:cs="Arial" w:eastAsia="Arial" w:hAnsi="Arial"/>
          <w:sz w:val="18"/>
          <w:szCs w:val="18"/>
          <w:color w:val="auto"/>
        </w:rPr>
        <w:t xml:space="preserve">During the fifty-two weeks ended August 28, 2021, the Company received a $5.0 million gain on a legal settlement, which has been presented as an item within </w:t>
      </w:r>
      <w:r>
        <w:rPr>
          <w:rFonts w:ascii="Arial" w:cs="Arial" w:eastAsia="Arial" w:hAnsi="Arial"/>
          <w:sz w:val="18"/>
          <w:szCs w:val="18"/>
          <w:i w:val="1"/>
          <w:iCs w:val="1"/>
          <w:color w:val="auto"/>
        </w:rPr>
        <w:t>Other income (expense)</w:t>
      </w:r>
      <w:r>
        <w:rPr>
          <w:rFonts w:ascii="Arial" w:cs="Arial" w:eastAsia="Arial" w:hAnsi="Arial"/>
          <w:sz w:val="18"/>
          <w:szCs w:val="18"/>
          <w:color w:val="auto"/>
        </w:rPr>
        <w:t xml:space="preserve"> in the Consolidated Statements of Operations and Comprehensive Income (Loss).</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7"/>
          <w:szCs w:val="17"/>
          <w:color w:val="auto"/>
        </w:rPr>
        <w:t>As of August 28, 2021 and August 29, 2020, the Company had $0.7 million and $1.3 million reserved for potential settlements, respectively.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52" w:lineRule="exact"/>
        <w:rPr>
          <w:sz w:val="20"/>
          <w:szCs w:val="20"/>
          <w:color w:val="auto"/>
        </w:rPr>
      </w:pPr>
    </w:p>
    <w:p>
      <w:pPr>
        <w:jc w:val="both"/>
        <w:ind w:firstLine="198"/>
        <w:spacing w:after="0" w:line="279" w:lineRule="auto"/>
        <w:rPr>
          <w:sz w:val="20"/>
          <w:szCs w:val="20"/>
          <w:color w:val="auto"/>
        </w:rPr>
      </w:pPr>
      <w:r>
        <w:rPr>
          <w:rFonts w:ascii="Arial" w:cs="Arial" w:eastAsia="Arial" w:hAnsi="Arial"/>
          <w:sz w:val="17"/>
          <w:szCs w:val="17"/>
          <w:color w:val="auto"/>
        </w:rPr>
        <w:t>The Company has entered into endorsement contracts with certain celebrity figures and social media influencers to promote and endorse the Atkins and Quest brands and product lines. These contracts contain endorsement fees, which are expensed ratably over the life of the contract, and performance fees, that are recognized at the time of achievement. Based on the terms of the contracts in place and achievement of performance conditions as of August 28, 2021, the Company will be required to make payments of $2.7 million over the next year.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Stockholders’ Equity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Equity Offering</w:t>
      </w:r>
    </w:p>
    <w:p>
      <w:pPr>
        <w:spacing w:after="0" w:line="252" w:lineRule="exact"/>
        <w:rPr>
          <w:sz w:val="20"/>
          <w:szCs w:val="20"/>
          <w:color w:val="auto"/>
        </w:rPr>
      </w:pPr>
    </w:p>
    <w:p>
      <w:pPr>
        <w:jc w:val="both"/>
        <w:ind w:firstLine="217"/>
        <w:spacing w:after="0" w:line="279" w:lineRule="auto"/>
        <w:rPr>
          <w:sz w:val="20"/>
          <w:szCs w:val="20"/>
          <w:color w:val="auto"/>
        </w:rPr>
      </w:pPr>
      <w:r>
        <w:rPr>
          <w:rFonts w:ascii="Arial" w:cs="Arial" w:eastAsia="Arial" w:hAnsi="Arial"/>
          <w:sz w:val="17"/>
          <w:szCs w:val="17"/>
          <w:color w:val="auto"/>
        </w:rPr>
        <w:t>On October 9, 2019, the Company completed an underwritten public offering of 13,379,205 shares of common stock at a price to the public of $26.35 per share. The Company paid underwriting discounts and commissions of $0.19 per share resulting in net proceeds to the Company of $26.16 per share, or approximately $350.0 million (the “Offering”). The Company paid $0.8 million for legal, accounting and registrations fees related to the Offering. The net proceeds were used to pay a portion of the purchase price and related fees and expenses for the Quest Acquisition.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to Purchase Common Stock</w:t>
      </w:r>
    </w:p>
    <w:p>
      <w:pPr>
        <w:spacing w:after="0" w:line="252" w:lineRule="exact"/>
        <w:rPr>
          <w:sz w:val="20"/>
          <w:szCs w:val="20"/>
          <w:color w:val="auto"/>
        </w:rPr>
      </w:pPr>
    </w:p>
    <w:p>
      <w:pPr>
        <w:jc w:val="both"/>
        <w:ind w:firstLine="295"/>
        <w:spacing w:after="0" w:line="259" w:lineRule="auto"/>
        <w:rPr>
          <w:sz w:val="20"/>
          <w:szCs w:val="20"/>
          <w:color w:val="auto"/>
        </w:rPr>
      </w:pPr>
      <w:r>
        <w:rPr>
          <w:rFonts w:ascii="Arial" w:cs="Arial" w:eastAsia="Arial" w:hAnsi="Arial"/>
          <w:sz w:val="18"/>
          <w:szCs w:val="18"/>
          <w:color w:val="auto"/>
        </w:rPr>
        <w:t>Prior to the Business Combination, Conyers Park issued 13,416,667 public warrants and 6,700,000 Private Warrants. The Company assumed the Conyers Park warrants to purchase common stock in connection with the Business Combination. As a result of the Business Combination, the warrants issued by Conyers Park were no longer exercisable for shares of Conyers Park common stock, but were instead exercisable for common stock of the Company. All other features of the warrants were unchanged.</w:t>
      </w:r>
    </w:p>
    <w:p>
      <w:pPr>
        <w:spacing w:after="0" w:line="214" w:lineRule="exact"/>
        <w:rPr>
          <w:sz w:val="20"/>
          <w:szCs w:val="20"/>
          <w:color w:val="auto"/>
        </w:rPr>
      </w:pPr>
    </w:p>
    <w:p>
      <w:pPr>
        <w:jc w:val="both"/>
        <w:ind w:firstLine="249"/>
        <w:spacing w:after="0" w:line="263" w:lineRule="auto"/>
        <w:rPr>
          <w:sz w:val="20"/>
          <w:szCs w:val="20"/>
          <w:color w:val="auto"/>
        </w:rPr>
      </w:pPr>
      <w:r>
        <w:rPr>
          <w:rFonts w:ascii="Arial" w:cs="Arial" w:eastAsia="Arial" w:hAnsi="Arial"/>
          <w:sz w:val="18"/>
          <w:szCs w:val="18"/>
          <w:color w:val="auto"/>
        </w:rPr>
        <w:t>Each whole warrant entitles the holder to purchase one share of the Company’s common stock at a price of $11.50 per share. The warrants became exercisable 30 days after the completion of the Business Combination in 2017 and expire five years after that date, or earlier upon redemption or liquidation, as applicable.</w:t>
      </w:r>
    </w:p>
    <w:p>
      <w:pPr>
        <w:sectPr>
          <w:pgSz w:w="11900" w:h="16838" w:orient="portrait"/>
          <w:cols w:equalWidth="0" w:num="1">
            <w:col w:w="11240"/>
          </w:cols>
          <w:pgMar w:left="320" w:top="125" w:right="339" w:bottom="1440" w:gutter="0" w:footer="0" w:header="0"/>
        </w:sect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6" w:name="page77"/>
    <w:bookmarkEnd w:id="7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226"/>
        <w:spacing w:after="0" w:line="308" w:lineRule="auto"/>
        <w:rPr>
          <w:sz w:val="20"/>
          <w:szCs w:val="20"/>
          <w:color w:val="auto"/>
        </w:rPr>
      </w:pPr>
      <w:r>
        <w:rPr>
          <w:rFonts w:ascii="Arial" w:cs="Arial" w:eastAsia="Arial" w:hAnsi="Arial"/>
          <w:sz w:val="17"/>
          <w:szCs w:val="17"/>
          <w:color w:val="auto"/>
        </w:rPr>
        <w:t>From August 26, 2018 through October 5, 2018, public warrants to purchase an aggregate of 9,866,451 shares of the Company’s common stock were exercised for cash at an exercise price of $11.50 per share, resulting in aggregate gross proceeds to the Company of $113.5 million.</w:t>
      </w:r>
    </w:p>
    <w:p>
      <w:pPr>
        <w:spacing w:after="0" w:line="173" w:lineRule="exact"/>
        <w:rPr>
          <w:sz w:val="20"/>
          <w:szCs w:val="20"/>
          <w:color w:val="auto"/>
        </w:rPr>
      </w:pPr>
    </w:p>
    <w:p>
      <w:pPr>
        <w:jc w:val="both"/>
        <w:ind w:firstLine="309"/>
        <w:spacing w:after="0" w:line="271" w:lineRule="auto"/>
        <w:rPr>
          <w:sz w:val="20"/>
          <w:szCs w:val="20"/>
          <w:color w:val="auto"/>
        </w:rPr>
      </w:pPr>
      <w:r>
        <w:rPr>
          <w:rFonts w:ascii="Arial" w:cs="Arial" w:eastAsia="Arial" w:hAnsi="Arial"/>
          <w:sz w:val="17"/>
          <w:szCs w:val="17"/>
          <w:color w:val="auto"/>
        </w:rPr>
        <w:t>On October 4, 2018, the Company delivered a notice for the redemption (the “Redemption Notice”) of all of its public warrants that remained unexercised immediately after November 5, 2018. Exercises of public warrants following the Redemption Notice were required to be done on a cashless basis. Accordingly, holders were no longer permitted to exercise public warrants in exchange for payment in cash of $11.50 per share. Instead, a holder exercising a public warrant was deemed to have paid the $11.50 per share exercise price by the surrender of 0.61885 of a share of common stock that the holder would have been entitled to receive upon a cash exercise of each public warrant. Exercising holders received 0.38115 of a share of the Company’s common stock for each public warrant surrendered for exercise. Following the Redemption Notice, 3,499,639 public warrants were exercised on a cashless basis. An aggregate of 1,333,848 shares of the Company’s common stock were issued in connection with these exercises of the public warrants. All remaining public warrants were redeemed as of November 5, 2018 for an immaterial amount.</w:t>
      </w:r>
    </w:p>
    <w:p>
      <w:pPr>
        <w:spacing w:after="0" w:line="205" w:lineRule="exact"/>
        <w:rPr>
          <w:sz w:val="20"/>
          <w:szCs w:val="20"/>
          <w:color w:val="auto"/>
        </w:rPr>
      </w:pPr>
    </w:p>
    <w:p>
      <w:pPr>
        <w:jc w:val="both"/>
        <w:ind w:firstLine="297"/>
        <w:spacing w:after="0" w:line="255" w:lineRule="auto"/>
        <w:rPr>
          <w:sz w:val="20"/>
          <w:szCs w:val="20"/>
          <w:color w:val="auto"/>
        </w:rPr>
      </w:pPr>
      <w:r>
        <w:rPr>
          <w:rFonts w:ascii="Arial" w:cs="Arial" w:eastAsia="Arial" w:hAnsi="Arial"/>
          <w:sz w:val="18"/>
          <w:szCs w:val="18"/>
          <w:color w:val="auto"/>
        </w:rPr>
        <w:t xml:space="preserve">As of August 28, 2021, the Private Warrants to purchase 6,700,000 shares of the Company’s common stock remain outstanding, have not been transferred by Conyers Park Sponsor, LLC, a related party, and remain liability-classified. As discussed in Note 8, Fair Value of Financial Instruments, the liability-classified warrants are remeasured on a recurring basis, primarily based on observable market data while the related theoretical private warrant volatility assumption within the Black-Scholes model represents a Level 3 measurement within the fair value measurement hierarchy. The periodic remeasurement of the warrant liability is reflected in </w:t>
      </w:r>
      <w:r>
        <w:rPr>
          <w:rFonts w:ascii="Arial" w:cs="Arial" w:eastAsia="Arial" w:hAnsi="Arial"/>
          <w:sz w:val="18"/>
          <w:szCs w:val="18"/>
          <w:i w:val="1"/>
          <w:iCs w:val="1"/>
          <w:color w:val="auto"/>
        </w:rPr>
        <w:t>(Loss) gain in fair value change of warrant liability</w:t>
      </w:r>
      <w:r>
        <w:rPr>
          <w:rFonts w:ascii="Arial" w:cs="Arial" w:eastAsia="Arial" w:hAnsi="Arial"/>
          <w:sz w:val="18"/>
          <w:szCs w:val="18"/>
          <w:color w:val="auto"/>
        </w:rPr>
        <w:t xml:space="preserve"> within the Consolidated Statements of Operations and Comprehensive Income (Loss).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252" w:lineRule="exact"/>
        <w:rPr>
          <w:sz w:val="20"/>
          <w:szCs w:val="20"/>
          <w:color w:val="auto"/>
        </w:rPr>
      </w:pPr>
    </w:p>
    <w:p>
      <w:pPr>
        <w:jc w:val="both"/>
        <w:ind w:firstLine="234"/>
        <w:spacing w:after="0" w:line="279" w:lineRule="auto"/>
        <w:rPr>
          <w:sz w:val="20"/>
          <w:szCs w:val="20"/>
          <w:color w:val="auto"/>
        </w:rPr>
      </w:pPr>
      <w:r>
        <w:rPr>
          <w:rFonts w:ascii="Arial" w:cs="Arial" w:eastAsia="Arial" w:hAnsi="Arial"/>
          <w:sz w:val="17"/>
          <w:szCs w:val="17"/>
          <w:color w:val="auto"/>
        </w:rPr>
        <w:t>On November 13, 2018, the Company announced that its Board of Directors had adopted a $50.0 million stock repurchase program. Under the stock repurchase program, the Company may repurchase shares from time to time in the open market or in privately negotiated transactions. The stock repurchase program does not obligate the Company to acquire any specific number of shares or acquire shares over any specific period of time. The stock repurchase program may be suspended or discontinued at any time by the Company and does not have an expiration date.</w:t>
      </w:r>
    </w:p>
    <w:p>
      <w:pPr>
        <w:spacing w:after="0" w:line="198" w:lineRule="exact"/>
        <w:rPr>
          <w:sz w:val="20"/>
          <w:szCs w:val="20"/>
          <w:color w:val="auto"/>
        </w:rPr>
      </w:pPr>
    </w:p>
    <w:p>
      <w:pPr>
        <w:jc w:val="both"/>
        <w:ind w:firstLine="184"/>
        <w:spacing w:after="0" w:line="263" w:lineRule="auto"/>
        <w:rPr>
          <w:sz w:val="20"/>
          <w:szCs w:val="20"/>
          <w:color w:val="auto"/>
        </w:rPr>
      </w:pPr>
      <w:r>
        <w:rPr>
          <w:rFonts w:ascii="Arial" w:cs="Arial" w:eastAsia="Arial" w:hAnsi="Arial"/>
          <w:sz w:val="18"/>
          <w:szCs w:val="18"/>
          <w:color w:val="auto"/>
        </w:rPr>
        <w:t>During the fifty-two weeks ended August 28, 2021 and August 29, 2020, the Company did not repurchase any shares of common stock. During the fifty-three weeks ended August 31, 2019, the Company repurchased 98,234 shares of common stock at an average share price of $21.83 per share. As of August 28, 2021, approximately $47.9 million remained available under the stock repurchase program.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Earnings (Loss) Per Share</w:t>
      </w:r>
    </w:p>
    <w:p>
      <w:pPr>
        <w:spacing w:after="0" w:line="256" w:lineRule="exact"/>
        <w:rPr>
          <w:sz w:val="20"/>
          <w:szCs w:val="20"/>
          <w:color w:val="auto"/>
        </w:rPr>
      </w:pPr>
    </w:p>
    <w:p>
      <w:pPr>
        <w:jc w:val="both"/>
        <w:ind w:firstLine="208"/>
        <w:spacing w:after="0" w:line="259" w:lineRule="auto"/>
        <w:rPr>
          <w:sz w:val="20"/>
          <w:szCs w:val="20"/>
          <w:color w:val="auto"/>
        </w:rPr>
      </w:pPr>
      <w:r>
        <w:rPr>
          <w:rFonts w:ascii="Arial" w:cs="Arial" w:eastAsia="Arial" w:hAnsi="Arial"/>
          <w:sz w:val="18"/>
          <w:szCs w:val="18"/>
          <w:color w:val="auto"/>
        </w:rPr>
        <w:t>Basic earnings or loss per share is based on the weighted average number of common shares issued and outstanding. In computing diluted earnings per share, basic earnings per share is adjusted for the assumed issuance of all potentially dilutive securities. In periods in which the Company has a net loss, diluted earnings per share is based on the weighted average number of common shares issued and outstanding as the effect of including common stock equivalents outstanding would be anti-dilutive.</w:t>
      </w:r>
    </w:p>
    <w:p>
      <w:pPr>
        <w:spacing w:after="0" w:line="214" w:lineRule="exact"/>
        <w:rPr>
          <w:sz w:val="20"/>
          <w:szCs w:val="20"/>
          <w:color w:val="auto"/>
        </w:rPr>
      </w:pPr>
    </w:p>
    <w:p>
      <w:pPr>
        <w:jc w:val="both"/>
        <w:ind w:firstLine="172"/>
        <w:spacing w:after="0" w:line="279" w:lineRule="auto"/>
        <w:rPr>
          <w:sz w:val="20"/>
          <w:szCs w:val="20"/>
          <w:color w:val="auto"/>
        </w:rPr>
      </w:pPr>
      <w:r>
        <w:rPr>
          <w:rFonts w:ascii="Arial" w:cs="Arial" w:eastAsia="Arial" w:hAnsi="Arial"/>
          <w:sz w:val="17"/>
          <w:szCs w:val="17"/>
          <w:color w:val="auto"/>
        </w:rPr>
        <w:t>As of August 28, 2021, the Company has outstanding liability-classified Private Warrants to purchase 6,700,000 shares of the Company’s common stock. During periods when the effect is dilutive, the Company assumes share settlement of the instruments as of the beginning of the reporting period and adjusts the numerator to remove the change in fair value of the warrant liability and adjusts the denominator to include the dilutive shares, calculated using the treasury stock method. During periods when the impact is anti-dilutive, the share settlement is excluded.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reconciles the numerators and denominators used in the computations of both basic and diluted earnings or loss per share:</w:t>
      </w:r>
    </w:p>
    <w:p>
      <w:pPr>
        <w:spacing w:after="0" w:line="336" w:lineRule="exact"/>
        <w:rPr>
          <w:sz w:val="20"/>
          <w:szCs w:val="20"/>
          <w:color w:val="auto"/>
        </w:rPr>
      </w:pPr>
    </w:p>
    <w:tbl>
      <w:tblPr>
        <w:tblLayout w:type="fixed"/>
        <w:tblInd w:w="1560" w:type="dxa"/>
        <w:tblCellMar>
          <w:top w:w="0" w:type="dxa"/>
          <w:left w:w="0" w:type="dxa"/>
          <w:bottom w:w="0" w:type="dxa"/>
          <w:right w:w="0" w:type="dxa"/>
        </w:tblCellMar>
      </w:tblPr>
      <w:tr>
        <w:trPr>
          <w:trHeight w:val="206"/>
        </w:trPr>
        <w:tc>
          <w:tcPr>
            <w:tcW w:w="3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ind w:left="40"/>
              <w:spacing w:after="0"/>
              <w:rPr>
                <w:sz w:val="20"/>
                <w:szCs w:val="20"/>
                <w:color w:val="auto"/>
              </w:rPr>
            </w:pPr>
            <w:r>
              <w:rPr>
                <w:rFonts w:ascii="Arial" w:cs="Arial" w:eastAsia="Arial" w:hAnsi="Arial"/>
                <w:sz w:val="16"/>
                <w:szCs w:val="16"/>
                <w:color w:val="auto"/>
              </w:rPr>
              <w:t>52-Weeks Ended</w:t>
            </w:r>
          </w:p>
        </w:tc>
        <w:tc>
          <w:tcPr>
            <w:tcW w:w="140" w:type="dxa"/>
            <w:vAlign w:val="bottom"/>
          </w:tcPr>
          <w:p>
            <w:pPr>
              <w:spacing w:after="0"/>
              <w:rPr>
                <w:sz w:val="17"/>
                <w:szCs w:val="17"/>
                <w:color w:val="auto"/>
              </w:rPr>
            </w:pPr>
          </w:p>
        </w:tc>
        <w:tc>
          <w:tcPr>
            <w:tcW w:w="1460" w:type="dxa"/>
            <w:vAlign w:val="bottom"/>
            <w:gridSpan w:val="2"/>
          </w:tcPr>
          <w:p>
            <w:pPr>
              <w:ind w:left="40"/>
              <w:spacing w:after="0"/>
              <w:rPr>
                <w:sz w:val="20"/>
                <w:szCs w:val="20"/>
                <w:color w:val="auto"/>
              </w:rPr>
            </w:pPr>
            <w:r>
              <w:rPr>
                <w:rFonts w:ascii="Arial" w:cs="Arial" w:eastAsia="Arial" w:hAnsi="Arial"/>
                <w:sz w:val="16"/>
                <w:szCs w:val="16"/>
                <w:color w:val="auto"/>
              </w:rPr>
              <w:t>52-Weeks Ended</w:t>
            </w:r>
          </w:p>
        </w:tc>
        <w:tc>
          <w:tcPr>
            <w:tcW w:w="140" w:type="dxa"/>
            <w:vAlign w:val="bottom"/>
          </w:tcPr>
          <w:p>
            <w:pPr>
              <w:spacing w:after="0"/>
              <w:rPr>
                <w:sz w:val="17"/>
                <w:szCs w:val="17"/>
                <w:color w:val="auto"/>
              </w:rPr>
            </w:pPr>
          </w:p>
        </w:tc>
        <w:tc>
          <w:tcPr>
            <w:tcW w:w="1340" w:type="dxa"/>
            <w:vAlign w:val="bottom"/>
          </w:tcPr>
          <w:p>
            <w:pPr>
              <w:jc w:val="right"/>
              <w:ind w:right="99"/>
              <w:spacing w:after="0"/>
              <w:rPr>
                <w:sz w:val="20"/>
                <w:szCs w:val="20"/>
                <w:color w:val="auto"/>
              </w:rPr>
            </w:pPr>
            <w:r>
              <w:rPr>
                <w:rFonts w:ascii="Arial" w:cs="Arial" w:eastAsia="Arial" w:hAnsi="Arial"/>
                <w:sz w:val="16"/>
                <w:szCs w:val="16"/>
                <w:color w:val="auto"/>
                <w:w w:val="92"/>
              </w:rPr>
              <w:t>53-Weeks Ended</w:t>
            </w:r>
          </w:p>
        </w:tc>
        <w:tc>
          <w:tcPr>
            <w:tcW w:w="0" w:type="dxa"/>
            <w:vAlign w:val="bottom"/>
          </w:tcPr>
          <w:p>
            <w:pPr>
              <w:spacing w:after="0"/>
              <w:rPr>
                <w:sz w:val="1"/>
                <w:szCs w:val="1"/>
                <w:color w:val="auto"/>
              </w:rPr>
            </w:pPr>
          </w:p>
        </w:tc>
      </w:tr>
      <w:tr>
        <w:trPr>
          <w:trHeight w:val="300"/>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w w:val="95"/>
              </w:rPr>
              <w:t>(In thousands, except share and per share data)</w:t>
            </w:r>
          </w:p>
        </w:tc>
        <w:tc>
          <w:tcPr>
            <w:tcW w:w="1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96"/>
              </w:rPr>
              <w:t>August 28, 2021</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94"/>
              </w:rPr>
              <w:t>August 29, 2020</w:t>
            </w:r>
          </w:p>
        </w:tc>
        <w:tc>
          <w:tcPr>
            <w:tcW w:w="1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96"/>
              </w:rPr>
              <w:t>August 31, 2019</w:t>
            </w:r>
          </w:p>
        </w:tc>
        <w:tc>
          <w:tcPr>
            <w:tcW w:w="0" w:type="dxa"/>
            <w:vAlign w:val="bottom"/>
          </w:tcPr>
          <w:p>
            <w:pPr>
              <w:spacing w:after="0"/>
              <w:rPr>
                <w:sz w:val="1"/>
                <w:szCs w:val="1"/>
                <w:color w:val="auto"/>
              </w:rPr>
            </w:pPr>
          </w:p>
        </w:tc>
      </w:tr>
      <w:tr>
        <w:trPr>
          <w:trHeight w:val="253"/>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Basic earnings (loss) per share computation:</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3440" w:type="dxa"/>
            <w:vAlign w:val="bottom"/>
            <w:gridSpan w:val="2"/>
          </w:tcPr>
          <w:p>
            <w:pPr>
              <w:ind w:left="220"/>
              <w:spacing w:after="0"/>
              <w:rPr>
                <w:sz w:val="20"/>
                <w:szCs w:val="20"/>
                <w:color w:val="auto"/>
              </w:rPr>
            </w:pPr>
            <w:r>
              <w:rPr>
                <w:rFonts w:ascii="Arial" w:cs="Arial" w:eastAsia="Arial" w:hAnsi="Arial"/>
                <w:sz w:val="16"/>
                <w:szCs w:val="16"/>
                <w:color w:val="auto"/>
              </w:rPr>
              <w:t>Numerator:</w:t>
            </w: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3440" w:type="dxa"/>
            <w:vAlign w:val="bottom"/>
            <w:gridSpan w:val="2"/>
            <w:shd w:val="clear" w:color="auto" w:fill="CCEEFF"/>
          </w:tcPr>
          <w:p>
            <w:pPr>
              <w:ind w:left="460"/>
              <w:spacing w:after="0" w:line="169" w:lineRule="exact"/>
              <w:rPr>
                <w:sz w:val="20"/>
                <w:szCs w:val="20"/>
                <w:color w:val="auto"/>
              </w:rPr>
            </w:pPr>
            <w:r>
              <w:rPr>
                <w:rFonts w:ascii="Arial" w:cs="Arial" w:eastAsia="Arial" w:hAnsi="Arial"/>
                <w:sz w:val="16"/>
                <w:szCs w:val="16"/>
                <w:color w:val="auto"/>
              </w:rPr>
              <w:t>Net income (loss) available to common</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40,880</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65,638</w:t>
            </w:r>
          </w:p>
        </w:tc>
        <w:tc>
          <w:tcPr>
            <w:tcW w:w="14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(25,234)</w:t>
            </w:r>
          </w:p>
        </w:tc>
        <w:tc>
          <w:tcPr>
            <w:tcW w:w="0" w:type="dxa"/>
            <w:vAlign w:val="bottom"/>
          </w:tcPr>
          <w:p>
            <w:pPr>
              <w:spacing w:after="0"/>
              <w:rPr>
                <w:sz w:val="1"/>
                <w:szCs w:val="1"/>
                <w:color w:val="auto"/>
              </w:rPr>
            </w:pPr>
          </w:p>
        </w:tc>
      </w:tr>
      <w:tr>
        <w:trPr>
          <w:trHeight w:val="212"/>
        </w:trPr>
        <w:tc>
          <w:tcPr>
            <w:tcW w:w="34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stock stockholders</w:t>
            </w:r>
          </w:p>
        </w:tc>
        <w:tc>
          <w:tcPr>
            <w:tcW w:w="140" w:type="dxa"/>
            <w:vAlign w:val="bottom"/>
            <w:vMerge w:val="continue"/>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3440" w:type="dxa"/>
            <w:vAlign w:val="bottom"/>
            <w:gridSpan w:val="2"/>
          </w:tcPr>
          <w:p>
            <w:pPr>
              <w:ind w:left="220"/>
              <w:spacing w:after="0"/>
              <w:rPr>
                <w:sz w:val="20"/>
                <w:szCs w:val="20"/>
                <w:color w:val="auto"/>
              </w:rPr>
            </w:pPr>
            <w:r>
              <w:rPr>
                <w:rFonts w:ascii="Arial" w:cs="Arial" w:eastAsia="Arial" w:hAnsi="Arial"/>
                <w:sz w:val="16"/>
                <w:szCs w:val="16"/>
                <w:color w:val="auto"/>
              </w:rPr>
              <w:t>Denominator:</w:t>
            </w: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3440" w:type="dxa"/>
            <w:vAlign w:val="bottom"/>
            <w:gridSpan w:val="2"/>
            <w:shd w:val="clear" w:color="auto" w:fill="CCEEFF"/>
          </w:tcPr>
          <w:p>
            <w:pPr>
              <w:ind w:left="460"/>
              <w:spacing w:after="0" w:line="169" w:lineRule="exact"/>
              <w:rPr>
                <w:sz w:val="20"/>
                <w:szCs w:val="20"/>
                <w:color w:val="auto"/>
              </w:rPr>
            </w:pPr>
            <w:r>
              <w:rPr>
                <w:rFonts w:ascii="Arial" w:cs="Arial" w:eastAsia="Arial" w:hAnsi="Arial"/>
                <w:sz w:val="16"/>
                <w:szCs w:val="16"/>
                <w:color w:val="auto"/>
              </w:rPr>
              <w:t>Weighted average common shares</w:t>
            </w:r>
          </w:p>
        </w:tc>
        <w:tc>
          <w:tcPr>
            <w:tcW w:w="14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95,743,413</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93,968,953</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80,734,091</w:t>
            </w:r>
          </w:p>
        </w:tc>
        <w:tc>
          <w:tcPr>
            <w:tcW w:w="0" w:type="dxa"/>
            <w:vAlign w:val="bottom"/>
          </w:tcPr>
          <w:p>
            <w:pPr>
              <w:spacing w:after="0"/>
              <w:rPr>
                <w:sz w:val="1"/>
                <w:szCs w:val="1"/>
                <w:color w:val="auto"/>
              </w:rPr>
            </w:pPr>
          </w:p>
        </w:tc>
      </w:tr>
      <w:tr>
        <w:trPr>
          <w:trHeight w:val="212"/>
        </w:trPr>
        <w:tc>
          <w:tcPr>
            <w:tcW w:w="34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outstanding – basic</w:t>
            </w:r>
          </w:p>
        </w:tc>
        <w:tc>
          <w:tcPr>
            <w:tcW w:w="14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440" w:type="dxa"/>
            <w:vAlign w:val="bottom"/>
            <w:gridSpan w:val="2"/>
          </w:tcPr>
          <w:p>
            <w:pPr>
              <w:ind w:left="220"/>
              <w:spacing w:after="0" w:line="166" w:lineRule="exact"/>
              <w:rPr>
                <w:sz w:val="20"/>
                <w:szCs w:val="20"/>
                <w:color w:val="auto"/>
              </w:rPr>
            </w:pPr>
            <w:r>
              <w:rPr>
                <w:rFonts w:ascii="Arial" w:cs="Arial" w:eastAsia="Arial" w:hAnsi="Arial"/>
                <w:sz w:val="16"/>
                <w:szCs w:val="16"/>
                <w:color w:val="auto"/>
              </w:rPr>
              <w:t>Basic earnings (loss) per share from net</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0.43</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0.70</w:t>
            </w:r>
          </w:p>
        </w:tc>
        <w:tc>
          <w:tcPr>
            <w:tcW w:w="14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(0.31)</w:t>
            </w:r>
          </w:p>
        </w:tc>
        <w:tc>
          <w:tcPr>
            <w:tcW w:w="0" w:type="dxa"/>
            <w:vAlign w:val="bottom"/>
          </w:tcPr>
          <w:p>
            <w:pPr>
              <w:spacing w:after="0"/>
              <w:rPr>
                <w:sz w:val="1"/>
                <w:szCs w:val="1"/>
                <w:color w:val="auto"/>
              </w:rPr>
            </w:pPr>
          </w:p>
        </w:tc>
      </w:tr>
      <w:tr>
        <w:trPr>
          <w:trHeight w:val="190"/>
        </w:trPr>
        <w:tc>
          <w:tcPr>
            <w:tcW w:w="3440" w:type="dxa"/>
            <w:vAlign w:val="bottom"/>
            <w:gridSpan w:val="2"/>
          </w:tcPr>
          <w:p>
            <w:pPr>
              <w:ind w:left="220"/>
              <w:spacing w:after="0"/>
              <w:rPr>
                <w:sz w:val="20"/>
                <w:szCs w:val="20"/>
                <w:color w:val="auto"/>
              </w:rPr>
            </w:pPr>
            <w:r>
              <w:rPr>
                <w:rFonts w:ascii="Arial" w:cs="Arial" w:eastAsia="Arial" w:hAnsi="Arial"/>
                <w:sz w:val="16"/>
                <w:szCs w:val="16"/>
                <w:color w:val="auto"/>
              </w:rPr>
              <w:t>income (loss)</w:t>
            </w:r>
          </w:p>
        </w:tc>
        <w:tc>
          <w:tcPr>
            <w:tcW w:w="140" w:type="dxa"/>
            <w:vAlign w:val="bottom"/>
            <w:tcBorders>
              <w:bottom w:val="single" w:sz="8" w:color="auto"/>
            </w:tcBorders>
            <w:vMerge w:val="continue"/>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Diluted earnings (loss) per share computation:</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3440" w:type="dxa"/>
            <w:vAlign w:val="bottom"/>
            <w:gridSpan w:val="2"/>
          </w:tcPr>
          <w:p>
            <w:pPr>
              <w:ind w:left="220"/>
              <w:spacing w:after="0"/>
              <w:rPr>
                <w:sz w:val="20"/>
                <w:szCs w:val="20"/>
                <w:color w:val="auto"/>
              </w:rPr>
            </w:pPr>
            <w:r>
              <w:rPr>
                <w:rFonts w:ascii="Arial" w:cs="Arial" w:eastAsia="Arial" w:hAnsi="Arial"/>
                <w:sz w:val="16"/>
                <w:szCs w:val="16"/>
                <w:color w:val="auto"/>
              </w:rPr>
              <w:t>Numerator:</w:t>
            </w: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3440" w:type="dxa"/>
            <w:vAlign w:val="bottom"/>
            <w:gridSpan w:val="2"/>
            <w:shd w:val="clear" w:color="auto" w:fill="CCEEFF"/>
          </w:tcPr>
          <w:p>
            <w:pPr>
              <w:ind w:left="460"/>
              <w:spacing w:after="0" w:line="169" w:lineRule="exact"/>
              <w:rPr>
                <w:sz w:val="20"/>
                <w:szCs w:val="20"/>
                <w:color w:val="auto"/>
              </w:rPr>
            </w:pPr>
            <w:r>
              <w:rPr>
                <w:rFonts w:ascii="Arial" w:cs="Arial" w:eastAsia="Arial" w:hAnsi="Arial"/>
                <w:sz w:val="16"/>
                <w:szCs w:val="16"/>
                <w:color w:val="auto"/>
              </w:rPr>
              <w:t>Net income (loss) available to common</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40,880</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65,638</w:t>
            </w:r>
          </w:p>
        </w:tc>
        <w:tc>
          <w:tcPr>
            <w:tcW w:w="14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(25,234)</w:t>
            </w:r>
          </w:p>
        </w:tc>
        <w:tc>
          <w:tcPr>
            <w:tcW w:w="0" w:type="dxa"/>
            <w:vAlign w:val="bottom"/>
          </w:tcPr>
          <w:p>
            <w:pPr>
              <w:spacing w:after="0"/>
              <w:rPr>
                <w:sz w:val="1"/>
                <w:szCs w:val="1"/>
                <w:color w:val="auto"/>
              </w:rPr>
            </w:pPr>
          </w:p>
        </w:tc>
      </w:tr>
      <w:tr>
        <w:trPr>
          <w:trHeight w:val="212"/>
        </w:trPr>
        <w:tc>
          <w:tcPr>
            <w:tcW w:w="34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stock stockholders</w:t>
            </w:r>
          </w:p>
        </w:tc>
        <w:tc>
          <w:tcPr>
            <w:tcW w:w="140" w:type="dxa"/>
            <w:vAlign w:val="bottom"/>
            <w:vMerge w:val="continue"/>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440" w:type="dxa"/>
            <w:vAlign w:val="bottom"/>
            <w:gridSpan w:val="2"/>
          </w:tcPr>
          <w:p>
            <w:pPr>
              <w:ind w:left="460"/>
              <w:spacing w:after="0" w:line="166" w:lineRule="exact"/>
              <w:rPr>
                <w:sz w:val="20"/>
                <w:szCs w:val="20"/>
                <w:color w:val="auto"/>
              </w:rPr>
            </w:pPr>
            <w:r>
              <w:rPr>
                <w:rFonts w:ascii="Arial" w:cs="Arial" w:eastAsia="Arial" w:hAnsi="Arial"/>
                <w:sz w:val="16"/>
                <w:szCs w:val="16"/>
                <w:color w:val="auto"/>
              </w:rPr>
              <w:t>Gain in fair value change of warrant</w:t>
            </w:r>
          </w:p>
        </w:tc>
        <w:tc>
          <w:tcPr>
            <w:tcW w:w="140" w:type="dxa"/>
            <w:vAlign w:val="bottom"/>
          </w:tcPr>
          <w:p>
            <w:pPr>
              <w:spacing w:after="0"/>
              <w:rPr>
                <w:sz w:val="14"/>
                <w:szCs w:val="14"/>
                <w:color w:val="auto"/>
              </w:rPr>
            </w:pPr>
          </w:p>
        </w:tc>
        <w:tc>
          <w:tcPr>
            <w:tcW w:w="146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(30,938)</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440" w:type="dxa"/>
            <w:vAlign w:val="bottom"/>
            <w:gridSpan w:val="2"/>
          </w:tcPr>
          <w:p>
            <w:pPr>
              <w:ind w:left="460"/>
              <w:spacing w:after="0"/>
              <w:rPr>
                <w:sz w:val="20"/>
                <w:szCs w:val="20"/>
                <w:color w:val="auto"/>
              </w:rPr>
            </w:pPr>
            <w:r>
              <w:rPr>
                <w:rFonts w:ascii="Arial" w:cs="Arial" w:eastAsia="Arial" w:hAnsi="Arial"/>
                <w:sz w:val="16"/>
                <w:szCs w:val="16"/>
                <w:color w:val="auto"/>
              </w:rPr>
              <w:t>liability</w:t>
            </w:r>
          </w:p>
        </w:tc>
        <w:tc>
          <w:tcPr>
            <w:tcW w:w="14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440" w:type="dxa"/>
            <w:vAlign w:val="bottom"/>
            <w:tcBorders>
              <w:top w:val="single" w:sz="8" w:color="CCEEFF"/>
            </w:tcBorders>
            <w:gridSpan w:val="2"/>
            <w:shd w:val="clear" w:color="auto" w:fill="CCEEFF"/>
          </w:tcPr>
          <w:p>
            <w:pPr>
              <w:ind w:left="460"/>
              <w:spacing w:after="0" w:line="148" w:lineRule="exact"/>
              <w:rPr>
                <w:sz w:val="20"/>
                <w:szCs w:val="20"/>
                <w:color w:val="auto"/>
              </w:rPr>
            </w:pPr>
            <w:r>
              <w:rPr>
                <w:rFonts w:ascii="Arial" w:cs="Arial" w:eastAsia="Arial" w:hAnsi="Arial"/>
                <w:sz w:val="16"/>
                <w:szCs w:val="16"/>
                <w:color w:val="auto"/>
              </w:rPr>
              <w:t>Numerator for diluted earnings (loss) per</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40,880</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34,700</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(25,234)</w:t>
            </w:r>
          </w:p>
        </w:tc>
        <w:tc>
          <w:tcPr>
            <w:tcW w:w="0" w:type="dxa"/>
            <w:vAlign w:val="bottom"/>
          </w:tcPr>
          <w:p>
            <w:pPr>
              <w:spacing w:after="0"/>
              <w:rPr>
                <w:sz w:val="1"/>
                <w:szCs w:val="1"/>
                <w:color w:val="auto"/>
              </w:rPr>
            </w:pPr>
          </w:p>
        </w:tc>
      </w:tr>
      <w:tr>
        <w:trPr>
          <w:trHeight w:val="217"/>
        </w:trPr>
        <w:tc>
          <w:tcPr>
            <w:tcW w:w="34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share</w:t>
            </w: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3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3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3440" w:type="dxa"/>
            <w:vAlign w:val="bottom"/>
            <w:gridSpan w:val="2"/>
          </w:tcPr>
          <w:p>
            <w:pPr>
              <w:ind w:left="220"/>
              <w:spacing w:after="0"/>
              <w:rPr>
                <w:sz w:val="20"/>
                <w:szCs w:val="20"/>
                <w:color w:val="auto"/>
              </w:rPr>
            </w:pPr>
            <w:r>
              <w:rPr>
                <w:rFonts w:ascii="Arial" w:cs="Arial" w:eastAsia="Arial" w:hAnsi="Arial"/>
                <w:sz w:val="16"/>
                <w:szCs w:val="16"/>
                <w:color w:val="auto"/>
              </w:rPr>
              <w:t>Denominator:</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3440" w:type="dxa"/>
            <w:vAlign w:val="bottom"/>
            <w:gridSpan w:val="2"/>
            <w:shd w:val="clear" w:color="auto" w:fill="CCEEFF"/>
          </w:tcPr>
          <w:p>
            <w:pPr>
              <w:ind w:left="460"/>
              <w:spacing w:after="0" w:line="169" w:lineRule="exact"/>
              <w:rPr>
                <w:sz w:val="20"/>
                <w:szCs w:val="20"/>
                <w:color w:val="auto"/>
              </w:rPr>
            </w:pPr>
            <w:r>
              <w:rPr>
                <w:rFonts w:ascii="Arial" w:cs="Arial" w:eastAsia="Arial" w:hAnsi="Arial"/>
                <w:sz w:val="16"/>
                <w:szCs w:val="16"/>
                <w:color w:val="auto"/>
              </w:rPr>
              <w:t>Weighted average common shares</w:t>
            </w:r>
          </w:p>
        </w:tc>
        <w:tc>
          <w:tcPr>
            <w:tcW w:w="14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95,743,413</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93,968,953</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80,734,091</w:t>
            </w:r>
          </w:p>
        </w:tc>
        <w:tc>
          <w:tcPr>
            <w:tcW w:w="0" w:type="dxa"/>
            <w:vAlign w:val="bottom"/>
          </w:tcPr>
          <w:p>
            <w:pPr>
              <w:spacing w:after="0"/>
              <w:rPr>
                <w:sz w:val="1"/>
                <w:szCs w:val="1"/>
                <w:color w:val="auto"/>
              </w:rPr>
            </w:pPr>
          </w:p>
        </w:tc>
      </w:tr>
      <w:tr>
        <w:trPr>
          <w:trHeight w:val="212"/>
        </w:trPr>
        <w:tc>
          <w:tcPr>
            <w:tcW w:w="34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outstanding – basic</w:t>
            </w:r>
          </w:p>
        </w:tc>
        <w:tc>
          <w:tcPr>
            <w:tcW w:w="14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3440" w:type="dxa"/>
            <w:vAlign w:val="bottom"/>
            <w:gridSpan w:val="2"/>
          </w:tcPr>
          <w:p>
            <w:pPr>
              <w:ind w:left="460"/>
              <w:spacing w:after="0"/>
              <w:rPr>
                <w:sz w:val="20"/>
                <w:szCs w:val="20"/>
                <w:color w:val="auto"/>
              </w:rPr>
            </w:pPr>
            <w:r>
              <w:rPr>
                <w:rFonts w:ascii="Arial" w:cs="Arial" w:eastAsia="Arial" w:hAnsi="Arial"/>
                <w:sz w:val="16"/>
                <w:szCs w:val="16"/>
                <w:color w:val="auto"/>
              </w:rPr>
              <w:t>Public warrants</w:t>
            </w:r>
          </w:p>
        </w:tc>
        <w:tc>
          <w:tcPr>
            <w:tcW w:w="140" w:type="dxa"/>
            <w:vAlign w:val="bottom"/>
          </w:tcPr>
          <w:p>
            <w:pPr>
              <w:spacing w:after="0"/>
              <w:rPr>
                <w:sz w:val="23"/>
                <w:szCs w:val="23"/>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3"/>
        </w:trPr>
        <w:tc>
          <w:tcPr>
            <w:tcW w:w="34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Private Warrants</w:t>
            </w:r>
          </w:p>
        </w:tc>
        <w:tc>
          <w:tcPr>
            <w:tcW w:w="14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3,327,656</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7"/>
        </w:trPr>
        <w:tc>
          <w:tcPr>
            <w:tcW w:w="3440" w:type="dxa"/>
            <w:vAlign w:val="bottom"/>
            <w:gridSpan w:val="2"/>
          </w:tcPr>
          <w:p>
            <w:pPr>
              <w:ind w:left="460"/>
              <w:spacing w:after="0"/>
              <w:rPr>
                <w:sz w:val="20"/>
                <w:szCs w:val="20"/>
                <w:color w:val="auto"/>
              </w:rPr>
            </w:pPr>
            <w:r>
              <w:rPr>
                <w:rFonts w:ascii="Arial" w:cs="Arial" w:eastAsia="Arial" w:hAnsi="Arial"/>
                <w:sz w:val="16"/>
                <w:szCs w:val="16"/>
                <w:color w:val="auto"/>
              </w:rPr>
              <w:t>Employee stock options</w:t>
            </w: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1,311,889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1,001,542</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4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Restricted stock units</w:t>
            </w:r>
          </w:p>
        </w:tc>
        <w:tc>
          <w:tcPr>
            <w:tcW w:w="1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310,296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45,571</w:t>
            </w:r>
          </w:p>
        </w:tc>
        <w:tc>
          <w:tcPr>
            <w:tcW w:w="14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3440" w:type="dxa"/>
            <w:vAlign w:val="bottom"/>
            <w:gridSpan w:val="2"/>
          </w:tcPr>
          <w:p>
            <w:pPr>
              <w:ind w:left="460"/>
              <w:spacing w:after="0"/>
              <w:rPr>
                <w:sz w:val="20"/>
                <w:szCs w:val="20"/>
                <w:color w:val="auto"/>
              </w:rPr>
            </w:pPr>
            <w:r>
              <w:rPr>
                <w:rFonts w:ascii="Arial" w:cs="Arial" w:eastAsia="Arial" w:hAnsi="Arial"/>
                <w:sz w:val="16"/>
                <w:szCs w:val="16"/>
                <w:color w:val="auto"/>
                <w:w w:val="94"/>
              </w:rPr>
              <w:t>Weighted average common shares – diluted</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97,365,598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98,343,722</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80,734,091</w:t>
            </w:r>
          </w:p>
        </w:tc>
        <w:tc>
          <w:tcPr>
            <w:tcW w:w="0" w:type="dxa"/>
            <w:vAlign w:val="bottom"/>
          </w:tcPr>
          <w:p>
            <w:pPr>
              <w:spacing w:after="0"/>
              <w:rPr>
                <w:sz w:val="1"/>
                <w:szCs w:val="1"/>
                <w:color w:val="auto"/>
              </w:rPr>
            </w:pPr>
          </w:p>
        </w:tc>
      </w:tr>
      <w:tr>
        <w:trPr>
          <w:trHeight w:val="169"/>
        </w:trPr>
        <w:tc>
          <w:tcPr>
            <w:tcW w:w="3440" w:type="dxa"/>
            <w:vAlign w:val="bottom"/>
            <w:gridSpan w:val="2"/>
            <w:shd w:val="clear" w:color="auto" w:fill="CCEEFF"/>
          </w:tcPr>
          <w:p>
            <w:pPr>
              <w:ind w:left="220"/>
              <w:spacing w:after="0" w:line="169" w:lineRule="exact"/>
              <w:rPr>
                <w:sz w:val="20"/>
                <w:szCs w:val="20"/>
                <w:color w:val="auto"/>
              </w:rPr>
            </w:pPr>
            <w:r>
              <w:rPr>
                <w:rFonts w:ascii="Arial" w:cs="Arial" w:eastAsia="Arial" w:hAnsi="Arial"/>
                <w:sz w:val="16"/>
                <w:szCs w:val="16"/>
                <w:color w:val="auto"/>
              </w:rPr>
              <w:t>Diluted earnings (loss) per share from net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0.42</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0.35</w:t>
            </w:r>
          </w:p>
        </w:tc>
        <w:tc>
          <w:tcPr>
            <w:tcW w:w="14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(0.31)</w:t>
            </w:r>
          </w:p>
        </w:tc>
        <w:tc>
          <w:tcPr>
            <w:tcW w:w="0" w:type="dxa"/>
            <w:vAlign w:val="bottom"/>
          </w:tcPr>
          <w:p>
            <w:pPr>
              <w:spacing w:after="0"/>
              <w:rPr>
                <w:sz w:val="1"/>
                <w:szCs w:val="1"/>
                <w:color w:val="auto"/>
              </w:rPr>
            </w:pPr>
          </w:p>
        </w:tc>
      </w:tr>
      <w:tr>
        <w:trPr>
          <w:trHeight w:val="205"/>
        </w:trPr>
        <w:tc>
          <w:tcPr>
            <w:tcW w:w="34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income (loss)</w:t>
            </w: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13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132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13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firstLine="190"/>
        <w:spacing w:after="0" w:line="311" w:lineRule="auto"/>
        <w:rPr>
          <w:sz w:val="20"/>
          <w:szCs w:val="20"/>
          <w:color w:val="auto"/>
        </w:rPr>
      </w:pPr>
      <w:r>
        <w:rPr>
          <w:rFonts w:ascii="Arial" w:cs="Arial" w:eastAsia="Arial" w:hAnsi="Arial"/>
          <w:sz w:val="16"/>
          <w:szCs w:val="16"/>
          <w:color w:val="auto"/>
        </w:rPr>
        <w:t>Diluted earnings or loss per share calculations for the fifty-two weeks ended August 28, 2021 and fifty-three weeks ended August 31, 2019 excluded 4.1 million and 3.0 million shares, issuable upon exercise of Private Warrants, respectively, that would have been anti-dilutive. In addition, the fifty-three weeks ended August 31, 2019 excluded 0.6 million shares, issuable upon exercise, of public warrants that would have been anti-dilutive.</w:t>
      </w:r>
    </w:p>
    <w:p>
      <w:pPr>
        <w:spacing w:after="0" w:line="176" w:lineRule="exact"/>
        <w:rPr>
          <w:sz w:val="20"/>
          <w:szCs w:val="20"/>
          <w:color w:val="auto"/>
        </w:rPr>
      </w:pPr>
    </w:p>
    <w:p>
      <w:pPr>
        <w:jc w:val="both"/>
        <w:ind w:firstLine="219"/>
        <w:spacing w:after="0" w:line="257" w:lineRule="auto"/>
        <w:rPr>
          <w:sz w:val="20"/>
          <w:szCs w:val="20"/>
          <w:color w:val="auto"/>
        </w:rPr>
      </w:pPr>
      <w:r>
        <w:rPr>
          <w:rFonts w:ascii="Arial" w:cs="Arial" w:eastAsia="Arial" w:hAnsi="Arial"/>
          <w:sz w:val="18"/>
          <w:szCs w:val="18"/>
          <w:color w:val="auto"/>
        </w:rPr>
        <w:t>Diluted earnings or loss per share calculations for the fifty-two weeks ended August 28, 2021, fifty-two weeks ended August 29, 2020, and fifty-three weeks ended August 31, 2019 excluded an immaterial number, 0.6 million and 1.0 million shares of common stock options issuable upon exercise of stock options, respectively, that would have been anti-dilutive. An immaterial number of non-vested restricted stock units that would have been anti-dilutive were excluded from diluted earnings or loss per share calculations for the fifty-two weeks ended August 28, 2021, fifty-two weeks ended August 29, 2020, and fifty-three weeks ended August 31,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Omnibus Incentive Plan</w:t>
      </w:r>
    </w:p>
    <w:p>
      <w:pPr>
        <w:spacing w:after="0" w:line="256" w:lineRule="exact"/>
        <w:rPr>
          <w:sz w:val="20"/>
          <w:szCs w:val="20"/>
          <w:color w:val="auto"/>
        </w:rPr>
      </w:pPr>
    </w:p>
    <w:p>
      <w:pPr>
        <w:jc w:val="both"/>
        <w:ind w:firstLine="185"/>
        <w:spacing w:after="0" w:line="279" w:lineRule="auto"/>
        <w:rPr>
          <w:sz w:val="20"/>
          <w:szCs w:val="20"/>
          <w:color w:val="auto"/>
        </w:rPr>
      </w:pPr>
      <w:r>
        <w:rPr>
          <w:rFonts w:ascii="Arial" w:cs="Arial" w:eastAsia="Arial" w:hAnsi="Arial"/>
          <w:sz w:val="17"/>
          <w:szCs w:val="17"/>
          <w:color w:val="auto"/>
        </w:rPr>
        <w:t xml:space="preserve">Stock-based compensation includes stock options, restricted stock units, performance stock unit awards and stock appreciation rights, which are awarded to employees, directors, and consultants of the Company. Stock-based compensation expense is recognized on a straight-line basis over the requisite service period of the award based on their grant date fair value. Stock-based compensation expense is included within </w:t>
      </w:r>
      <w:r>
        <w:rPr>
          <w:rFonts w:ascii="Arial" w:cs="Arial" w:eastAsia="Arial" w:hAnsi="Arial"/>
          <w:sz w:val="17"/>
          <w:szCs w:val="17"/>
          <w:i w:val="1"/>
          <w:iCs w:val="1"/>
          <w:color w:val="auto"/>
        </w:rPr>
        <w:t>General and administrative</w:t>
      </w:r>
      <w:r>
        <w:rPr>
          <w:rFonts w:ascii="Arial" w:cs="Arial" w:eastAsia="Arial" w:hAnsi="Arial"/>
          <w:sz w:val="17"/>
          <w:szCs w:val="17"/>
          <w:color w:val="auto"/>
        </w:rPr>
        <w:t xml:space="preserve"> expense, which is the same financial statement caption where the recipient’s other compensation is reported.</w:t>
      </w:r>
    </w:p>
    <w:p>
      <w:pPr>
        <w:spacing w:after="0" w:line="198" w:lineRule="exact"/>
        <w:rPr>
          <w:sz w:val="20"/>
          <w:szCs w:val="20"/>
          <w:color w:val="auto"/>
        </w:rPr>
      </w:pPr>
    </w:p>
    <w:p>
      <w:pPr>
        <w:jc w:val="both"/>
        <w:ind w:right="20" w:firstLine="211"/>
        <w:spacing w:after="0" w:line="277" w:lineRule="auto"/>
        <w:rPr>
          <w:sz w:val="20"/>
          <w:szCs w:val="20"/>
          <w:color w:val="auto"/>
        </w:rPr>
      </w:pPr>
      <w:r>
        <w:rPr>
          <w:rFonts w:ascii="Arial" w:cs="Arial" w:eastAsia="Arial" w:hAnsi="Arial"/>
          <w:sz w:val="18"/>
          <w:szCs w:val="18"/>
          <w:color w:val="auto"/>
        </w:rPr>
        <w:t>The Company recorded stock-based compensation expense of $8.3 million in the fifty-two weeks ended August 28, 2021, $7.6 million in the fifty-two weeks ended August 29, 2020, and $5.5 million in the fifty-three weeks ended August 31, 2019</w:t>
      </w:r>
      <w:r>
        <w:rPr>
          <w:rFonts w:ascii="Arial" w:cs="Arial" w:eastAsia="Arial" w:hAnsi="Arial"/>
          <w:sz w:val="16"/>
          <w:szCs w:val="16"/>
          <w:color w:val="auto"/>
        </w:rPr>
        <w:t>.</w:t>
      </w:r>
    </w:p>
    <w:p>
      <w:pPr>
        <w:spacing w:after="0" w:line="197" w:lineRule="exact"/>
        <w:rPr>
          <w:sz w:val="20"/>
          <w:szCs w:val="20"/>
          <w:color w:val="auto"/>
        </w:rPr>
      </w:pPr>
    </w:p>
    <w:p>
      <w:pPr>
        <w:jc w:val="both"/>
        <w:ind w:firstLine="279"/>
        <w:spacing w:after="0" w:line="263" w:lineRule="auto"/>
        <w:rPr>
          <w:sz w:val="20"/>
          <w:szCs w:val="20"/>
          <w:color w:val="auto"/>
        </w:rPr>
      </w:pPr>
      <w:r>
        <w:rPr>
          <w:rFonts w:ascii="Arial" w:cs="Arial" w:eastAsia="Arial" w:hAnsi="Arial"/>
          <w:sz w:val="18"/>
          <w:szCs w:val="18"/>
          <w:color w:val="auto"/>
        </w:rPr>
        <w:t>In July 2017, the Company’s stockholders approved the 2017 Omnibus Incentive Plan (the “Incentive Plan”). The Incentive Plan provides for the issuance of a maximum of 9,067,917 shares of stock-denominated awards to directors, employees, officers and agents of the Company. As of August 28, 2021, there were 4.3 million shares available for grant under the Incentive Plan.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8" w:name="page79"/>
    <w:bookmarkEnd w:id="7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52" w:lineRule="exact"/>
        <w:rPr>
          <w:sz w:val="20"/>
          <w:szCs w:val="20"/>
          <w:color w:val="auto"/>
        </w:rPr>
      </w:pPr>
    </w:p>
    <w:p>
      <w:pPr>
        <w:jc w:val="both"/>
        <w:ind w:firstLine="241"/>
        <w:spacing w:after="0" w:line="263" w:lineRule="auto"/>
        <w:rPr>
          <w:sz w:val="20"/>
          <w:szCs w:val="20"/>
          <w:color w:val="auto"/>
        </w:rPr>
      </w:pPr>
      <w:r>
        <w:rPr>
          <w:rFonts w:ascii="Arial" w:cs="Arial" w:eastAsia="Arial" w:hAnsi="Arial"/>
          <w:sz w:val="18"/>
          <w:szCs w:val="18"/>
          <w:color w:val="auto"/>
        </w:rPr>
        <w:t>Stock options granted under the Incentive Plan are granted at a price equal to or more than the fair value of common stock on the date the option is granted. Stock options under the Incentive Plan generally become exercisable ratably over three years from the date of grant and must be exercised within ten years from the date of grant.</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stock option activity for the fifty-two weeks ended August 28, 2021:</w:t>
      </w:r>
    </w:p>
    <w:p>
      <w:pPr>
        <w:spacing w:after="0" w:line="275" w:lineRule="exact"/>
        <w:rPr>
          <w:sz w:val="20"/>
          <w:szCs w:val="20"/>
          <w:color w:val="auto"/>
        </w:rPr>
      </w:pPr>
    </w:p>
    <w:tbl>
      <w:tblPr>
        <w:tblLayout w:type="fixed"/>
        <w:tblInd w:w="800" w:type="dxa"/>
        <w:tblCellMar>
          <w:top w:w="0" w:type="dxa"/>
          <w:left w:w="0" w:type="dxa"/>
          <w:bottom w:w="0" w:type="dxa"/>
          <w:right w:w="0" w:type="dxa"/>
        </w:tblCellMar>
      </w:tblPr>
      <w:tr>
        <w:trPr>
          <w:trHeight w:val="184"/>
        </w:trPr>
        <w:tc>
          <w:tcPr>
            <w:tcW w:w="3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vMerge w:val="restart"/>
          </w:tcPr>
          <w:p>
            <w:pPr>
              <w:ind w:left="20"/>
              <w:spacing w:after="0"/>
              <w:rPr>
                <w:sz w:val="20"/>
                <w:szCs w:val="20"/>
                <w:color w:val="auto"/>
              </w:rPr>
            </w:pPr>
            <w:r>
              <w:rPr>
                <w:rFonts w:ascii="Arial" w:cs="Arial" w:eastAsia="Arial" w:hAnsi="Arial"/>
                <w:sz w:val="16"/>
                <w:szCs w:val="16"/>
                <w:color w:val="auto"/>
              </w:rPr>
              <w:t>Weighted average</w:t>
            </w:r>
          </w:p>
        </w:tc>
        <w:tc>
          <w:tcPr>
            <w:tcW w:w="158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Weighted average</w:t>
            </w:r>
          </w:p>
        </w:tc>
        <w:tc>
          <w:tcPr>
            <w:tcW w:w="100" w:type="dxa"/>
            <w:vAlign w:val="bottom"/>
          </w:tcPr>
          <w:p>
            <w:pPr>
              <w:spacing w:after="0"/>
              <w:rPr>
                <w:sz w:val="16"/>
                <w:szCs w:val="16"/>
                <w:color w:val="auto"/>
              </w:rPr>
            </w:pPr>
          </w:p>
        </w:tc>
        <w:tc>
          <w:tcPr>
            <w:tcW w:w="1380" w:type="dxa"/>
            <w:vAlign w:val="bottom"/>
            <w:vMerge w:val="restart"/>
          </w:tcPr>
          <w:p>
            <w:pPr>
              <w:jc w:val="right"/>
              <w:ind w:right="39"/>
              <w:spacing w:after="0"/>
              <w:rPr>
                <w:sz w:val="20"/>
                <w:szCs w:val="20"/>
                <w:color w:val="auto"/>
              </w:rPr>
            </w:pPr>
            <w:r>
              <w:rPr>
                <w:rFonts w:ascii="Arial" w:cs="Arial" w:eastAsia="Arial" w:hAnsi="Arial"/>
                <w:sz w:val="16"/>
                <w:szCs w:val="16"/>
                <w:color w:val="auto"/>
                <w:w w:val="93"/>
              </w:rPr>
              <w:t>Aggregate intrinsic</w:t>
            </w:r>
          </w:p>
        </w:tc>
        <w:tc>
          <w:tcPr>
            <w:tcW w:w="0" w:type="dxa"/>
            <w:vAlign w:val="bottom"/>
          </w:tcPr>
          <w:p>
            <w:pPr>
              <w:spacing w:after="0"/>
              <w:rPr>
                <w:sz w:val="1"/>
                <w:szCs w:val="1"/>
                <w:color w:val="auto"/>
              </w:rPr>
            </w:pPr>
          </w:p>
        </w:tc>
      </w:tr>
      <w:tr>
        <w:trPr>
          <w:trHeight w:val="162"/>
        </w:trPr>
        <w:tc>
          <w:tcPr>
            <w:tcW w:w="3300" w:type="dxa"/>
            <w:vAlign w:val="bottom"/>
            <w:vMerge w:val="restart"/>
          </w:tcPr>
          <w:p>
            <w:pPr>
              <w:ind w:left="20"/>
              <w:spacing w:after="0"/>
              <w:rPr>
                <w:sz w:val="20"/>
                <w:szCs w:val="20"/>
                <w:color w:val="auto"/>
              </w:rPr>
            </w:pPr>
            <w:r>
              <w:rPr>
                <w:rFonts w:ascii="Arial" w:cs="Arial" w:eastAsia="Arial" w:hAnsi="Arial"/>
                <w:sz w:val="16"/>
                <w:szCs w:val="16"/>
                <w:i w:val="1"/>
                <w:iCs w:val="1"/>
                <w:color w:val="auto"/>
                <w:w w:val="95"/>
              </w:rPr>
              <w:t>(In thousands, except share and per share data)</w:t>
            </w:r>
          </w:p>
        </w:tc>
        <w:tc>
          <w:tcPr>
            <w:tcW w:w="140" w:type="dxa"/>
            <w:vAlign w:val="bottom"/>
            <w:vMerge w:val="restart"/>
          </w:tcPr>
          <w:p>
            <w:pPr>
              <w:spacing w:after="0"/>
              <w:rPr>
                <w:sz w:val="14"/>
                <w:szCs w:val="14"/>
                <w:color w:val="auto"/>
              </w:rPr>
            </w:pPr>
          </w:p>
        </w:tc>
        <w:tc>
          <w:tcPr>
            <w:tcW w:w="1420" w:type="dxa"/>
            <w:vAlign w:val="bottom"/>
            <w:vMerge w:val="restart"/>
          </w:tcPr>
          <w:p>
            <w:pPr>
              <w:jc w:val="right"/>
              <w:ind w:right="419"/>
              <w:spacing w:after="0"/>
              <w:rPr>
                <w:sz w:val="20"/>
                <w:szCs w:val="20"/>
                <w:color w:val="auto"/>
              </w:rPr>
            </w:pPr>
            <w:r>
              <w:rPr>
                <w:rFonts w:ascii="Arial" w:cs="Arial" w:eastAsia="Arial" w:hAnsi="Arial"/>
                <w:sz w:val="16"/>
                <w:szCs w:val="16"/>
                <w:color w:val="auto"/>
              </w:rPr>
              <w:t>Shares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580" w:type="dxa"/>
            <w:vAlign w:val="bottom"/>
            <w:gridSpan w:val="2"/>
          </w:tcPr>
          <w:p>
            <w:pPr>
              <w:jc w:val="center"/>
              <w:ind w:right="140"/>
              <w:spacing w:after="0" w:line="162" w:lineRule="exact"/>
              <w:rPr>
                <w:sz w:val="20"/>
                <w:szCs w:val="20"/>
                <w:color w:val="auto"/>
              </w:rPr>
            </w:pPr>
            <w:r>
              <w:rPr>
                <w:rFonts w:ascii="Arial" w:cs="Arial" w:eastAsia="Arial" w:hAnsi="Arial"/>
                <w:sz w:val="16"/>
                <w:szCs w:val="16"/>
                <w:color w:val="auto"/>
                <w:w w:val="96"/>
              </w:rPr>
              <w:t>remaining life</w:t>
            </w:r>
          </w:p>
        </w:tc>
        <w:tc>
          <w:tcPr>
            <w:tcW w:w="10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30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exercise price</w:t>
            </w:r>
          </w:p>
        </w:tc>
        <w:tc>
          <w:tcPr>
            <w:tcW w:w="12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(years)</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value</w:t>
            </w:r>
          </w:p>
        </w:tc>
        <w:tc>
          <w:tcPr>
            <w:tcW w:w="0" w:type="dxa"/>
            <w:vAlign w:val="bottom"/>
          </w:tcPr>
          <w:p>
            <w:pPr>
              <w:spacing w:after="0"/>
              <w:rPr>
                <w:sz w:val="1"/>
                <w:szCs w:val="1"/>
                <w:color w:val="auto"/>
              </w:rPr>
            </w:pPr>
          </w:p>
        </w:tc>
      </w:tr>
      <w:tr>
        <w:trPr>
          <w:trHeight w:val="250"/>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Outstanding as of August 29, 2020</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2,615,899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14.33</w:t>
            </w: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7.29</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28,927</w:t>
            </w:r>
          </w:p>
        </w:tc>
        <w:tc>
          <w:tcPr>
            <w:tcW w:w="0" w:type="dxa"/>
            <w:vAlign w:val="bottom"/>
          </w:tcPr>
          <w:p>
            <w:pPr>
              <w:spacing w:after="0"/>
              <w:rPr>
                <w:sz w:val="1"/>
                <w:szCs w:val="1"/>
                <w:color w:val="auto"/>
              </w:rPr>
            </w:pPr>
          </w:p>
        </w:tc>
      </w:tr>
      <w:tr>
        <w:trPr>
          <w:trHeight w:val="253"/>
        </w:trPr>
        <w:tc>
          <w:tcPr>
            <w:tcW w:w="3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Granted</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489,555</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27.04</w:t>
            </w: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440" w:type="dxa"/>
            <w:vAlign w:val="bottom"/>
            <w:gridSpan w:val="2"/>
          </w:tcPr>
          <w:p>
            <w:pPr>
              <w:ind w:left="20"/>
              <w:spacing w:after="0"/>
              <w:rPr>
                <w:sz w:val="20"/>
                <w:szCs w:val="20"/>
                <w:color w:val="auto"/>
              </w:rPr>
            </w:pPr>
            <w:r>
              <w:rPr>
                <w:rFonts w:ascii="Arial" w:cs="Arial" w:eastAsia="Arial" w:hAnsi="Arial"/>
                <w:sz w:val="16"/>
                <w:szCs w:val="16"/>
                <w:color w:val="auto"/>
              </w:rPr>
              <w:t>Exercised</w:t>
            </w:r>
          </w:p>
        </w:tc>
        <w:tc>
          <w:tcPr>
            <w:tcW w:w="1420" w:type="dxa"/>
            <w:vAlign w:val="bottom"/>
          </w:tcPr>
          <w:p>
            <w:pPr>
              <w:jc w:val="right"/>
              <w:spacing w:after="0"/>
              <w:rPr>
                <w:sz w:val="20"/>
                <w:szCs w:val="20"/>
                <w:color w:val="auto"/>
              </w:rPr>
            </w:pPr>
            <w:r>
              <w:rPr>
                <w:rFonts w:ascii="Arial" w:cs="Arial" w:eastAsia="Arial" w:hAnsi="Arial"/>
                <w:sz w:val="16"/>
                <w:szCs w:val="16"/>
                <w:color w:val="auto"/>
              </w:rPr>
              <w:t>(58,308)</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12.00</w:t>
            </w:r>
          </w:p>
        </w:tc>
        <w:tc>
          <w:tcPr>
            <w:tcW w:w="1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Forfeited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(53,983)</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22.33</w:t>
            </w: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4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Outstanding as of August 28, 2021</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2,993,163</w:t>
            </w:r>
          </w:p>
        </w:tc>
        <w:tc>
          <w:tcPr>
            <w:tcW w:w="26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16.31</w:t>
            </w:r>
          </w:p>
        </w:tc>
        <w:tc>
          <w:tcPr>
            <w:tcW w:w="120" w:type="dxa"/>
            <w:vAlign w:val="bottom"/>
            <w:tcBorders>
              <w:bottom w:val="single" w:sz="8" w:color="CCEEFF"/>
            </w:tcBorders>
          </w:tcPr>
          <w:p>
            <w:pPr>
              <w:spacing w:after="0"/>
              <w:rPr>
                <w:sz w:val="21"/>
                <w:szCs w:val="21"/>
                <w:color w:val="auto"/>
              </w:rPr>
            </w:pP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6.83</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57,227</w:t>
            </w:r>
          </w:p>
        </w:tc>
        <w:tc>
          <w:tcPr>
            <w:tcW w:w="0" w:type="dxa"/>
            <w:vAlign w:val="bottom"/>
          </w:tcPr>
          <w:p>
            <w:pPr>
              <w:spacing w:after="0"/>
              <w:rPr>
                <w:sz w:val="1"/>
                <w:szCs w:val="1"/>
                <w:color w:val="auto"/>
              </w:rPr>
            </w:pPr>
          </w:p>
        </w:tc>
      </w:tr>
      <w:tr>
        <w:trPr>
          <w:trHeight w:val="253"/>
        </w:trPr>
        <w:tc>
          <w:tcPr>
            <w:tcW w:w="33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34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w w:val="93"/>
              </w:rPr>
              <w:t>Vested and expected to vest as of August 28, 2021</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2,993,163</w:t>
            </w:r>
          </w:p>
        </w:tc>
        <w:tc>
          <w:tcPr>
            <w:tcW w:w="26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16.31</w:t>
            </w:r>
          </w:p>
        </w:tc>
        <w:tc>
          <w:tcPr>
            <w:tcW w:w="120" w:type="dxa"/>
            <w:vAlign w:val="bottom"/>
            <w:tcBorders>
              <w:bottom w:val="single" w:sz="8" w:color="CCEEFF"/>
            </w:tcBorders>
          </w:tcPr>
          <w:p>
            <w:pPr>
              <w:spacing w:after="0"/>
              <w:rPr>
                <w:sz w:val="23"/>
                <w:szCs w:val="23"/>
                <w:color w:val="auto"/>
              </w:rPr>
            </w:pP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6.83</w:t>
            </w:r>
          </w:p>
        </w:tc>
        <w:tc>
          <w:tcPr>
            <w:tcW w:w="1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57,227</w:t>
            </w:r>
          </w:p>
        </w:tc>
        <w:tc>
          <w:tcPr>
            <w:tcW w:w="0" w:type="dxa"/>
            <w:vAlign w:val="bottom"/>
          </w:tcPr>
          <w:p>
            <w:pPr>
              <w:spacing w:after="0"/>
              <w:rPr>
                <w:sz w:val="1"/>
                <w:szCs w:val="1"/>
                <w:color w:val="auto"/>
              </w:rPr>
            </w:pPr>
          </w:p>
        </w:tc>
      </w:tr>
      <w:tr>
        <w:trPr>
          <w:trHeight w:val="253"/>
        </w:trPr>
        <w:tc>
          <w:tcPr>
            <w:tcW w:w="33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3440" w:type="dxa"/>
            <w:vAlign w:val="bottom"/>
            <w:gridSpan w:val="2"/>
          </w:tcPr>
          <w:p>
            <w:pPr>
              <w:ind w:left="20"/>
              <w:spacing w:after="0"/>
              <w:rPr>
                <w:sz w:val="20"/>
                <w:szCs w:val="20"/>
                <w:color w:val="auto"/>
              </w:rPr>
            </w:pPr>
            <w:r>
              <w:rPr>
                <w:rFonts w:ascii="Arial" w:cs="Arial" w:eastAsia="Arial" w:hAnsi="Arial"/>
                <w:sz w:val="16"/>
                <w:szCs w:val="16"/>
                <w:color w:val="auto"/>
              </w:rPr>
              <w:t>Exercisable as of August 28, 2021</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2,281,640</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13.42</w:t>
            </w:r>
          </w:p>
        </w:tc>
        <w:tc>
          <w:tcPr>
            <w:tcW w:w="1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6.16</w:t>
            </w:r>
          </w:p>
        </w:tc>
        <w:tc>
          <w:tcPr>
            <w:tcW w:w="14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50,028</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information about stock options outstanding at August 28, 2021:</w:t>
      </w:r>
    </w:p>
    <w:p>
      <w:pPr>
        <w:spacing w:after="0" w:line="275" w:lineRule="exact"/>
        <w:rPr>
          <w:sz w:val="20"/>
          <w:szCs w:val="20"/>
          <w:color w:val="auto"/>
        </w:rPr>
      </w:pPr>
    </w:p>
    <w:tbl>
      <w:tblPr>
        <w:tblLayout w:type="fixed"/>
        <w:tblInd w:w="700" w:type="dxa"/>
        <w:tblCellMar>
          <w:top w:w="0" w:type="dxa"/>
          <w:left w:w="0" w:type="dxa"/>
          <w:bottom w:w="0" w:type="dxa"/>
          <w:right w:w="0" w:type="dxa"/>
        </w:tblCellMar>
      </w:tblPr>
      <w:tr>
        <w:trPr>
          <w:trHeight w:val="184"/>
        </w:trPr>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restart"/>
          </w:tcPr>
          <w:p>
            <w:pPr>
              <w:jc w:val="center"/>
              <w:ind w:right="220"/>
              <w:spacing w:after="0"/>
              <w:rPr>
                <w:sz w:val="20"/>
                <w:szCs w:val="20"/>
                <w:color w:val="auto"/>
              </w:rPr>
            </w:pPr>
            <w:r>
              <w:rPr>
                <w:rFonts w:ascii="Arial" w:cs="Arial" w:eastAsia="Arial" w:hAnsi="Arial"/>
                <w:sz w:val="16"/>
                <w:szCs w:val="16"/>
                <w:color w:val="auto"/>
                <w:w w:val="89"/>
              </w:rPr>
              <w:t>Weighted average</w:t>
            </w: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Weighted average</w:t>
            </w:r>
          </w:p>
        </w:tc>
        <w:tc>
          <w:tcPr>
            <w:tcW w:w="1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Weighted average</w:t>
            </w: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2160" w:type="dxa"/>
            <w:vAlign w:val="bottom"/>
            <w:gridSpan w:val="4"/>
            <w:vMerge w:val="restart"/>
          </w:tcPr>
          <w:p>
            <w:pPr>
              <w:ind w:left="100"/>
              <w:spacing w:after="0"/>
              <w:rPr>
                <w:sz w:val="20"/>
                <w:szCs w:val="20"/>
                <w:color w:val="auto"/>
              </w:rPr>
            </w:pPr>
            <w:r>
              <w:rPr>
                <w:rFonts w:ascii="Arial" w:cs="Arial" w:eastAsia="Arial" w:hAnsi="Arial"/>
                <w:sz w:val="16"/>
                <w:szCs w:val="16"/>
                <w:color w:val="auto"/>
              </w:rPr>
              <w:t>Range of Exercise Prices</w:t>
            </w:r>
          </w:p>
        </w:tc>
        <w:tc>
          <w:tcPr>
            <w:tcW w:w="1520" w:type="dxa"/>
            <w:vAlign w:val="bottom"/>
            <w:gridSpan w:val="2"/>
            <w:vMerge w:val="restart"/>
          </w:tcPr>
          <w:p>
            <w:pPr>
              <w:ind w:left="20"/>
              <w:spacing w:after="0"/>
              <w:rPr>
                <w:sz w:val="20"/>
                <w:szCs w:val="20"/>
                <w:color w:val="auto"/>
              </w:rPr>
            </w:pPr>
            <w:r>
              <w:rPr>
                <w:rFonts w:ascii="Arial" w:cs="Arial" w:eastAsia="Arial" w:hAnsi="Arial"/>
                <w:sz w:val="16"/>
                <w:szCs w:val="16"/>
                <w:color w:val="auto"/>
              </w:rPr>
              <w:t>Number outstanding</w:t>
            </w: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500" w:type="dxa"/>
            <w:vAlign w:val="bottom"/>
            <w:gridSpan w:val="2"/>
          </w:tcPr>
          <w:p>
            <w:pPr>
              <w:jc w:val="center"/>
              <w:ind w:right="120"/>
              <w:spacing w:after="0" w:line="162" w:lineRule="exact"/>
              <w:rPr>
                <w:sz w:val="20"/>
                <w:szCs w:val="20"/>
                <w:color w:val="auto"/>
              </w:rPr>
            </w:pPr>
            <w:r>
              <w:rPr>
                <w:rFonts w:ascii="Arial" w:cs="Arial" w:eastAsia="Arial" w:hAnsi="Arial"/>
                <w:sz w:val="16"/>
                <w:szCs w:val="16"/>
                <w:color w:val="auto"/>
                <w:w w:val="94"/>
              </w:rPr>
              <w:t>remaining life</w:t>
            </w:r>
          </w:p>
        </w:tc>
        <w:tc>
          <w:tcPr>
            <w:tcW w:w="1540" w:type="dxa"/>
            <w:vAlign w:val="bottom"/>
            <w:gridSpan w:val="2"/>
            <w:vMerge w:val="restart"/>
          </w:tcPr>
          <w:p>
            <w:pPr>
              <w:ind w:left="60"/>
              <w:spacing w:after="0"/>
              <w:rPr>
                <w:sz w:val="20"/>
                <w:szCs w:val="20"/>
                <w:color w:val="auto"/>
              </w:rPr>
            </w:pPr>
            <w:r>
              <w:rPr>
                <w:rFonts w:ascii="Arial" w:cs="Arial" w:eastAsia="Arial" w:hAnsi="Arial"/>
                <w:sz w:val="16"/>
                <w:szCs w:val="16"/>
                <w:color w:val="auto"/>
              </w:rPr>
              <w:t>Number exercisable</w:t>
            </w:r>
          </w:p>
        </w:tc>
        <w:tc>
          <w:tcPr>
            <w:tcW w:w="10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2160" w:type="dxa"/>
            <w:vAlign w:val="bottom"/>
            <w:gridSpan w:val="4"/>
            <w:vMerge w:val="continue"/>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exercise price</w:t>
            </w: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(years)</w:t>
            </w:r>
          </w:p>
        </w:tc>
        <w:tc>
          <w:tcPr>
            <w:tcW w:w="15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exercise price</w:t>
            </w:r>
          </w:p>
        </w:tc>
        <w:tc>
          <w:tcPr>
            <w:tcW w:w="0" w:type="dxa"/>
            <w:vAlign w:val="bottom"/>
          </w:tcPr>
          <w:p>
            <w:pPr>
              <w:spacing w:after="0"/>
              <w:rPr>
                <w:sz w:val="1"/>
                <w:szCs w:val="1"/>
                <w:color w:val="auto"/>
              </w:rPr>
            </w:pPr>
          </w:p>
        </w:tc>
      </w:tr>
      <w:tr>
        <w:trPr>
          <w:trHeight w:val="253"/>
        </w:trPr>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12.00</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color w:val="auto"/>
              </w:rPr>
              <w:t>14.99</w:t>
            </w:r>
          </w:p>
        </w:tc>
        <w:tc>
          <w:tcPr>
            <w:tcW w:w="140" w:type="dxa"/>
            <w:vAlign w:val="bottom"/>
            <w:tcBorders>
              <w:top w:val="single" w:sz="8" w:color="CCEEFF"/>
            </w:tcBorders>
            <w:shd w:val="clear" w:color="auto" w:fill="CCEEFF"/>
          </w:tcPr>
          <w:p>
            <w:pPr>
              <w:spacing w:after="0"/>
              <w:rPr>
                <w:sz w:val="22"/>
                <w:szCs w:val="22"/>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1,880,525</w:t>
            </w:r>
          </w:p>
        </w:tc>
        <w:tc>
          <w:tcPr>
            <w:tcW w:w="14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12.04</w:t>
            </w:r>
          </w:p>
        </w:tc>
        <w:tc>
          <w:tcPr>
            <w:tcW w:w="120" w:type="dxa"/>
            <w:vAlign w:val="bottom"/>
            <w:tcBorders>
              <w:top w:val="single" w:sz="8" w:color="CCEEFF"/>
            </w:tcBorders>
            <w:shd w:val="clear" w:color="auto" w:fill="CCEEFF"/>
          </w:tcPr>
          <w:p>
            <w:pPr>
              <w:spacing w:after="0"/>
              <w:rPr>
                <w:sz w:val="22"/>
                <w:szCs w:val="22"/>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120" w:type="dxa"/>
            <w:vAlign w:val="bottom"/>
            <w:tcBorders>
              <w:top w:val="single" w:sz="8" w:color="CCEEFF"/>
            </w:tcBorders>
            <w:shd w:val="clear" w:color="auto" w:fill="CCEEFF"/>
          </w:tcPr>
          <w:p>
            <w:pPr>
              <w:spacing w:after="0"/>
              <w:rPr>
                <w:sz w:val="22"/>
                <w:szCs w:val="22"/>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1,880,525</w:t>
            </w:r>
          </w:p>
        </w:tc>
        <w:tc>
          <w:tcPr>
            <w:tcW w:w="14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12.04</w:t>
            </w:r>
          </w:p>
        </w:tc>
        <w:tc>
          <w:tcPr>
            <w:tcW w:w="0" w:type="dxa"/>
            <w:vAlign w:val="bottom"/>
          </w:tcPr>
          <w:p>
            <w:pPr>
              <w:spacing w:after="0"/>
              <w:rPr>
                <w:sz w:val="1"/>
                <w:szCs w:val="1"/>
                <w:color w:val="auto"/>
              </w:rPr>
            </w:pPr>
          </w:p>
        </w:tc>
      </w:tr>
      <w:tr>
        <w:trPr>
          <w:trHeight w:val="267"/>
        </w:trPr>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15.00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39"/>
              <w:spacing w:after="0"/>
              <w:rPr>
                <w:sz w:val="20"/>
                <w:szCs w:val="20"/>
                <w:color w:val="auto"/>
              </w:rPr>
            </w:pPr>
            <w:r>
              <w:rPr>
                <w:rFonts w:ascii="Arial" w:cs="Arial" w:eastAsia="Arial" w:hAnsi="Arial"/>
                <w:sz w:val="16"/>
                <w:szCs w:val="16"/>
                <w:color w:val="auto"/>
              </w:rPr>
              <w:t>17.99</w:t>
            </w:r>
          </w:p>
        </w:tc>
        <w:tc>
          <w:tcPr>
            <w:tcW w:w="1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117,553</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16.88</w:t>
            </w:r>
          </w:p>
        </w:tc>
        <w:tc>
          <w:tcPr>
            <w:tcW w:w="1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6.89</w:t>
            </w:r>
          </w:p>
        </w:tc>
        <w:tc>
          <w:tcPr>
            <w:tcW w:w="1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117,553</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16.88</w:t>
            </w:r>
          </w:p>
        </w:tc>
        <w:tc>
          <w:tcPr>
            <w:tcW w:w="0" w:type="dxa"/>
            <w:vAlign w:val="bottom"/>
          </w:tcPr>
          <w:p>
            <w:pPr>
              <w:spacing w:after="0"/>
              <w:rPr>
                <w:sz w:val="1"/>
                <w:szCs w:val="1"/>
                <w:color w:val="auto"/>
              </w:rPr>
            </w:pPr>
          </w:p>
        </w:tc>
      </w:tr>
      <w:tr>
        <w:trPr>
          <w:trHeight w:val="273"/>
        </w:trPr>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18.00</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20.99</w:t>
            </w:r>
          </w:p>
        </w:tc>
        <w:tc>
          <w:tcPr>
            <w:tcW w:w="14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552,078</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20.08</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w:t>
            </w:r>
          </w:p>
        </w:tc>
        <w:tc>
          <w:tcPr>
            <w:tcW w:w="12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189,019</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19.89</w:t>
            </w:r>
          </w:p>
        </w:tc>
        <w:tc>
          <w:tcPr>
            <w:tcW w:w="0" w:type="dxa"/>
            <w:vAlign w:val="bottom"/>
          </w:tcPr>
          <w:p>
            <w:pPr>
              <w:spacing w:after="0"/>
              <w:rPr>
                <w:sz w:val="1"/>
                <w:szCs w:val="1"/>
                <w:color w:val="auto"/>
              </w:rPr>
            </w:pPr>
          </w:p>
        </w:tc>
      </w:tr>
      <w:tr>
        <w:trPr>
          <w:trHeight w:val="267"/>
        </w:trPr>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21.00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39"/>
              <w:spacing w:after="0"/>
              <w:rPr>
                <w:sz w:val="20"/>
                <w:szCs w:val="20"/>
                <w:color w:val="auto"/>
              </w:rPr>
            </w:pPr>
            <w:r>
              <w:rPr>
                <w:rFonts w:ascii="Arial" w:cs="Arial" w:eastAsia="Arial" w:hAnsi="Arial"/>
                <w:sz w:val="16"/>
                <w:szCs w:val="16"/>
                <w:color w:val="auto"/>
              </w:rPr>
              <w:t>23.99</w:t>
            </w:r>
          </w:p>
        </w:tc>
        <w:tc>
          <w:tcPr>
            <w:tcW w:w="1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48,396</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21.85</w:t>
            </w:r>
          </w:p>
        </w:tc>
        <w:tc>
          <w:tcPr>
            <w:tcW w:w="1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8.57</w:t>
            </w:r>
          </w:p>
        </w:tc>
        <w:tc>
          <w:tcPr>
            <w:tcW w:w="1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20,594</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21.77</w:t>
            </w:r>
          </w:p>
        </w:tc>
        <w:tc>
          <w:tcPr>
            <w:tcW w:w="0" w:type="dxa"/>
            <w:vAlign w:val="bottom"/>
          </w:tcPr>
          <w:p>
            <w:pPr>
              <w:spacing w:after="0"/>
              <w:rPr>
                <w:sz w:val="1"/>
                <w:szCs w:val="1"/>
                <w:color w:val="auto"/>
              </w:rPr>
            </w:pPr>
          </w:p>
        </w:tc>
      </w:tr>
      <w:tr>
        <w:trPr>
          <w:trHeight w:val="273"/>
        </w:trPr>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24.00</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26.99</w:t>
            </w:r>
          </w:p>
        </w:tc>
        <w:tc>
          <w:tcPr>
            <w:tcW w:w="14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188,008</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24.19</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8.13</w:t>
            </w:r>
          </w:p>
        </w:tc>
        <w:tc>
          <w:tcPr>
            <w:tcW w:w="12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73,949</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24.18</w:t>
            </w:r>
          </w:p>
        </w:tc>
        <w:tc>
          <w:tcPr>
            <w:tcW w:w="0" w:type="dxa"/>
            <w:vAlign w:val="bottom"/>
          </w:tcPr>
          <w:p>
            <w:pPr>
              <w:spacing w:after="0"/>
              <w:rPr>
                <w:sz w:val="1"/>
                <w:szCs w:val="1"/>
                <w:color w:val="auto"/>
              </w:rPr>
            </w:pPr>
          </w:p>
        </w:tc>
      </w:tr>
      <w:tr>
        <w:trPr>
          <w:trHeight w:val="267"/>
        </w:trPr>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27.00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39"/>
              <w:spacing w:after="0"/>
              <w:rPr>
                <w:sz w:val="20"/>
                <w:szCs w:val="20"/>
                <w:color w:val="auto"/>
              </w:rPr>
            </w:pPr>
            <w:r>
              <w:rPr>
                <w:rFonts w:ascii="Arial" w:cs="Arial" w:eastAsia="Arial" w:hAnsi="Arial"/>
                <w:sz w:val="16"/>
                <w:szCs w:val="16"/>
                <w:color w:val="auto"/>
              </w:rPr>
              <w:t>29.99</w:t>
            </w:r>
          </w:p>
        </w:tc>
        <w:tc>
          <w:tcPr>
            <w:tcW w:w="1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6,603</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28.38</w:t>
            </w:r>
          </w:p>
        </w:tc>
        <w:tc>
          <w:tcPr>
            <w:tcW w:w="1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9.49</w:t>
            </w:r>
          </w:p>
        </w:tc>
        <w:tc>
          <w:tcPr>
            <w:tcW w:w="120" w:type="dxa"/>
            <w:vAlign w:val="bottom"/>
          </w:tcPr>
          <w:p>
            <w:pPr>
              <w:spacing w:after="0"/>
              <w:rPr>
                <w:sz w:val="23"/>
                <w:szCs w:val="23"/>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3"/>
        </w:trPr>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32.99</w:t>
            </w:r>
          </w:p>
        </w:tc>
        <w:tc>
          <w:tcPr>
            <w:tcW w:w="140" w:type="dxa"/>
            <w:vAlign w:val="bottom"/>
            <w:shd w:val="clear" w:color="auto" w:fill="CCEEFF"/>
          </w:tcPr>
          <w:p>
            <w:pPr>
              <w:spacing w:after="0"/>
              <w:rPr>
                <w:sz w:val="23"/>
                <w:szCs w:val="23"/>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12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7"/>
        </w:trPr>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33.00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39"/>
              <w:spacing w:after="0"/>
              <w:rPr>
                <w:sz w:val="20"/>
                <w:szCs w:val="20"/>
                <w:color w:val="auto"/>
              </w:rPr>
            </w:pPr>
            <w:r>
              <w:rPr>
                <w:rFonts w:ascii="Arial" w:cs="Arial" w:eastAsia="Arial" w:hAnsi="Arial"/>
                <w:sz w:val="16"/>
                <w:szCs w:val="16"/>
                <w:color w:val="auto"/>
              </w:rPr>
              <w:t>35.99</w:t>
            </w:r>
          </w:p>
        </w:tc>
        <w:tc>
          <w:tcPr>
            <w:tcW w:w="140" w:type="dxa"/>
            <w:vAlign w:val="bottom"/>
          </w:tcPr>
          <w:p>
            <w:pPr>
              <w:spacing w:after="0"/>
              <w:rPr>
                <w:sz w:val="23"/>
                <w:szCs w:val="23"/>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0.00</w:t>
            </w:r>
          </w:p>
        </w:tc>
        <w:tc>
          <w:tcPr>
            <w:tcW w:w="120" w:type="dxa"/>
            <w:vAlign w:val="bottom"/>
          </w:tcPr>
          <w:p>
            <w:pPr>
              <w:spacing w:after="0"/>
              <w:rPr>
                <w:sz w:val="23"/>
                <w:szCs w:val="23"/>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36.00</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38.99</w:t>
            </w:r>
          </w:p>
        </w:tc>
        <w:tc>
          <w:tcPr>
            <w:tcW w:w="14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200,000</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36.56</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w:t>
            </w:r>
          </w:p>
        </w:tc>
        <w:tc>
          <w:tcPr>
            <w:tcW w:w="12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2,993,163</w:t>
            </w:r>
          </w:p>
        </w:tc>
        <w:tc>
          <w:tcPr>
            <w:tcW w:w="14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16.31</w:t>
            </w:r>
          </w:p>
        </w:tc>
        <w:tc>
          <w:tcPr>
            <w:tcW w:w="120" w:type="dxa"/>
            <w:vAlign w:val="bottom"/>
          </w:tcPr>
          <w:p>
            <w:pPr>
              <w:spacing w:after="0"/>
              <w:rPr>
                <w:sz w:val="21"/>
                <w:szCs w:val="21"/>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6.83</w:t>
            </w:r>
          </w:p>
        </w:tc>
        <w:tc>
          <w:tcPr>
            <w:tcW w:w="120" w:type="dxa"/>
            <w:vAlign w:val="bottom"/>
          </w:tcPr>
          <w:p>
            <w:pPr>
              <w:spacing w:after="0"/>
              <w:rPr>
                <w:sz w:val="21"/>
                <w:szCs w:val="21"/>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2,281,640</w:t>
            </w:r>
          </w:p>
        </w:tc>
        <w:tc>
          <w:tcPr>
            <w:tcW w:w="14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13.42</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177"/>
        <w:spacing w:after="0" w:line="277" w:lineRule="auto"/>
        <w:rPr>
          <w:sz w:val="20"/>
          <w:szCs w:val="20"/>
          <w:color w:val="auto"/>
        </w:rPr>
      </w:pPr>
      <w:r>
        <w:rPr>
          <w:rFonts w:ascii="Arial" w:cs="Arial" w:eastAsia="Arial" w:hAnsi="Arial"/>
          <w:sz w:val="18"/>
          <w:szCs w:val="18"/>
          <w:color w:val="auto"/>
        </w:rPr>
        <w:t>The weighted average fair value of options granted during the fifty-two weeks ended August 28, 2021, fifty-two weeks ended August 29, 2020, and fifty-three weeks ended August 31, 2019 were $9.99, $7.79 and $7.10, respectively.</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fair value of each option grant is estimated on the date of grant using the Black-Scholes Option Pricing Model based on the following assumptions:</w:t>
      </w:r>
    </w:p>
    <w:p>
      <w:pPr>
        <w:spacing w:after="0" w:line="374" w:lineRule="exact"/>
        <w:rPr>
          <w:sz w:val="20"/>
          <w:szCs w:val="20"/>
          <w:color w:val="auto"/>
        </w:rPr>
      </w:pPr>
    </w:p>
    <w:tbl>
      <w:tblPr>
        <w:tblLayout w:type="fixed"/>
        <w:tblInd w:w="1560" w:type="dxa"/>
        <w:tblCellMar>
          <w:top w:w="0" w:type="dxa"/>
          <w:left w:w="0" w:type="dxa"/>
          <w:bottom w:w="0" w:type="dxa"/>
          <w:right w:w="0" w:type="dxa"/>
        </w:tblCellMar>
      </w:tblPr>
      <w:tr>
        <w:trPr>
          <w:trHeight w:val="206"/>
        </w:trPr>
        <w:tc>
          <w:tcPr>
            <w:tcW w:w="2900" w:type="dxa"/>
            <w:vAlign w:val="bottom"/>
          </w:tcPr>
          <w:p>
            <w:pPr>
              <w:spacing w:after="0"/>
              <w:rPr>
                <w:sz w:val="17"/>
                <w:szCs w:val="17"/>
                <w:color w:val="auto"/>
              </w:rPr>
            </w:pPr>
          </w:p>
        </w:tc>
        <w:tc>
          <w:tcPr>
            <w:tcW w:w="1780" w:type="dxa"/>
            <w:vAlign w:val="bottom"/>
            <w:gridSpan w:val="2"/>
          </w:tcPr>
          <w:p>
            <w:pPr>
              <w:ind w:left="280"/>
              <w:spacing w:after="0"/>
              <w:rPr>
                <w:sz w:val="20"/>
                <w:szCs w:val="20"/>
                <w:color w:val="auto"/>
              </w:rPr>
            </w:pPr>
            <w:r>
              <w:rPr>
                <w:rFonts w:ascii="Arial" w:cs="Arial" w:eastAsia="Arial" w:hAnsi="Arial"/>
                <w:sz w:val="16"/>
                <w:szCs w:val="16"/>
                <w:color w:val="auto"/>
              </w:rPr>
              <w:t>52-Weeks Ended</w:t>
            </w:r>
          </w:p>
        </w:tc>
        <w:tc>
          <w:tcPr>
            <w:tcW w:w="1800" w:type="dxa"/>
            <w:vAlign w:val="bottom"/>
            <w:gridSpan w:val="2"/>
          </w:tcPr>
          <w:p>
            <w:pPr>
              <w:ind w:left="280"/>
              <w:spacing w:after="0"/>
              <w:rPr>
                <w:sz w:val="20"/>
                <w:szCs w:val="20"/>
                <w:color w:val="auto"/>
              </w:rPr>
            </w:pPr>
            <w:r>
              <w:rPr>
                <w:rFonts w:ascii="Arial" w:cs="Arial" w:eastAsia="Arial" w:hAnsi="Arial"/>
                <w:sz w:val="16"/>
                <w:szCs w:val="16"/>
                <w:color w:val="auto"/>
              </w:rPr>
              <w:t>52-Weeks Ended</w:t>
            </w:r>
          </w:p>
        </w:tc>
        <w:tc>
          <w:tcPr>
            <w:tcW w:w="1660" w:type="dxa"/>
            <w:vAlign w:val="bottom"/>
          </w:tcPr>
          <w:p>
            <w:pPr>
              <w:jc w:val="right"/>
              <w:ind w:right="199"/>
              <w:spacing w:after="0"/>
              <w:rPr>
                <w:sz w:val="20"/>
                <w:szCs w:val="20"/>
                <w:color w:val="auto"/>
              </w:rPr>
            </w:pPr>
            <w:r>
              <w:rPr>
                <w:rFonts w:ascii="Arial" w:cs="Arial" w:eastAsia="Arial" w:hAnsi="Arial"/>
                <w:sz w:val="16"/>
                <w:szCs w:val="16"/>
                <w:color w:val="auto"/>
              </w:rPr>
              <w:t>53-Weeks Ended</w:t>
            </w:r>
          </w:p>
        </w:tc>
      </w:tr>
      <w:tr>
        <w:trPr>
          <w:trHeight w:val="273"/>
        </w:trPr>
        <w:tc>
          <w:tcPr>
            <w:tcW w:w="2900" w:type="dxa"/>
            <w:vAlign w:val="bottom"/>
          </w:tcPr>
          <w:p>
            <w:pPr>
              <w:spacing w:after="0"/>
              <w:rPr>
                <w:sz w:val="23"/>
                <w:szCs w:val="23"/>
                <w:color w:val="auto"/>
              </w:rPr>
            </w:pPr>
          </w:p>
        </w:tc>
        <w:tc>
          <w:tcPr>
            <w:tcW w:w="1780" w:type="dxa"/>
            <w:vAlign w:val="bottom"/>
            <w:gridSpan w:val="2"/>
          </w:tcPr>
          <w:p>
            <w:pPr>
              <w:ind w:left="280"/>
              <w:spacing w:after="0"/>
              <w:rPr>
                <w:sz w:val="20"/>
                <w:szCs w:val="20"/>
                <w:color w:val="auto"/>
              </w:rPr>
            </w:pPr>
            <w:r>
              <w:rPr>
                <w:rFonts w:ascii="Arial" w:cs="Arial" w:eastAsia="Arial" w:hAnsi="Arial"/>
                <w:sz w:val="16"/>
                <w:szCs w:val="16"/>
                <w:color w:val="auto"/>
              </w:rPr>
              <w:t>August 28, 2021</w:t>
            </w:r>
          </w:p>
        </w:tc>
        <w:tc>
          <w:tcPr>
            <w:tcW w:w="1800" w:type="dxa"/>
            <w:vAlign w:val="bottom"/>
            <w:gridSpan w:val="2"/>
          </w:tcPr>
          <w:p>
            <w:pPr>
              <w:ind w:left="300"/>
              <w:spacing w:after="0"/>
              <w:rPr>
                <w:sz w:val="20"/>
                <w:szCs w:val="20"/>
                <w:color w:val="auto"/>
              </w:rPr>
            </w:pPr>
            <w:r>
              <w:rPr>
                <w:rFonts w:ascii="Arial" w:cs="Arial" w:eastAsia="Arial" w:hAnsi="Arial"/>
                <w:sz w:val="16"/>
                <w:szCs w:val="16"/>
                <w:color w:val="auto"/>
              </w:rPr>
              <w:t>August 29, 2020</w:t>
            </w:r>
          </w:p>
        </w:tc>
        <w:tc>
          <w:tcPr>
            <w:tcW w:w="1660" w:type="dxa"/>
            <w:vAlign w:val="bottom"/>
          </w:tcPr>
          <w:p>
            <w:pPr>
              <w:jc w:val="right"/>
              <w:ind w:right="219"/>
              <w:spacing w:after="0"/>
              <w:rPr>
                <w:sz w:val="20"/>
                <w:szCs w:val="20"/>
                <w:color w:val="auto"/>
              </w:rPr>
            </w:pPr>
            <w:r>
              <w:rPr>
                <w:rFonts w:ascii="Arial" w:cs="Arial" w:eastAsia="Arial" w:hAnsi="Arial"/>
                <w:sz w:val="16"/>
                <w:szCs w:val="16"/>
                <w:color w:val="auto"/>
              </w:rPr>
              <w:t>August 31, 2019</w:t>
            </w:r>
          </w:p>
        </w:tc>
      </w:tr>
      <w:tr>
        <w:trPr>
          <w:trHeight w:val="253"/>
        </w:trPr>
        <w:tc>
          <w:tcPr>
            <w:tcW w:w="2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Expected volatility</w:t>
            </w:r>
          </w:p>
        </w:tc>
        <w:tc>
          <w:tcPr>
            <w:tcW w:w="16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 xml:space="preserve">36.80 % </w:t>
            </w:r>
            <w:r>
              <w:rPr>
                <w:rFonts w:ascii="Arial" w:cs="Arial" w:eastAsia="Arial" w:hAnsi="Arial"/>
                <w:sz w:val="14"/>
                <w:szCs w:val="14"/>
                <w:color w:val="auto"/>
              </w:rPr>
              <w:t>-</w:t>
            </w:r>
            <w:r>
              <w:rPr>
                <w:rFonts w:ascii="Arial" w:cs="Arial" w:eastAsia="Arial" w:hAnsi="Arial"/>
                <w:sz w:val="16"/>
                <w:szCs w:val="16"/>
                <w:color w:val="auto"/>
              </w:rPr>
              <w:t xml:space="preserve">  38.75%</w:t>
            </w:r>
          </w:p>
        </w:tc>
        <w:tc>
          <w:tcPr>
            <w:tcW w:w="140" w:type="dxa"/>
            <w:vAlign w:val="bottom"/>
            <w:tcBorders>
              <w:top w:val="single" w:sz="8" w:color="CCEEFF"/>
            </w:tcBorders>
            <w:shd w:val="clear" w:color="auto" w:fill="CCEEFF"/>
          </w:tcPr>
          <w:p>
            <w:pPr>
              <w:spacing w:after="0"/>
              <w:rPr>
                <w:sz w:val="22"/>
                <w:szCs w:val="22"/>
                <w:color w:val="auto"/>
              </w:rPr>
            </w:pPr>
          </w:p>
        </w:tc>
        <w:tc>
          <w:tcPr>
            <w:tcW w:w="16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 xml:space="preserve">30.27 % </w:t>
            </w:r>
            <w:r>
              <w:rPr>
                <w:rFonts w:ascii="Arial" w:cs="Arial" w:eastAsia="Arial" w:hAnsi="Arial"/>
                <w:sz w:val="14"/>
                <w:szCs w:val="14"/>
                <w:color w:val="auto"/>
              </w:rPr>
              <w:t>-</w:t>
            </w:r>
            <w:r>
              <w:rPr>
                <w:rFonts w:ascii="Arial" w:cs="Arial" w:eastAsia="Arial" w:hAnsi="Arial"/>
                <w:sz w:val="16"/>
                <w:szCs w:val="16"/>
                <w:color w:val="auto"/>
              </w:rPr>
              <w:t xml:space="preserve">  33.82%</w:t>
            </w:r>
          </w:p>
        </w:tc>
        <w:tc>
          <w:tcPr>
            <w:tcW w:w="140" w:type="dxa"/>
            <w:vAlign w:val="bottom"/>
            <w:tcBorders>
              <w:top w:val="single" w:sz="8" w:color="CCEEFF"/>
            </w:tcBorders>
            <w:shd w:val="clear" w:color="auto" w:fill="CCEEFF"/>
          </w:tcPr>
          <w:p>
            <w:pPr>
              <w:spacing w:after="0"/>
              <w:rPr>
                <w:sz w:val="22"/>
                <w:szCs w:val="22"/>
                <w:color w:val="auto"/>
              </w:rPr>
            </w:pPr>
          </w:p>
        </w:tc>
        <w:tc>
          <w:tcPr>
            <w:tcW w:w="16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29.30 % - 32.09%</w:t>
            </w:r>
          </w:p>
        </w:tc>
      </w:tr>
      <w:tr>
        <w:trPr>
          <w:trHeight w:val="267"/>
        </w:trPr>
        <w:tc>
          <w:tcPr>
            <w:tcW w:w="2900" w:type="dxa"/>
            <w:vAlign w:val="bottom"/>
          </w:tcPr>
          <w:p>
            <w:pPr>
              <w:ind w:left="20"/>
              <w:spacing w:after="0"/>
              <w:rPr>
                <w:sz w:val="20"/>
                <w:szCs w:val="20"/>
                <w:color w:val="auto"/>
              </w:rPr>
            </w:pPr>
            <w:r>
              <w:rPr>
                <w:rFonts w:ascii="Arial" w:cs="Arial" w:eastAsia="Arial" w:hAnsi="Arial"/>
                <w:sz w:val="16"/>
                <w:szCs w:val="16"/>
                <w:color w:val="auto"/>
              </w:rPr>
              <w:t>Expected dividend yield</w:t>
            </w:r>
          </w:p>
        </w:tc>
        <w:tc>
          <w:tcPr>
            <w:tcW w:w="1780" w:type="dxa"/>
            <w:vAlign w:val="bottom"/>
            <w:gridSpan w:val="2"/>
          </w:tcPr>
          <w:p>
            <w:pPr>
              <w:jc w:val="center"/>
              <w:ind w:right="140"/>
              <w:spacing w:after="0"/>
              <w:rPr>
                <w:sz w:val="20"/>
                <w:szCs w:val="20"/>
                <w:color w:val="auto"/>
              </w:rPr>
            </w:pPr>
            <w:r>
              <w:rPr>
                <w:rFonts w:ascii="Arial" w:cs="Arial" w:eastAsia="Arial" w:hAnsi="Arial"/>
                <w:sz w:val="16"/>
                <w:szCs w:val="16"/>
                <w:color w:val="auto"/>
                <w:w w:val="92"/>
              </w:rPr>
              <w:t>—%</w:t>
            </w:r>
          </w:p>
        </w:tc>
        <w:tc>
          <w:tcPr>
            <w:tcW w:w="180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w:t>
            </w:r>
          </w:p>
        </w:tc>
        <w:tc>
          <w:tcPr>
            <w:tcW w:w="166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73"/>
        </w:trPr>
        <w:tc>
          <w:tcPr>
            <w:tcW w:w="2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option term</w:t>
            </w:r>
          </w:p>
        </w:tc>
        <w:tc>
          <w:tcPr>
            <w:tcW w:w="164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6</w:t>
            </w:r>
          </w:p>
        </w:tc>
        <w:tc>
          <w:tcPr>
            <w:tcW w:w="14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6</w:t>
            </w:r>
          </w:p>
        </w:tc>
        <w:tc>
          <w:tcPr>
            <w:tcW w:w="14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6</w:t>
            </w:r>
          </w:p>
        </w:tc>
      </w:tr>
      <w:tr>
        <w:trPr>
          <w:trHeight w:val="264"/>
        </w:trPr>
        <w:tc>
          <w:tcPr>
            <w:tcW w:w="2900" w:type="dxa"/>
            <w:vAlign w:val="bottom"/>
          </w:tcPr>
          <w:p>
            <w:pPr>
              <w:ind w:left="20"/>
              <w:spacing w:after="0"/>
              <w:rPr>
                <w:sz w:val="20"/>
                <w:szCs w:val="20"/>
                <w:color w:val="auto"/>
              </w:rPr>
            </w:pPr>
            <w:r>
              <w:rPr>
                <w:rFonts w:ascii="Arial" w:cs="Arial" w:eastAsia="Arial" w:hAnsi="Arial"/>
                <w:sz w:val="16"/>
                <w:szCs w:val="16"/>
                <w:color w:val="auto"/>
              </w:rPr>
              <w:t>Risk-free rate of return</w:t>
            </w: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 xml:space="preserve">0.80 % </w:t>
            </w:r>
            <w:r>
              <w:rPr>
                <w:rFonts w:ascii="Arial" w:cs="Arial" w:eastAsia="Arial" w:hAnsi="Arial"/>
                <w:sz w:val="14"/>
                <w:szCs w:val="14"/>
                <w:color w:val="auto"/>
              </w:rPr>
              <w:t>-</w:t>
            </w:r>
            <w:r>
              <w:rPr>
                <w:rFonts w:ascii="Arial" w:cs="Arial" w:eastAsia="Arial" w:hAnsi="Arial"/>
                <w:sz w:val="16"/>
                <w:szCs w:val="16"/>
                <w:color w:val="auto"/>
              </w:rPr>
              <w:t xml:space="preserve">  0.935%</w:t>
            </w:r>
          </w:p>
        </w:tc>
        <w:tc>
          <w:tcPr>
            <w:tcW w:w="140" w:type="dxa"/>
            <w:vAlign w:val="bottom"/>
          </w:tcPr>
          <w:p>
            <w:pPr>
              <w:spacing w:after="0"/>
              <w:rPr>
                <w:sz w:val="22"/>
                <w:szCs w:val="22"/>
                <w:color w:val="auto"/>
              </w:rPr>
            </w:pPr>
          </w:p>
        </w:tc>
        <w:tc>
          <w:tcPr>
            <w:tcW w:w="1660" w:type="dxa"/>
            <w:vAlign w:val="bottom"/>
          </w:tcPr>
          <w:p>
            <w:pPr>
              <w:jc w:val="right"/>
              <w:ind w:right="239"/>
              <w:spacing w:after="0"/>
              <w:rPr>
                <w:sz w:val="20"/>
                <w:szCs w:val="20"/>
                <w:color w:val="auto"/>
              </w:rPr>
            </w:pPr>
            <w:r>
              <w:rPr>
                <w:rFonts w:ascii="Arial" w:cs="Arial" w:eastAsia="Arial" w:hAnsi="Arial"/>
                <w:sz w:val="16"/>
                <w:szCs w:val="16"/>
                <w:color w:val="auto"/>
              </w:rPr>
              <w:t xml:space="preserve">0.38 % </w:t>
            </w:r>
            <w:r>
              <w:rPr>
                <w:rFonts w:ascii="Arial" w:cs="Arial" w:eastAsia="Arial" w:hAnsi="Arial"/>
                <w:sz w:val="14"/>
                <w:szCs w:val="14"/>
                <w:color w:val="auto"/>
              </w:rPr>
              <w:t>-</w:t>
            </w:r>
            <w:r>
              <w:rPr>
                <w:rFonts w:ascii="Arial" w:cs="Arial" w:eastAsia="Arial" w:hAnsi="Arial"/>
                <w:sz w:val="16"/>
                <w:szCs w:val="16"/>
                <w:color w:val="auto"/>
              </w:rPr>
              <w:t xml:space="preserve">  1.8%</w:t>
            </w:r>
          </w:p>
        </w:tc>
        <w:tc>
          <w:tcPr>
            <w:tcW w:w="140" w:type="dxa"/>
            <w:vAlign w:val="bottom"/>
          </w:tcPr>
          <w:p>
            <w:pPr>
              <w:spacing w:after="0"/>
              <w:rPr>
                <w:sz w:val="22"/>
                <w:szCs w:val="22"/>
                <w:color w:val="auto"/>
              </w:rPr>
            </w:pPr>
          </w:p>
        </w:tc>
        <w:tc>
          <w:tcPr>
            <w:tcW w:w="1660" w:type="dxa"/>
            <w:vAlign w:val="bottom"/>
          </w:tcPr>
          <w:p>
            <w:pPr>
              <w:jc w:val="right"/>
              <w:ind w:right="159"/>
              <w:spacing w:after="0"/>
              <w:rPr>
                <w:sz w:val="20"/>
                <w:szCs w:val="20"/>
                <w:color w:val="auto"/>
              </w:rPr>
            </w:pPr>
            <w:r>
              <w:rPr>
                <w:rFonts w:ascii="Arial" w:cs="Arial" w:eastAsia="Arial" w:hAnsi="Arial"/>
                <w:sz w:val="16"/>
                <w:szCs w:val="16"/>
                <w:color w:val="auto"/>
              </w:rPr>
              <w:t>1.82 % - 3.13%</w:t>
            </w:r>
          </w:p>
        </w:tc>
      </w:tr>
    </w:tbl>
    <w:p>
      <w:pPr>
        <w:spacing w:after="0" w:line="329" w:lineRule="exact"/>
        <w:rPr>
          <w:sz w:val="20"/>
          <w:szCs w:val="20"/>
          <w:color w:val="auto"/>
        </w:rPr>
      </w:pPr>
    </w:p>
    <w:p>
      <w:pPr>
        <w:jc w:val="both"/>
        <w:ind w:firstLine="187"/>
        <w:spacing w:after="0" w:line="263" w:lineRule="auto"/>
        <w:rPr>
          <w:sz w:val="20"/>
          <w:szCs w:val="20"/>
          <w:color w:val="auto"/>
        </w:rPr>
      </w:pPr>
      <w:r>
        <w:rPr>
          <w:rFonts w:ascii="Arial" w:cs="Arial" w:eastAsia="Arial" w:hAnsi="Arial"/>
          <w:sz w:val="18"/>
          <w:szCs w:val="18"/>
          <w:color w:val="auto"/>
        </w:rPr>
        <w:t>Because the Company’s Incentive Plan has not been in place for a sufficient amount of time as compared to the expected stock option terms nor does the Company have sufficient history with changes in option vesting schedules and changes in the pool of employees receiving option grants, the Company estimates the expected term using its historical experience of the time awards have been outstanding</w:t>
      </w:r>
    </w:p>
    <w:p>
      <w:pPr>
        <w:sectPr>
          <w:pgSz w:w="11900" w:h="16838" w:orient="portrait"/>
          <w:cols w:equalWidth="0" w:num="1">
            <w:col w:w="11240"/>
          </w:cols>
          <w:pgMar w:left="320" w:top="125" w:right="339" w:bottom="1440" w:gutter="0" w:footer="0" w:header="0"/>
        </w:sect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9" w:name="page80"/>
    <w:bookmarkEnd w:id="7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well as an expected time outstanding, which takes into account the award vesting and contractual term. Additionally, due to a lack of sufficient trading history for the Company’s common stock, expected stock price volatility is based on a combination of a sampling of comparable publicly traded companies and the Company’s historical common stock price activity. The Company believes the sample of comparable publicly traded companies used as inputs to its expected stock price volatility most closely models the nature of the business and stock price volatility. The risk-free rates are based on the implied yield available on U.S. Treasury zero-coupon issues with an equivalent remaining term. Future annual dividends over the expected term are estimated to be nil.</w:t>
      </w:r>
    </w:p>
    <w:p>
      <w:pPr>
        <w:spacing w:after="0" w:line="188" w:lineRule="exact"/>
        <w:rPr>
          <w:sz w:val="20"/>
          <w:szCs w:val="20"/>
          <w:color w:val="auto"/>
        </w:rPr>
      </w:pPr>
    </w:p>
    <w:p>
      <w:pPr>
        <w:jc w:val="both"/>
        <w:ind w:firstLine="178"/>
        <w:spacing w:after="0" w:line="311" w:lineRule="auto"/>
        <w:rPr>
          <w:sz w:val="20"/>
          <w:szCs w:val="20"/>
          <w:color w:val="auto"/>
        </w:rPr>
      </w:pPr>
      <w:r>
        <w:rPr>
          <w:rFonts w:ascii="Arial" w:cs="Arial" w:eastAsia="Arial" w:hAnsi="Arial"/>
          <w:sz w:val="16"/>
          <w:szCs w:val="16"/>
          <w:color w:val="auto"/>
        </w:rPr>
        <w:t>As of August 28, 2021, the Company had $5.1 million of total unrecognized compensation cost related to stock option plans that will be recognized over a weighted average period of 2.0 years. During the fifty-two weeks ended August 28, 2021, fifty-two weeks ended August 29, 2020, and fifty-three weeks ended August 31, 2019, the Company received $0.7 million, $4.2 million, and $0.7 million in cash from stock option exercises,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252" w:lineRule="exact"/>
        <w:rPr>
          <w:sz w:val="20"/>
          <w:szCs w:val="20"/>
          <w:color w:val="auto"/>
        </w:rPr>
      </w:pPr>
    </w:p>
    <w:p>
      <w:pPr>
        <w:jc w:val="both"/>
        <w:ind w:right="20" w:firstLine="202"/>
        <w:spacing w:after="0" w:line="277" w:lineRule="auto"/>
        <w:rPr>
          <w:sz w:val="20"/>
          <w:szCs w:val="20"/>
          <w:color w:val="auto"/>
        </w:rPr>
      </w:pPr>
      <w:r>
        <w:rPr>
          <w:rFonts w:ascii="Arial" w:cs="Arial" w:eastAsia="Arial" w:hAnsi="Arial"/>
          <w:sz w:val="18"/>
          <w:szCs w:val="18"/>
          <w:color w:val="auto"/>
        </w:rPr>
        <w:t>Restricted stock units granted under the Incentive Plan are granted at a price equal to closing market price of the Company’s common stock on the date of grant. Restricted stock units under the Incentive Plan generally vest over three years.</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restricted stock unit activity for the fifty-two weeks ended August 28, 2021:</w:t>
      </w:r>
    </w:p>
    <w:p>
      <w:pPr>
        <w:spacing w:after="0" w:line="275" w:lineRule="exact"/>
        <w:rPr>
          <w:sz w:val="20"/>
          <w:szCs w:val="20"/>
          <w:color w:val="auto"/>
        </w:rPr>
      </w:pPr>
    </w:p>
    <w:tbl>
      <w:tblPr>
        <w:tblLayout w:type="fixed"/>
        <w:tblInd w:w="2320" w:type="dxa"/>
        <w:tblCellMar>
          <w:top w:w="0" w:type="dxa"/>
          <w:left w:w="0" w:type="dxa"/>
          <w:bottom w:w="0" w:type="dxa"/>
          <w:right w:w="0" w:type="dxa"/>
        </w:tblCellMar>
      </w:tblPr>
      <w:tr>
        <w:trPr>
          <w:trHeight w:val="184"/>
        </w:trPr>
        <w:tc>
          <w:tcPr>
            <w:tcW w:w="3540" w:type="dxa"/>
            <w:vAlign w:val="bottom"/>
          </w:tcPr>
          <w:p>
            <w:pPr>
              <w:spacing w:after="0"/>
              <w:rPr>
                <w:sz w:val="16"/>
                <w:szCs w:val="16"/>
                <w:color w:val="auto"/>
              </w:rPr>
            </w:pPr>
          </w:p>
        </w:tc>
        <w:tc>
          <w:tcPr>
            <w:tcW w:w="1440" w:type="dxa"/>
            <w:vAlign w:val="bottom"/>
            <w:vMerge w:val="restart"/>
          </w:tcPr>
          <w:p>
            <w:pPr>
              <w:ind w:left="540"/>
              <w:spacing w:after="0"/>
              <w:rPr>
                <w:sz w:val="20"/>
                <w:szCs w:val="20"/>
                <w:color w:val="auto"/>
              </w:rPr>
            </w:pPr>
            <w:r>
              <w:rPr>
                <w:rFonts w:ascii="Arial" w:cs="Arial" w:eastAsia="Arial" w:hAnsi="Arial"/>
                <w:sz w:val="16"/>
                <w:szCs w:val="16"/>
                <w:color w:val="auto"/>
              </w:rPr>
              <w:t>Units</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jc w:val="right"/>
              <w:ind w:right="99"/>
              <w:spacing w:after="0"/>
              <w:rPr>
                <w:sz w:val="20"/>
                <w:szCs w:val="20"/>
                <w:color w:val="auto"/>
              </w:rPr>
            </w:pPr>
            <w:r>
              <w:rPr>
                <w:rFonts w:ascii="Arial" w:cs="Arial" w:eastAsia="Arial" w:hAnsi="Arial"/>
                <w:sz w:val="16"/>
                <w:szCs w:val="16"/>
                <w:color w:val="auto"/>
                <w:w w:val="93"/>
              </w:rPr>
              <w:t>Weighted average</w:t>
            </w:r>
          </w:p>
        </w:tc>
        <w:tc>
          <w:tcPr>
            <w:tcW w:w="0" w:type="dxa"/>
            <w:vAlign w:val="bottom"/>
          </w:tcPr>
          <w:p>
            <w:pPr>
              <w:spacing w:after="0"/>
              <w:rPr>
                <w:sz w:val="1"/>
                <w:szCs w:val="1"/>
                <w:color w:val="auto"/>
              </w:rPr>
            </w:pPr>
          </w:p>
        </w:tc>
      </w:tr>
      <w:tr>
        <w:trPr>
          <w:trHeight w:val="209"/>
        </w:trPr>
        <w:tc>
          <w:tcPr>
            <w:tcW w:w="354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1"/>
              </w:rPr>
              <w:t>grant-date fair value</w:t>
            </w:r>
          </w:p>
        </w:tc>
        <w:tc>
          <w:tcPr>
            <w:tcW w:w="0" w:type="dxa"/>
            <w:vAlign w:val="bottom"/>
          </w:tcPr>
          <w:p>
            <w:pPr>
              <w:spacing w:after="0"/>
              <w:rPr>
                <w:sz w:val="1"/>
                <w:szCs w:val="1"/>
                <w:color w:val="auto"/>
              </w:rPr>
            </w:pPr>
          </w:p>
        </w:tc>
      </w:tr>
      <w:tr>
        <w:trPr>
          <w:trHeight w:val="250"/>
        </w:trPr>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Non-vested as of August 29, 2020</w:t>
            </w:r>
          </w:p>
        </w:tc>
        <w:tc>
          <w:tcPr>
            <w:tcW w:w="144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rPr>
              <w:t>208,023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22.82</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16"/>
                <w:szCs w:val="16"/>
                <w:color w:val="auto"/>
              </w:rPr>
              <w:t>Granted</w:t>
            </w:r>
          </w:p>
        </w:tc>
        <w:tc>
          <w:tcPr>
            <w:tcW w:w="1440" w:type="dxa"/>
            <w:vAlign w:val="bottom"/>
          </w:tcPr>
          <w:p>
            <w:pPr>
              <w:ind w:left="820"/>
              <w:spacing w:after="0"/>
              <w:rPr>
                <w:sz w:val="20"/>
                <w:szCs w:val="20"/>
                <w:color w:val="auto"/>
              </w:rPr>
            </w:pPr>
            <w:r>
              <w:rPr>
                <w:rFonts w:ascii="Arial" w:cs="Arial" w:eastAsia="Arial" w:hAnsi="Arial"/>
                <w:sz w:val="16"/>
                <w:szCs w:val="16"/>
                <w:color w:val="auto"/>
              </w:rPr>
              <w:t>428,752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25.00</w:t>
            </w:r>
          </w:p>
        </w:tc>
        <w:tc>
          <w:tcPr>
            <w:tcW w:w="0" w:type="dxa"/>
            <w:vAlign w:val="bottom"/>
          </w:tcPr>
          <w:p>
            <w:pPr>
              <w:spacing w:after="0"/>
              <w:rPr>
                <w:sz w:val="1"/>
                <w:szCs w:val="1"/>
                <w:color w:val="auto"/>
              </w:rPr>
            </w:pPr>
          </w:p>
        </w:tc>
      </w:tr>
      <w:tr>
        <w:trPr>
          <w:trHeight w:val="273"/>
        </w:trPr>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Vested</w:t>
            </w:r>
          </w:p>
        </w:tc>
        <w:tc>
          <w:tcPr>
            <w:tcW w:w="1440" w:type="dxa"/>
            <w:vAlign w:val="bottom"/>
            <w:shd w:val="clear" w:color="auto" w:fill="CCEEFF"/>
          </w:tcPr>
          <w:p>
            <w:pPr>
              <w:ind w:left="840"/>
              <w:spacing w:after="0"/>
              <w:rPr>
                <w:sz w:val="20"/>
                <w:szCs w:val="20"/>
                <w:color w:val="auto"/>
              </w:rPr>
            </w:pPr>
            <w:r>
              <w:rPr>
                <w:rFonts w:ascii="Arial" w:cs="Arial" w:eastAsia="Arial" w:hAnsi="Arial"/>
                <w:sz w:val="16"/>
                <w:szCs w:val="16"/>
                <w:color w:val="auto"/>
                <w:w w:val="97"/>
              </w:rPr>
              <w:t>(89,745)</w:t>
            </w: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24.46</w:t>
            </w:r>
          </w:p>
        </w:tc>
        <w:tc>
          <w:tcPr>
            <w:tcW w:w="0" w:type="dxa"/>
            <w:vAlign w:val="bottom"/>
          </w:tcPr>
          <w:p>
            <w:pPr>
              <w:spacing w:after="0"/>
              <w:rPr>
                <w:sz w:val="1"/>
                <w:szCs w:val="1"/>
                <w:color w:val="auto"/>
              </w:rPr>
            </w:pPr>
          </w:p>
        </w:tc>
      </w:tr>
      <w:tr>
        <w:trPr>
          <w:trHeight w:val="267"/>
        </w:trPr>
        <w:tc>
          <w:tcPr>
            <w:tcW w:w="35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Forfeited</w:t>
            </w:r>
          </w:p>
        </w:tc>
        <w:tc>
          <w:tcPr>
            <w:tcW w:w="1440" w:type="dxa"/>
            <w:vAlign w:val="bottom"/>
            <w:tcBorders>
              <w:bottom w:val="single" w:sz="8" w:color="auto"/>
            </w:tcBorders>
          </w:tcPr>
          <w:p>
            <w:pPr>
              <w:ind w:left="840"/>
              <w:spacing w:after="0"/>
              <w:rPr>
                <w:sz w:val="20"/>
                <w:szCs w:val="20"/>
                <w:color w:val="auto"/>
              </w:rPr>
            </w:pPr>
            <w:r>
              <w:rPr>
                <w:rFonts w:ascii="Arial" w:cs="Arial" w:eastAsia="Arial" w:hAnsi="Arial"/>
                <w:sz w:val="16"/>
                <w:szCs w:val="16"/>
                <w:color w:val="auto"/>
                <w:w w:val="97"/>
              </w:rPr>
              <w:t>(50,696)</w:t>
            </w:r>
          </w:p>
        </w:tc>
        <w:tc>
          <w:tcPr>
            <w:tcW w:w="14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21.27</w:t>
            </w:r>
          </w:p>
        </w:tc>
        <w:tc>
          <w:tcPr>
            <w:tcW w:w="0" w:type="dxa"/>
            <w:vAlign w:val="bottom"/>
          </w:tcPr>
          <w:p>
            <w:pPr>
              <w:spacing w:after="0"/>
              <w:rPr>
                <w:sz w:val="1"/>
                <w:szCs w:val="1"/>
                <w:color w:val="auto"/>
              </w:rPr>
            </w:pPr>
          </w:p>
        </w:tc>
      </w:tr>
      <w:tr>
        <w:trPr>
          <w:trHeight w:val="250"/>
        </w:trPr>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Non-vested as of August 28, 2021</w:t>
            </w:r>
          </w:p>
        </w:tc>
        <w:tc>
          <w:tcPr>
            <w:tcW w:w="144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rPr>
              <w:t>496,334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24.56</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firstLine="206"/>
        <w:spacing w:after="0" w:line="277" w:lineRule="auto"/>
        <w:rPr>
          <w:sz w:val="20"/>
          <w:szCs w:val="20"/>
          <w:color w:val="auto"/>
        </w:rPr>
      </w:pPr>
      <w:r>
        <w:rPr>
          <w:rFonts w:ascii="Arial" w:cs="Arial" w:eastAsia="Arial" w:hAnsi="Arial"/>
          <w:sz w:val="18"/>
          <w:szCs w:val="18"/>
          <w:color w:val="auto"/>
        </w:rPr>
        <w:t>As of August 28, 2021, the Company had $8.6 million of total unrecognized compensation cost related to restricted stock units that will be recognized over a weighted average period of 1.9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Stock Units</w:t>
      </w:r>
    </w:p>
    <w:p>
      <w:pPr>
        <w:spacing w:after="0" w:line="252" w:lineRule="exact"/>
        <w:rPr>
          <w:sz w:val="20"/>
          <w:szCs w:val="20"/>
          <w:color w:val="auto"/>
        </w:rPr>
      </w:pPr>
    </w:p>
    <w:p>
      <w:pPr>
        <w:jc w:val="both"/>
        <w:ind w:firstLine="211"/>
        <w:spacing w:after="0" w:line="263" w:lineRule="auto"/>
        <w:rPr>
          <w:sz w:val="20"/>
          <w:szCs w:val="20"/>
          <w:color w:val="auto"/>
        </w:rPr>
      </w:pPr>
      <w:r>
        <w:rPr>
          <w:rFonts w:ascii="Arial" w:cs="Arial" w:eastAsia="Arial" w:hAnsi="Arial"/>
          <w:sz w:val="18"/>
          <w:szCs w:val="18"/>
          <w:color w:val="auto"/>
        </w:rPr>
        <w:t>During the fifty-two weeks ended August 28, 2021, the Board of Directors granted performance stock units under the Company’s equity compensation plan. Performance stock units vest in a range between 0% and 200% based upon certain performance criteria in a three-year period. Performance stock units were valued using a Monte-Carlo simulation.</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performance stock unit activity for the fifty-two weeks ended August 28, 2021:</w:t>
      </w:r>
    </w:p>
    <w:p>
      <w:pPr>
        <w:spacing w:after="0" w:line="275" w:lineRule="exact"/>
        <w:rPr>
          <w:sz w:val="20"/>
          <w:szCs w:val="20"/>
          <w:color w:val="auto"/>
        </w:rPr>
      </w:pPr>
    </w:p>
    <w:tbl>
      <w:tblPr>
        <w:tblLayout w:type="fixed"/>
        <w:tblInd w:w="2320" w:type="dxa"/>
        <w:tblCellMar>
          <w:top w:w="0" w:type="dxa"/>
          <w:left w:w="0" w:type="dxa"/>
          <w:bottom w:w="0" w:type="dxa"/>
          <w:right w:w="0" w:type="dxa"/>
        </w:tblCellMar>
      </w:tblPr>
      <w:tr>
        <w:trPr>
          <w:trHeight w:val="184"/>
        </w:trPr>
        <w:tc>
          <w:tcPr>
            <w:tcW w:w="3540" w:type="dxa"/>
            <w:vAlign w:val="bottom"/>
          </w:tcPr>
          <w:p>
            <w:pPr>
              <w:spacing w:after="0"/>
              <w:rPr>
                <w:sz w:val="16"/>
                <w:szCs w:val="16"/>
                <w:color w:val="auto"/>
              </w:rPr>
            </w:pPr>
          </w:p>
        </w:tc>
        <w:tc>
          <w:tcPr>
            <w:tcW w:w="1440" w:type="dxa"/>
            <w:vAlign w:val="bottom"/>
            <w:vMerge w:val="restart"/>
          </w:tcPr>
          <w:p>
            <w:pPr>
              <w:jc w:val="right"/>
              <w:ind w:right="479"/>
              <w:spacing w:after="0"/>
              <w:rPr>
                <w:sz w:val="20"/>
                <w:szCs w:val="20"/>
                <w:color w:val="auto"/>
              </w:rPr>
            </w:pPr>
            <w:r>
              <w:rPr>
                <w:rFonts w:ascii="Arial" w:cs="Arial" w:eastAsia="Arial" w:hAnsi="Arial"/>
                <w:sz w:val="16"/>
                <w:szCs w:val="16"/>
                <w:color w:val="auto"/>
              </w:rPr>
              <w:t>Units</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jc w:val="right"/>
              <w:ind w:right="99"/>
              <w:spacing w:after="0"/>
              <w:rPr>
                <w:sz w:val="20"/>
                <w:szCs w:val="20"/>
                <w:color w:val="auto"/>
              </w:rPr>
            </w:pPr>
            <w:r>
              <w:rPr>
                <w:rFonts w:ascii="Arial" w:cs="Arial" w:eastAsia="Arial" w:hAnsi="Arial"/>
                <w:sz w:val="16"/>
                <w:szCs w:val="16"/>
                <w:color w:val="auto"/>
                <w:w w:val="93"/>
              </w:rPr>
              <w:t>Weighted average</w:t>
            </w:r>
          </w:p>
        </w:tc>
        <w:tc>
          <w:tcPr>
            <w:tcW w:w="0" w:type="dxa"/>
            <w:vAlign w:val="bottom"/>
          </w:tcPr>
          <w:p>
            <w:pPr>
              <w:spacing w:after="0"/>
              <w:rPr>
                <w:sz w:val="1"/>
                <w:szCs w:val="1"/>
                <w:color w:val="auto"/>
              </w:rPr>
            </w:pPr>
          </w:p>
        </w:tc>
      </w:tr>
      <w:tr>
        <w:trPr>
          <w:trHeight w:val="209"/>
        </w:trPr>
        <w:tc>
          <w:tcPr>
            <w:tcW w:w="354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1"/>
              </w:rPr>
              <w:t>grant-date fair value</w:t>
            </w:r>
          </w:p>
        </w:tc>
        <w:tc>
          <w:tcPr>
            <w:tcW w:w="0" w:type="dxa"/>
            <w:vAlign w:val="bottom"/>
          </w:tcPr>
          <w:p>
            <w:pPr>
              <w:spacing w:after="0"/>
              <w:rPr>
                <w:sz w:val="1"/>
                <w:szCs w:val="1"/>
                <w:color w:val="auto"/>
              </w:rPr>
            </w:pPr>
          </w:p>
        </w:tc>
      </w:tr>
      <w:tr>
        <w:trPr>
          <w:trHeight w:val="250"/>
        </w:trPr>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Non-vested as of August 29, 2020</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295,256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17.93</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16"/>
                <w:szCs w:val="16"/>
                <w:color w:val="auto"/>
              </w:rPr>
              <w:t>Granted</w:t>
            </w:r>
          </w:p>
        </w:tc>
        <w:tc>
          <w:tcPr>
            <w:tcW w:w="1440" w:type="dxa"/>
            <w:vAlign w:val="bottom"/>
          </w:tcPr>
          <w:p>
            <w:pPr>
              <w:jc w:val="right"/>
              <w:spacing w:after="0"/>
              <w:rPr>
                <w:sz w:val="20"/>
                <w:szCs w:val="20"/>
                <w:color w:val="auto"/>
              </w:rPr>
            </w:pPr>
            <w:r>
              <w:rPr>
                <w:rFonts w:ascii="Arial" w:cs="Arial" w:eastAsia="Arial" w:hAnsi="Arial"/>
                <w:sz w:val="16"/>
                <w:szCs w:val="16"/>
                <w:color w:val="auto"/>
              </w:rPr>
              <w:t>116,309</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23.59</w:t>
            </w:r>
          </w:p>
        </w:tc>
        <w:tc>
          <w:tcPr>
            <w:tcW w:w="0" w:type="dxa"/>
            <w:vAlign w:val="bottom"/>
          </w:tcPr>
          <w:p>
            <w:pPr>
              <w:spacing w:after="0"/>
              <w:rPr>
                <w:sz w:val="1"/>
                <w:szCs w:val="1"/>
                <w:color w:val="auto"/>
              </w:rPr>
            </w:pPr>
          </w:p>
        </w:tc>
      </w:tr>
      <w:tr>
        <w:trPr>
          <w:trHeight w:val="273"/>
        </w:trPr>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Vested</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7"/>
        </w:trPr>
        <w:tc>
          <w:tcPr>
            <w:tcW w:w="35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Forfeited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(31,468)</w:t>
            </w:r>
          </w:p>
        </w:tc>
        <w:tc>
          <w:tcPr>
            <w:tcW w:w="14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22.17</w:t>
            </w:r>
          </w:p>
        </w:tc>
        <w:tc>
          <w:tcPr>
            <w:tcW w:w="0" w:type="dxa"/>
            <w:vAlign w:val="bottom"/>
          </w:tcPr>
          <w:p>
            <w:pPr>
              <w:spacing w:after="0"/>
              <w:rPr>
                <w:sz w:val="1"/>
                <w:szCs w:val="1"/>
                <w:color w:val="auto"/>
              </w:rPr>
            </w:pPr>
          </w:p>
        </w:tc>
      </w:tr>
      <w:tr>
        <w:trPr>
          <w:trHeight w:val="250"/>
        </w:trPr>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Non-vested as of August 28, 2021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380,097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19.31</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170"/>
        <w:spacing w:after="0" w:line="277" w:lineRule="auto"/>
        <w:rPr>
          <w:sz w:val="20"/>
          <w:szCs w:val="20"/>
          <w:color w:val="auto"/>
        </w:rPr>
      </w:pPr>
      <w:r>
        <w:rPr>
          <w:rFonts w:ascii="Arial" w:cs="Arial" w:eastAsia="Arial" w:hAnsi="Arial"/>
          <w:sz w:val="18"/>
          <w:szCs w:val="18"/>
          <w:color w:val="auto"/>
        </w:rPr>
        <w:t>As of August 28, 2021, the Company had $3.1 million of total unrecognized compensation cost related to performance stock units that will be recognized over a weighted average period of 1.0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Appreciation Rights</w:t>
      </w:r>
    </w:p>
    <w:p>
      <w:pPr>
        <w:spacing w:after="0" w:line="252" w:lineRule="exact"/>
        <w:rPr>
          <w:sz w:val="20"/>
          <w:szCs w:val="20"/>
          <w:color w:val="auto"/>
        </w:rPr>
      </w:pPr>
    </w:p>
    <w:p>
      <w:pPr>
        <w:jc w:val="both"/>
        <w:ind w:firstLine="215"/>
        <w:spacing w:after="0" w:line="263" w:lineRule="auto"/>
        <w:rPr>
          <w:sz w:val="20"/>
          <w:szCs w:val="20"/>
          <w:color w:val="auto"/>
        </w:rPr>
      </w:pPr>
      <w:r>
        <w:rPr>
          <w:rFonts w:ascii="Arial" w:cs="Arial" w:eastAsia="Arial" w:hAnsi="Arial"/>
          <w:sz w:val="18"/>
          <w:szCs w:val="18"/>
          <w:color w:val="auto"/>
        </w:rPr>
        <w:t>Stock appreciation rights (“SARs”) permit the holder to participate in the appreciation of the Company’s common stock price and are awarded to non-employee, consultants of the Company. The Company’s SARs settle in shares of its common stock once the applicable vesting criteria has been met. SARs cliff vest three years from the date of grant and must be exercised within ten years.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0" w:name="page81"/>
    <w:bookmarkEnd w:id="8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4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SARs activity for the fifty-two weeks ended August 28, 2021:</w:t>
      </w:r>
    </w:p>
    <w:p>
      <w:pPr>
        <w:spacing w:after="0" w:line="248" w:lineRule="exact"/>
        <w:rPr>
          <w:sz w:val="20"/>
          <w:szCs w:val="20"/>
          <w:color w:val="auto"/>
        </w:rPr>
      </w:pPr>
    </w:p>
    <w:tbl>
      <w:tblPr>
        <w:tblLayout w:type="fixed"/>
        <w:tblInd w:w="1560" w:type="dxa"/>
        <w:tblCellMar>
          <w:top w:w="0" w:type="dxa"/>
          <w:left w:w="0" w:type="dxa"/>
          <w:bottom w:w="0" w:type="dxa"/>
          <w:right w:w="0" w:type="dxa"/>
        </w:tblCellMar>
      </w:tblPr>
      <w:tr>
        <w:trPr>
          <w:trHeight w:val="184"/>
        </w:trPr>
        <w:tc>
          <w:tcPr>
            <w:tcW w:w="34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89"/>
              </w:rPr>
              <w:t>Weighted average</w:t>
            </w:r>
          </w:p>
        </w:tc>
        <w:tc>
          <w:tcPr>
            <w:tcW w:w="0" w:type="dxa"/>
            <w:vAlign w:val="bottom"/>
          </w:tcPr>
          <w:p>
            <w:pPr>
              <w:spacing w:after="0"/>
              <w:rPr>
                <w:sz w:val="1"/>
                <w:szCs w:val="1"/>
                <w:color w:val="auto"/>
              </w:rPr>
            </w:pPr>
          </w:p>
        </w:tc>
      </w:tr>
      <w:tr>
        <w:trPr>
          <w:trHeight w:val="162"/>
        </w:trPr>
        <w:tc>
          <w:tcPr>
            <w:tcW w:w="3480" w:type="dxa"/>
            <w:vAlign w:val="bottom"/>
          </w:tcPr>
          <w:p>
            <w:pPr>
              <w:spacing w:after="0"/>
              <w:rPr>
                <w:sz w:val="14"/>
                <w:szCs w:val="14"/>
                <w:color w:val="auto"/>
              </w:rPr>
            </w:pPr>
          </w:p>
        </w:tc>
        <w:tc>
          <w:tcPr>
            <w:tcW w:w="1440" w:type="dxa"/>
            <w:vAlign w:val="bottom"/>
            <w:vMerge w:val="restart"/>
          </w:tcPr>
          <w:p>
            <w:pPr>
              <w:jc w:val="right"/>
              <w:ind w:right="39"/>
              <w:spacing w:after="0"/>
              <w:rPr>
                <w:sz w:val="20"/>
                <w:szCs w:val="20"/>
                <w:color w:val="auto"/>
              </w:rPr>
            </w:pPr>
            <w:r>
              <w:rPr>
                <w:rFonts w:ascii="Arial" w:cs="Arial" w:eastAsia="Arial" w:hAnsi="Arial"/>
                <w:sz w:val="16"/>
                <w:szCs w:val="16"/>
                <w:color w:val="auto"/>
                <w:w w:val="98"/>
              </w:rPr>
              <w:t>Shares Underlying</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vMerge w:val="restart"/>
          </w:tcPr>
          <w:p>
            <w:pPr>
              <w:ind w:left="20"/>
              <w:spacing w:after="0"/>
              <w:rPr>
                <w:sz w:val="20"/>
                <w:szCs w:val="20"/>
                <w:color w:val="auto"/>
              </w:rPr>
            </w:pPr>
            <w:r>
              <w:rPr>
                <w:rFonts w:ascii="Arial" w:cs="Arial" w:eastAsia="Arial" w:hAnsi="Arial"/>
                <w:sz w:val="16"/>
                <w:szCs w:val="16"/>
                <w:color w:val="auto"/>
              </w:rPr>
              <w:t>Weighted average</w:t>
            </w:r>
          </w:p>
        </w:tc>
        <w:tc>
          <w:tcPr>
            <w:tcW w:w="1440" w:type="dxa"/>
            <w:vAlign w:val="bottom"/>
          </w:tcPr>
          <w:p>
            <w:pPr>
              <w:jc w:val="center"/>
              <w:spacing w:after="0" w:line="162" w:lineRule="exact"/>
              <w:rPr>
                <w:sz w:val="20"/>
                <w:szCs w:val="20"/>
                <w:color w:val="auto"/>
              </w:rPr>
            </w:pPr>
            <w:r>
              <w:rPr>
                <w:rFonts w:ascii="Arial" w:cs="Arial" w:eastAsia="Arial" w:hAnsi="Arial"/>
                <w:sz w:val="16"/>
                <w:szCs w:val="16"/>
                <w:color w:val="auto"/>
                <w:w w:val="93"/>
              </w:rPr>
              <w:t>remaining</w:t>
            </w:r>
          </w:p>
        </w:tc>
        <w:tc>
          <w:tcPr>
            <w:tcW w:w="0" w:type="dxa"/>
            <w:vAlign w:val="bottom"/>
          </w:tcPr>
          <w:p>
            <w:pPr>
              <w:spacing w:after="0"/>
              <w:rPr>
                <w:sz w:val="1"/>
                <w:szCs w:val="1"/>
                <w:color w:val="auto"/>
              </w:rPr>
            </w:pPr>
          </w:p>
        </w:tc>
      </w:tr>
      <w:tr>
        <w:trPr>
          <w:trHeight w:val="162"/>
        </w:trPr>
        <w:tc>
          <w:tcPr>
            <w:tcW w:w="348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440" w:type="dxa"/>
            <w:vAlign w:val="bottom"/>
          </w:tcPr>
          <w:p>
            <w:pPr>
              <w:jc w:val="center"/>
              <w:spacing w:after="0" w:line="162" w:lineRule="exact"/>
              <w:rPr>
                <w:sz w:val="20"/>
                <w:szCs w:val="20"/>
                <w:color w:val="auto"/>
              </w:rPr>
            </w:pPr>
            <w:r>
              <w:rPr>
                <w:rFonts w:ascii="Arial" w:cs="Arial" w:eastAsia="Arial" w:hAnsi="Arial"/>
                <w:sz w:val="16"/>
                <w:szCs w:val="16"/>
                <w:color w:val="auto"/>
                <w:w w:val="95"/>
              </w:rPr>
              <w:t>contractual life (in</w:t>
            </w:r>
          </w:p>
        </w:tc>
        <w:tc>
          <w:tcPr>
            <w:tcW w:w="0" w:type="dxa"/>
            <w:vAlign w:val="bottom"/>
          </w:tcPr>
          <w:p>
            <w:pPr>
              <w:spacing w:after="0"/>
              <w:rPr>
                <w:sz w:val="1"/>
                <w:szCs w:val="1"/>
                <w:color w:val="auto"/>
              </w:rPr>
            </w:pPr>
          </w:p>
        </w:tc>
      </w:tr>
      <w:tr>
        <w:trPr>
          <w:trHeight w:val="209"/>
        </w:trPr>
        <w:tc>
          <w:tcPr>
            <w:tcW w:w="348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SARs</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exercise price</w:t>
            </w:r>
          </w:p>
        </w:tc>
        <w:tc>
          <w:tcPr>
            <w:tcW w:w="14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years)</w:t>
            </w:r>
          </w:p>
        </w:tc>
        <w:tc>
          <w:tcPr>
            <w:tcW w:w="0" w:type="dxa"/>
            <w:vAlign w:val="bottom"/>
          </w:tcPr>
          <w:p>
            <w:pPr>
              <w:spacing w:after="0"/>
              <w:rPr>
                <w:sz w:val="1"/>
                <w:szCs w:val="1"/>
                <w:color w:val="auto"/>
              </w:rPr>
            </w:pPr>
          </w:p>
        </w:tc>
      </w:tr>
      <w:tr>
        <w:trPr>
          <w:trHeight w:val="250"/>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as of August 29, 2020</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24.20</w:t>
            </w: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480" w:type="dxa"/>
            <w:vAlign w:val="bottom"/>
          </w:tcPr>
          <w:p>
            <w:pPr>
              <w:ind w:left="20"/>
              <w:spacing w:after="0"/>
              <w:rPr>
                <w:sz w:val="20"/>
                <w:szCs w:val="20"/>
                <w:color w:val="auto"/>
              </w:rPr>
            </w:pPr>
            <w:r>
              <w:rPr>
                <w:rFonts w:ascii="Arial" w:cs="Arial" w:eastAsia="Arial" w:hAnsi="Arial"/>
                <w:sz w:val="16"/>
                <w:szCs w:val="16"/>
                <w:color w:val="auto"/>
              </w:rPr>
              <w:t>Granted</w:t>
            </w: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3"/>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Exercised</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Forfeited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50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as of August 28, 2021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24.20</w:t>
            </w: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w:t>
            </w:r>
          </w:p>
        </w:tc>
        <w:tc>
          <w:tcPr>
            <w:tcW w:w="0" w:type="dxa"/>
            <w:vAlign w:val="bottom"/>
          </w:tcPr>
          <w:p>
            <w:pPr>
              <w:spacing w:after="0"/>
              <w:rPr>
                <w:sz w:val="1"/>
                <w:szCs w:val="1"/>
                <w:color w:val="auto"/>
              </w:rPr>
            </w:pPr>
          </w:p>
        </w:tc>
      </w:tr>
      <w:tr>
        <w:trPr>
          <w:trHeight w:val="253"/>
        </w:trPr>
        <w:tc>
          <w:tcPr>
            <w:tcW w:w="34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5"/>
              </w:rPr>
              <w:t>Vested and expected to vest as of August 28, 2021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24.20</w:t>
            </w: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w:t>
            </w:r>
          </w:p>
        </w:tc>
        <w:tc>
          <w:tcPr>
            <w:tcW w:w="0" w:type="dxa"/>
            <w:vAlign w:val="bottom"/>
          </w:tcPr>
          <w:p>
            <w:pPr>
              <w:spacing w:after="0"/>
              <w:rPr>
                <w:sz w:val="1"/>
                <w:szCs w:val="1"/>
                <w:color w:val="auto"/>
              </w:rPr>
            </w:pPr>
          </w:p>
        </w:tc>
      </w:tr>
      <w:tr>
        <w:trPr>
          <w:trHeight w:val="253"/>
        </w:trPr>
        <w:tc>
          <w:tcPr>
            <w:tcW w:w="34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Exercisable as of August 28, 2021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firstLine="259"/>
        <w:spacing w:after="0" w:line="277" w:lineRule="auto"/>
        <w:rPr>
          <w:sz w:val="20"/>
          <w:szCs w:val="20"/>
          <w:color w:val="auto"/>
        </w:rPr>
      </w:pPr>
      <w:r>
        <w:rPr>
          <w:rFonts w:ascii="Arial" w:cs="Arial" w:eastAsia="Arial" w:hAnsi="Arial"/>
          <w:sz w:val="18"/>
          <w:szCs w:val="18"/>
          <w:color w:val="auto"/>
        </w:rPr>
        <w:t>As of August 28, 2021, the Company had $0.2 million of total unrecognized compensation cost related to its SARs that will be recognized over a weighted average period of 1.2 years.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 Party Transactions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Receivable Agreement</w:t>
      </w:r>
    </w:p>
    <w:p>
      <w:pPr>
        <w:spacing w:after="0" w:line="252" w:lineRule="exact"/>
        <w:rPr>
          <w:sz w:val="20"/>
          <w:szCs w:val="20"/>
          <w:color w:val="auto"/>
        </w:rPr>
      </w:pPr>
    </w:p>
    <w:p>
      <w:pPr>
        <w:jc w:val="both"/>
        <w:ind w:firstLine="191"/>
        <w:spacing w:after="0" w:line="263" w:lineRule="auto"/>
        <w:rPr>
          <w:sz w:val="20"/>
          <w:szCs w:val="20"/>
          <w:color w:val="auto"/>
        </w:rPr>
      </w:pPr>
      <w:r>
        <w:rPr>
          <w:rFonts w:ascii="Arial" w:cs="Arial" w:eastAsia="Arial" w:hAnsi="Arial"/>
          <w:sz w:val="18"/>
          <w:szCs w:val="18"/>
          <w:color w:val="auto"/>
        </w:rPr>
        <w:t>During the fifty-three weeks ended August 31, 2019, the Company entered into the Termination Agreement, pursuant to which, the Company paid $26.5 million to settle the TRA (the “Termination Payment”), which provided former stockholders of Atkins with payments for federal, state, local and non-U.S. tax benefits deemed realized by the Company.</w:t>
      </w:r>
    </w:p>
    <w:p>
      <w:pPr>
        <w:spacing w:after="0" w:line="211" w:lineRule="exact"/>
        <w:rPr>
          <w:sz w:val="20"/>
          <w:szCs w:val="20"/>
          <w:color w:val="auto"/>
        </w:rPr>
      </w:pPr>
    </w:p>
    <w:p>
      <w:pPr>
        <w:jc w:val="both"/>
        <w:ind w:firstLine="242"/>
        <w:spacing w:after="0" w:line="296" w:lineRule="auto"/>
        <w:rPr>
          <w:sz w:val="20"/>
          <w:szCs w:val="20"/>
          <w:color w:val="auto"/>
        </w:rPr>
      </w:pPr>
      <w:r>
        <w:rPr>
          <w:rFonts w:ascii="Arial" w:cs="Arial" w:eastAsia="Arial" w:hAnsi="Arial"/>
          <w:sz w:val="16"/>
          <w:szCs w:val="16"/>
          <w:color w:val="auto"/>
        </w:rPr>
        <w:t>Under the Termination Agreement, each of the parties thereto agreed to terminate the TRA, and to release and discharge any and all obligations and liabilities of the other parties thereunder effective as of the exchange agent’s receipt of the Termination Payment. Richard Laube, a former director of the Company, Joseph Scalzo, President and Chief Executive Officer and a director of the Company, and Scott Parker, Chief Marketing Officer, were each former stockholders of Atkins and received their respective pro rata share of the Termination Payment as additional consideration for their former stock ownership in accordance with the terms of the Merger Agreement. The TRA liability and subsequent settlement are discussed in Note 9, Income Taxes.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Segment and Customer Information</w:t>
      </w:r>
    </w:p>
    <w:p>
      <w:pPr>
        <w:spacing w:after="0" w:line="256" w:lineRule="exact"/>
        <w:rPr>
          <w:sz w:val="20"/>
          <w:szCs w:val="20"/>
          <w:color w:val="auto"/>
        </w:rPr>
      </w:pPr>
    </w:p>
    <w:p>
      <w:pPr>
        <w:jc w:val="both"/>
        <w:ind w:firstLine="184"/>
        <w:spacing w:after="0" w:line="259" w:lineRule="auto"/>
        <w:rPr>
          <w:sz w:val="20"/>
          <w:szCs w:val="20"/>
          <w:color w:val="auto"/>
        </w:rPr>
      </w:pPr>
      <w:r>
        <w:rPr>
          <w:rFonts w:ascii="Arial" w:cs="Arial" w:eastAsia="Arial" w:hAnsi="Arial"/>
          <w:sz w:val="18"/>
          <w:szCs w:val="18"/>
          <w:color w:val="auto"/>
        </w:rPr>
        <w:t>Following the Quest Acquisition, the Company’s operations are organized into two operating segments, Atkins and Quest, which are aggregated into one reporting segment due to similar financial, economic and operating characteristics. The operating segments are also similar in the following areas: (a) the nature of the products; (b) the nature of the production processes; (c) the methods used to distribute products to customers; (d) the type of customer for the products; and, (e) the nature of the regulatory environment.</w:t>
      </w:r>
    </w:p>
    <w:p>
      <w:pPr>
        <w:spacing w:after="0" w:line="214" w:lineRule="exact"/>
        <w:rPr>
          <w:sz w:val="20"/>
          <w:szCs w:val="20"/>
          <w:color w:val="auto"/>
        </w:rPr>
      </w:pPr>
    </w:p>
    <w:p>
      <w:pPr>
        <w:jc w:val="both"/>
        <w:ind w:firstLine="268"/>
        <w:spacing w:after="0" w:line="259" w:lineRule="auto"/>
        <w:rPr>
          <w:sz w:val="20"/>
          <w:szCs w:val="20"/>
          <w:color w:val="auto"/>
        </w:rPr>
      </w:pPr>
      <w:r>
        <w:rPr>
          <w:rFonts w:ascii="Arial" w:cs="Arial" w:eastAsia="Arial" w:hAnsi="Arial"/>
          <w:sz w:val="18"/>
          <w:szCs w:val="18"/>
          <w:color w:val="auto"/>
        </w:rPr>
        <w:t>Reconciliation of the totals of reported segment revenue, profit or loss measurement, assets and other significant items reported by segment to the corresponding GAAP totals is not applicable to the Company as it only has one reportable segment. Additionally, revenues from transactions with external customers for each of Simply Good Foods’ products would be impracticable to disclose and management does not view its business by product line. The following is a summary of revenue disaggregated by geographic area and brand:</w:t>
      </w:r>
    </w:p>
    <w:p>
      <w:pPr>
        <w:spacing w:after="0" w:line="286" w:lineRule="exact"/>
        <w:rPr>
          <w:sz w:val="20"/>
          <w:szCs w:val="20"/>
          <w:color w:val="auto"/>
        </w:rPr>
      </w:pPr>
    </w:p>
    <w:tbl>
      <w:tblPr>
        <w:tblLayout w:type="fixed"/>
        <w:tblInd w:w="1560" w:type="dxa"/>
        <w:tblCellMar>
          <w:top w:w="0" w:type="dxa"/>
          <w:left w:w="0" w:type="dxa"/>
          <w:bottom w:w="0" w:type="dxa"/>
          <w:right w:w="0" w:type="dxa"/>
        </w:tblCellMar>
      </w:tblPr>
      <w:tr>
        <w:trPr>
          <w:trHeight w:val="206"/>
        </w:trPr>
        <w:tc>
          <w:tcPr>
            <w:tcW w:w="3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ind w:left="60"/>
              <w:spacing w:after="0"/>
              <w:rPr>
                <w:sz w:val="20"/>
                <w:szCs w:val="20"/>
                <w:color w:val="auto"/>
              </w:rPr>
            </w:pPr>
            <w:r>
              <w:rPr>
                <w:rFonts w:ascii="Arial" w:cs="Arial" w:eastAsia="Arial" w:hAnsi="Arial"/>
                <w:sz w:val="16"/>
                <w:szCs w:val="16"/>
                <w:color w:val="auto"/>
              </w:rPr>
              <w:t>52-Weeks Ended</w:t>
            </w:r>
          </w:p>
        </w:tc>
        <w:tc>
          <w:tcPr>
            <w:tcW w:w="140" w:type="dxa"/>
            <w:vAlign w:val="bottom"/>
          </w:tcPr>
          <w:p>
            <w:pPr>
              <w:spacing w:after="0"/>
              <w:rPr>
                <w:sz w:val="17"/>
                <w:szCs w:val="17"/>
                <w:color w:val="auto"/>
              </w:rPr>
            </w:pPr>
          </w:p>
        </w:tc>
        <w:tc>
          <w:tcPr>
            <w:tcW w:w="1480" w:type="dxa"/>
            <w:vAlign w:val="bottom"/>
            <w:gridSpan w:val="2"/>
          </w:tcPr>
          <w:p>
            <w:pPr>
              <w:ind w:left="40"/>
              <w:spacing w:after="0"/>
              <w:rPr>
                <w:sz w:val="20"/>
                <w:szCs w:val="20"/>
                <w:color w:val="auto"/>
              </w:rPr>
            </w:pPr>
            <w:r>
              <w:rPr>
                <w:rFonts w:ascii="Arial" w:cs="Arial" w:eastAsia="Arial" w:hAnsi="Arial"/>
                <w:sz w:val="16"/>
                <w:szCs w:val="16"/>
                <w:color w:val="auto"/>
              </w:rPr>
              <w:t>52-Weeks Ended</w:t>
            </w:r>
          </w:p>
        </w:tc>
        <w:tc>
          <w:tcPr>
            <w:tcW w:w="140" w:type="dxa"/>
            <w:vAlign w:val="bottom"/>
          </w:tcPr>
          <w:p>
            <w:pPr>
              <w:spacing w:after="0"/>
              <w:rPr>
                <w:sz w:val="17"/>
                <w:szCs w:val="17"/>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color w:val="auto"/>
                <w:w w:val="91"/>
              </w:rPr>
              <w:t>53-Weeks Ended</w:t>
            </w:r>
          </w:p>
        </w:tc>
      </w:tr>
      <w:tr>
        <w:trPr>
          <w:trHeight w:val="300"/>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96"/>
              </w:rPr>
              <w:t>August 28, 2021</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96"/>
              </w:rPr>
              <w:t>August 29, 2020</w:t>
            </w:r>
          </w:p>
        </w:tc>
        <w:tc>
          <w:tcPr>
            <w:tcW w:w="1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94"/>
              </w:rPr>
              <w:t>August 31, 2019</w:t>
            </w:r>
          </w:p>
        </w:tc>
      </w:tr>
      <w:tr>
        <w:trPr>
          <w:trHeight w:val="253"/>
        </w:trPr>
        <w:tc>
          <w:tcPr>
            <w:tcW w:w="3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North America </w:t>
            </w:r>
            <w:r>
              <w:rPr>
                <w:rFonts w:ascii="Arial" w:cs="Arial" w:eastAsia="Arial" w:hAnsi="Arial"/>
                <w:sz w:val="21"/>
                <w:szCs w:val="21"/>
                <w:color w:val="auto"/>
                <w:vertAlign w:val="superscript"/>
              </w:rPr>
              <w:t>(1)</w:t>
            </w: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67"/>
        </w:trPr>
        <w:tc>
          <w:tcPr>
            <w:tcW w:w="3420" w:type="dxa"/>
            <w:vAlign w:val="bottom"/>
            <w:gridSpan w:val="2"/>
          </w:tcPr>
          <w:p>
            <w:pPr>
              <w:ind w:left="140"/>
              <w:spacing w:after="0"/>
              <w:rPr>
                <w:sz w:val="20"/>
                <w:szCs w:val="20"/>
                <w:color w:val="auto"/>
              </w:rPr>
            </w:pPr>
            <w:r>
              <w:rPr>
                <w:rFonts w:ascii="Arial" w:cs="Arial" w:eastAsia="Arial" w:hAnsi="Arial"/>
                <w:sz w:val="16"/>
                <w:szCs w:val="16"/>
                <w:color w:val="auto"/>
              </w:rPr>
              <w:t>Atkins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506,860</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501,472</w:t>
            </w:r>
          </w:p>
        </w:tc>
        <w:tc>
          <w:tcPr>
            <w:tcW w:w="1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498,571</w:t>
            </w:r>
          </w:p>
        </w:tc>
      </w:tr>
      <w:tr>
        <w:trPr>
          <w:trHeight w:val="273"/>
        </w:trPr>
        <w:tc>
          <w:tcPr>
            <w:tcW w:w="34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 xml:space="preserve">Quest </w:t>
            </w:r>
            <w:r>
              <w:rPr>
                <w:rFonts w:ascii="Arial" w:cs="Arial" w:eastAsia="Arial" w:hAnsi="Arial"/>
                <w:sz w:val="21"/>
                <w:szCs w:val="21"/>
                <w:color w:val="auto"/>
                <w:vertAlign w:val="superscript"/>
              </w:rPr>
              <w:t>(2)</w:t>
            </w: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453,619</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286,803</w:t>
            </w:r>
          </w:p>
        </w:tc>
        <w:tc>
          <w:tcPr>
            <w:tcW w:w="14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47"/>
        </w:trPr>
        <w:tc>
          <w:tcPr>
            <w:tcW w:w="3420" w:type="dxa"/>
            <w:vAlign w:val="bottom"/>
            <w:gridSpan w:val="2"/>
          </w:tcPr>
          <w:p>
            <w:pPr>
              <w:ind w:left="220"/>
              <w:spacing w:after="0"/>
              <w:rPr>
                <w:sz w:val="20"/>
                <w:szCs w:val="20"/>
                <w:color w:val="auto"/>
              </w:rPr>
            </w:pPr>
            <w:r>
              <w:rPr>
                <w:rFonts w:ascii="Arial" w:cs="Arial" w:eastAsia="Arial" w:hAnsi="Arial"/>
                <w:sz w:val="16"/>
                <w:szCs w:val="16"/>
                <w:color w:val="auto"/>
              </w:rPr>
              <w:t>Total North America</w:t>
            </w:r>
          </w:p>
        </w:tc>
        <w:tc>
          <w:tcPr>
            <w:tcW w:w="140" w:type="dxa"/>
            <w:vAlign w:val="bottom"/>
          </w:tcPr>
          <w:p>
            <w:pPr>
              <w:spacing w:after="0"/>
              <w:rPr>
                <w:sz w:val="21"/>
                <w:szCs w:val="21"/>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960,479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788,275</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498,571</w:t>
            </w:r>
          </w:p>
        </w:tc>
      </w:tr>
      <w:tr>
        <w:trPr>
          <w:trHeight w:val="270"/>
        </w:trPr>
        <w:tc>
          <w:tcPr>
            <w:tcW w:w="3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International</w:t>
            </w: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45,134</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28,366</w:t>
            </w:r>
          </w:p>
        </w:tc>
        <w:tc>
          <w:tcPr>
            <w:tcW w:w="14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25,187</w:t>
            </w:r>
          </w:p>
        </w:tc>
      </w:tr>
      <w:tr>
        <w:trPr>
          <w:trHeight w:val="226"/>
        </w:trPr>
        <w:tc>
          <w:tcPr>
            <w:tcW w:w="3420" w:type="dxa"/>
            <w:vAlign w:val="bottom"/>
            <w:gridSpan w:val="2"/>
          </w:tcPr>
          <w:p>
            <w:pPr>
              <w:ind w:left="22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1,005,613</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816,641</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523,758</w:t>
            </w:r>
          </w:p>
        </w:tc>
      </w:tr>
      <w:tr>
        <w:trPr>
          <w:trHeight w:val="20"/>
        </w:trPr>
        <w:tc>
          <w:tcPr>
            <w:tcW w:w="3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ind w:left="500" w:hanging="330"/>
        <w:spacing w:after="0" w:line="221" w:lineRule="auto"/>
        <w:tabs>
          <w:tab w:leader="none" w:pos="472" w:val="left"/>
        </w:tabs>
        <w:numPr>
          <w:ilvl w:val="0"/>
          <w:numId w:val="27"/>
        </w:numPr>
        <w:rPr>
          <w:rFonts w:ascii="Arial" w:cs="Arial" w:eastAsia="Arial" w:hAnsi="Arial"/>
          <w:sz w:val="21"/>
          <w:szCs w:val="21"/>
          <w:color w:val="auto"/>
          <w:vertAlign w:val="superscript"/>
        </w:rPr>
      </w:pPr>
      <w:r>
        <w:rPr>
          <w:rFonts w:ascii="Arial" w:cs="Arial" w:eastAsia="Arial" w:hAnsi="Arial"/>
          <w:sz w:val="16"/>
          <w:szCs w:val="16"/>
          <w:color w:val="auto"/>
        </w:rPr>
        <w:t>The North America geographic area consists of net sales substantially related to the United States and there is no individual foreign country to which more than 10% of Company’s net sales are attributed or that is otherwise deemed individually material.</w:t>
      </w:r>
    </w:p>
    <w:p>
      <w:pPr>
        <w:ind w:left="460" w:hanging="290"/>
        <w:spacing w:after="0" w:line="191" w:lineRule="auto"/>
        <w:tabs>
          <w:tab w:leader="none" w:pos="460" w:val="left"/>
        </w:tabs>
        <w:numPr>
          <w:ilvl w:val="0"/>
          <w:numId w:val="27"/>
        </w:numPr>
        <w:rPr>
          <w:rFonts w:ascii="Arial" w:cs="Arial" w:eastAsia="Arial" w:hAnsi="Arial"/>
          <w:sz w:val="21"/>
          <w:szCs w:val="21"/>
          <w:color w:val="auto"/>
          <w:vertAlign w:val="superscript"/>
        </w:rPr>
      </w:pPr>
      <w:r>
        <w:rPr>
          <w:rFonts w:ascii="Arial" w:cs="Arial" w:eastAsia="Arial" w:hAnsi="Arial"/>
          <w:sz w:val="16"/>
          <w:szCs w:val="16"/>
          <w:color w:val="auto"/>
        </w:rPr>
        <w:t>Quest net sales are primarily in North America.</w:t>
      </w:r>
    </w:p>
    <w:p>
      <w:pPr>
        <w:sectPr>
          <w:pgSz w:w="11900" w:h="16838" w:orient="portrait"/>
          <w:cols w:equalWidth="0" w:num="1">
            <w:col w:w="11240"/>
          </w:cols>
          <w:pgMar w:left="320" w:top="125" w:right="339" w:bottom="1440" w:gutter="0" w:footer="0" w:header="0"/>
        </w:sect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1" w:name="page82"/>
    <w:bookmarkEnd w:id="8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is a summary of long lived assets by geographic area:</w:t>
      </w:r>
    </w:p>
    <w:p>
      <w:pPr>
        <w:spacing w:after="0" w:line="324" w:lineRule="exact"/>
        <w:rPr>
          <w:sz w:val="20"/>
          <w:szCs w:val="20"/>
          <w:color w:val="auto"/>
        </w:rPr>
      </w:pPr>
    </w:p>
    <w:tbl>
      <w:tblPr>
        <w:tblLayout w:type="fixed"/>
        <w:tblInd w:w="2320" w:type="dxa"/>
        <w:tblCellMar>
          <w:top w:w="0" w:type="dxa"/>
          <w:left w:w="0" w:type="dxa"/>
          <w:bottom w:w="0" w:type="dxa"/>
          <w:right w:w="0" w:type="dxa"/>
        </w:tblCellMar>
      </w:tblPr>
      <w:tr>
        <w:trPr>
          <w:trHeight w:val="236"/>
        </w:trPr>
        <w:tc>
          <w:tcPr>
            <w:tcW w:w="338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96"/>
              </w:rPr>
              <w:t>August 28, 2021</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96"/>
              </w:rPr>
              <w:t>August 29, 2020</w:t>
            </w:r>
          </w:p>
        </w:tc>
      </w:tr>
      <w:tr>
        <w:trPr>
          <w:trHeight w:val="253"/>
        </w:trPr>
        <w:tc>
          <w:tcPr>
            <w:tcW w:w="3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Long lived assets</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70"/>
        </w:trPr>
        <w:tc>
          <w:tcPr>
            <w:tcW w:w="3520" w:type="dxa"/>
            <w:vAlign w:val="bottom"/>
            <w:gridSpan w:val="2"/>
          </w:tcPr>
          <w:p>
            <w:pPr>
              <w:ind w:left="120"/>
              <w:spacing w:after="0"/>
              <w:rPr>
                <w:sz w:val="20"/>
                <w:szCs w:val="20"/>
                <w:color w:val="auto"/>
              </w:rPr>
            </w:pPr>
            <w:r>
              <w:rPr>
                <w:rFonts w:ascii="Arial" w:cs="Arial" w:eastAsia="Arial" w:hAnsi="Arial"/>
                <w:sz w:val="16"/>
                <w:szCs w:val="16"/>
                <w:color w:val="auto"/>
              </w:rPr>
              <w:t xml:space="preserve">North America </w:t>
            </w:r>
            <w:r>
              <w:rPr>
                <w:rFonts w:ascii="Arial" w:cs="Arial" w:eastAsia="Arial" w:hAnsi="Arial"/>
                <w:sz w:val="21"/>
                <w:szCs w:val="21"/>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16,584</w:t>
            </w:r>
          </w:p>
        </w:tc>
        <w:tc>
          <w:tcPr>
            <w:tcW w:w="1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11,841</w:t>
            </w:r>
          </w:p>
        </w:tc>
      </w:tr>
      <w:tr>
        <w:trPr>
          <w:trHeight w:val="267"/>
        </w:trPr>
        <w:tc>
          <w:tcPr>
            <w:tcW w:w="35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International</w:t>
            </w:r>
          </w:p>
        </w:tc>
        <w:tc>
          <w:tcPr>
            <w:tcW w:w="140" w:type="dxa"/>
            <w:vAlign w:val="bottom"/>
            <w:shd w:val="clear" w:color="auto" w:fill="CCEEFF"/>
          </w:tcPr>
          <w:p>
            <w:pPr>
              <w:spacing w:after="0"/>
              <w:rPr>
                <w:sz w:val="23"/>
                <w:szCs w:val="23"/>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26"/>
        </w:trPr>
        <w:tc>
          <w:tcPr>
            <w:tcW w:w="3520" w:type="dxa"/>
            <w:vAlign w:val="bottom"/>
            <w:gridSpan w:val="2"/>
          </w:tcPr>
          <w:p>
            <w:pPr>
              <w:ind w:left="22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16,584</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11,850</w:t>
            </w:r>
          </w:p>
        </w:tc>
      </w:tr>
      <w:tr>
        <w:trPr>
          <w:trHeight w:val="21"/>
        </w:trPr>
        <w:tc>
          <w:tcPr>
            <w:tcW w:w="3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500" w:hanging="330"/>
        <w:spacing w:after="0" w:line="223" w:lineRule="auto"/>
        <w:tabs>
          <w:tab w:leader="none" w:pos="444" w:val="left"/>
        </w:tabs>
        <w:numPr>
          <w:ilvl w:val="0"/>
          <w:numId w:val="28"/>
        </w:numPr>
        <w:rPr>
          <w:rFonts w:ascii="Arial" w:cs="Arial" w:eastAsia="Arial" w:hAnsi="Arial"/>
          <w:sz w:val="21"/>
          <w:szCs w:val="21"/>
          <w:color w:val="auto"/>
          <w:vertAlign w:val="superscript"/>
        </w:rPr>
      </w:pPr>
      <w:r>
        <w:rPr>
          <w:rFonts w:ascii="Arial" w:cs="Arial" w:eastAsia="Arial" w:hAnsi="Arial"/>
          <w:sz w:val="16"/>
          <w:szCs w:val="16"/>
          <w:color w:val="auto"/>
        </w:rPr>
        <w:t>The North America geographic area consists of long-lived assets substantially related to the United States and there is no individual foreign country in which more than 10% of the Company’s long-lived assets are located or that is otherwise deemed individually material.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Customers</w:t>
      </w:r>
    </w:p>
    <w:p>
      <w:pPr>
        <w:spacing w:after="0" w:line="252" w:lineRule="exact"/>
        <w:rPr>
          <w:sz w:val="20"/>
          <w:szCs w:val="20"/>
          <w:color w:val="auto"/>
        </w:rPr>
      </w:pPr>
    </w:p>
    <w:p>
      <w:pPr>
        <w:jc w:val="both"/>
        <w:ind w:firstLine="207"/>
        <w:spacing w:after="0" w:line="259" w:lineRule="auto"/>
        <w:rPr>
          <w:sz w:val="20"/>
          <w:szCs w:val="20"/>
          <w:color w:val="auto"/>
        </w:rPr>
      </w:pPr>
      <w:r>
        <w:rPr>
          <w:rFonts w:ascii="Arial" w:cs="Arial" w:eastAsia="Arial" w:hAnsi="Arial"/>
          <w:sz w:val="18"/>
          <w:szCs w:val="18"/>
          <w:color w:val="auto"/>
        </w:rPr>
        <w:t>As a result of the Quest Acquisition, the Company’s exposure to credit risk concentrated in one customer was reduced during 2020. Credit risk for the Company was concentrated in two customers who each comprised more than 10% of the Company’s total sales for the fifty-two weeks ended August 28, 2021 and August 29, 2020. For the fifty-three weeks ended August 31, 2019, credit risk for the Company was concentrated in one customer who comprised more than 10% of the Company’s total sales.</w:t>
      </w:r>
    </w:p>
    <w:p>
      <w:pPr>
        <w:spacing w:after="0" w:line="286" w:lineRule="exact"/>
        <w:rPr>
          <w:sz w:val="20"/>
          <w:szCs w:val="20"/>
          <w:color w:val="auto"/>
        </w:rPr>
      </w:pPr>
    </w:p>
    <w:tbl>
      <w:tblPr>
        <w:tblLayout w:type="fixed"/>
        <w:tblInd w:w="1560" w:type="dxa"/>
        <w:tblCellMar>
          <w:top w:w="0" w:type="dxa"/>
          <w:left w:w="0" w:type="dxa"/>
          <w:bottom w:w="0" w:type="dxa"/>
          <w:right w:w="0" w:type="dxa"/>
        </w:tblCellMar>
      </w:tblPr>
      <w:tr>
        <w:trPr>
          <w:trHeight w:val="206"/>
        </w:trPr>
        <w:tc>
          <w:tcPr>
            <w:tcW w:w="3380" w:type="dxa"/>
            <w:vAlign w:val="bottom"/>
          </w:tcPr>
          <w:p>
            <w:pPr>
              <w:spacing w:after="0"/>
              <w:rPr>
                <w:sz w:val="17"/>
                <w:szCs w:val="17"/>
                <w:color w:val="auto"/>
              </w:rPr>
            </w:pPr>
          </w:p>
        </w:tc>
        <w:tc>
          <w:tcPr>
            <w:tcW w:w="1620" w:type="dxa"/>
            <w:vAlign w:val="bottom"/>
            <w:gridSpan w:val="2"/>
          </w:tcPr>
          <w:p>
            <w:pPr>
              <w:ind w:left="200"/>
              <w:spacing w:after="0"/>
              <w:rPr>
                <w:sz w:val="20"/>
                <w:szCs w:val="20"/>
                <w:color w:val="auto"/>
              </w:rPr>
            </w:pPr>
            <w:r>
              <w:rPr>
                <w:rFonts w:ascii="Arial" w:cs="Arial" w:eastAsia="Arial" w:hAnsi="Arial"/>
                <w:sz w:val="16"/>
                <w:szCs w:val="16"/>
                <w:color w:val="auto"/>
              </w:rPr>
              <w:t>52-Weeks Ended</w:t>
            </w:r>
          </w:p>
        </w:tc>
        <w:tc>
          <w:tcPr>
            <w:tcW w:w="1640" w:type="dxa"/>
            <w:vAlign w:val="bottom"/>
            <w:gridSpan w:val="2"/>
          </w:tcPr>
          <w:p>
            <w:pPr>
              <w:ind w:left="200"/>
              <w:spacing w:after="0"/>
              <w:rPr>
                <w:sz w:val="20"/>
                <w:szCs w:val="20"/>
                <w:color w:val="auto"/>
              </w:rPr>
            </w:pPr>
            <w:r>
              <w:rPr>
                <w:rFonts w:ascii="Arial" w:cs="Arial" w:eastAsia="Arial" w:hAnsi="Arial"/>
                <w:sz w:val="16"/>
                <w:szCs w:val="16"/>
                <w:color w:val="auto"/>
              </w:rPr>
              <w:t>52-Weeks Ended</w:t>
            </w:r>
          </w:p>
        </w:tc>
        <w:tc>
          <w:tcPr>
            <w:tcW w:w="1500" w:type="dxa"/>
            <w:vAlign w:val="bottom"/>
          </w:tcPr>
          <w:p>
            <w:pPr>
              <w:ind w:left="200"/>
              <w:spacing w:after="0"/>
              <w:rPr>
                <w:sz w:val="20"/>
                <w:szCs w:val="20"/>
                <w:color w:val="auto"/>
              </w:rPr>
            </w:pPr>
            <w:r>
              <w:rPr>
                <w:rFonts w:ascii="Arial" w:cs="Arial" w:eastAsia="Arial" w:hAnsi="Arial"/>
                <w:sz w:val="16"/>
                <w:szCs w:val="16"/>
                <w:color w:val="auto"/>
              </w:rPr>
              <w:t>53-Weeks Ended</w:t>
            </w:r>
          </w:p>
        </w:tc>
      </w:tr>
      <w:tr>
        <w:trPr>
          <w:trHeight w:val="270"/>
        </w:trPr>
        <w:tc>
          <w:tcPr>
            <w:tcW w:w="3380" w:type="dxa"/>
            <w:vAlign w:val="bottom"/>
          </w:tcPr>
          <w:p>
            <w:pPr>
              <w:spacing w:after="0"/>
              <w:rPr>
                <w:sz w:val="23"/>
                <w:szCs w:val="23"/>
                <w:color w:val="auto"/>
              </w:rPr>
            </w:pPr>
          </w:p>
        </w:tc>
        <w:tc>
          <w:tcPr>
            <w:tcW w:w="1620" w:type="dxa"/>
            <w:vAlign w:val="bottom"/>
            <w:gridSpan w:val="2"/>
          </w:tcPr>
          <w:p>
            <w:pPr>
              <w:ind w:left="200"/>
              <w:spacing w:after="0"/>
              <w:rPr>
                <w:sz w:val="20"/>
                <w:szCs w:val="20"/>
                <w:color w:val="auto"/>
              </w:rPr>
            </w:pPr>
            <w:r>
              <w:rPr>
                <w:rFonts w:ascii="Arial" w:cs="Arial" w:eastAsia="Arial" w:hAnsi="Arial"/>
                <w:sz w:val="16"/>
                <w:szCs w:val="16"/>
                <w:color w:val="auto"/>
              </w:rPr>
              <w:t>August 28, 2021</w:t>
            </w:r>
          </w:p>
        </w:tc>
        <w:tc>
          <w:tcPr>
            <w:tcW w:w="1640" w:type="dxa"/>
            <w:vAlign w:val="bottom"/>
            <w:gridSpan w:val="2"/>
          </w:tcPr>
          <w:p>
            <w:pPr>
              <w:ind w:left="220"/>
              <w:spacing w:after="0"/>
              <w:rPr>
                <w:sz w:val="20"/>
                <w:szCs w:val="20"/>
                <w:color w:val="auto"/>
              </w:rPr>
            </w:pPr>
            <w:r>
              <w:rPr>
                <w:rFonts w:ascii="Arial" w:cs="Arial" w:eastAsia="Arial" w:hAnsi="Arial"/>
                <w:sz w:val="16"/>
                <w:szCs w:val="16"/>
                <w:color w:val="auto"/>
              </w:rPr>
              <w:t>August 29, 2020</w:t>
            </w:r>
          </w:p>
        </w:tc>
        <w:tc>
          <w:tcPr>
            <w:tcW w:w="1500" w:type="dxa"/>
            <w:vAlign w:val="bottom"/>
          </w:tcPr>
          <w:p>
            <w:pPr>
              <w:ind w:left="200"/>
              <w:spacing w:after="0"/>
              <w:rPr>
                <w:sz w:val="20"/>
                <w:szCs w:val="20"/>
                <w:color w:val="auto"/>
              </w:rPr>
            </w:pPr>
            <w:r>
              <w:rPr>
                <w:rFonts w:ascii="Arial" w:cs="Arial" w:eastAsia="Arial" w:hAnsi="Arial"/>
                <w:sz w:val="16"/>
                <w:szCs w:val="16"/>
                <w:color w:val="auto"/>
              </w:rPr>
              <w:t>August 31, 2019</w:t>
            </w:r>
          </w:p>
        </w:tc>
      </w:tr>
      <w:tr>
        <w:trPr>
          <w:trHeight w:val="33"/>
        </w:trPr>
        <w:tc>
          <w:tcPr>
            <w:tcW w:w="33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0"/>
        </w:trPr>
        <w:tc>
          <w:tcPr>
            <w:tcW w:w="3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Customer 1</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31 %</w:t>
            </w: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34 %</w:t>
            </w: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44 %</w:t>
            </w:r>
          </w:p>
        </w:tc>
      </w:tr>
      <w:tr>
        <w:trPr>
          <w:trHeight w:val="264"/>
        </w:trPr>
        <w:tc>
          <w:tcPr>
            <w:tcW w:w="3380" w:type="dxa"/>
            <w:vAlign w:val="bottom"/>
          </w:tcPr>
          <w:p>
            <w:pPr>
              <w:ind w:left="20"/>
              <w:spacing w:after="0"/>
              <w:rPr>
                <w:sz w:val="20"/>
                <w:szCs w:val="20"/>
                <w:color w:val="auto"/>
              </w:rPr>
            </w:pPr>
            <w:r>
              <w:rPr>
                <w:rFonts w:ascii="Arial" w:cs="Arial" w:eastAsia="Arial" w:hAnsi="Arial"/>
                <w:sz w:val="16"/>
                <w:szCs w:val="16"/>
                <w:color w:val="auto"/>
              </w:rPr>
              <w:t>Customer 2</w:t>
            </w:r>
          </w:p>
        </w:tc>
        <w:tc>
          <w:tcPr>
            <w:tcW w:w="1500" w:type="dxa"/>
            <w:vAlign w:val="bottom"/>
          </w:tcPr>
          <w:p>
            <w:pPr>
              <w:jc w:val="right"/>
              <w:spacing w:after="0"/>
              <w:rPr>
                <w:sz w:val="20"/>
                <w:szCs w:val="20"/>
                <w:color w:val="auto"/>
              </w:rPr>
            </w:pPr>
            <w:r>
              <w:rPr>
                <w:rFonts w:ascii="Arial" w:cs="Arial" w:eastAsia="Arial" w:hAnsi="Arial"/>
                <w:sz w:val="16"/>
                <w:szCs w:val="16"/>
                <w:color w:val="auto"/>
              </w:rPr>
              <w:t>12 %</w:t>
            </w:r>
          </w:p>
        </w:tc>
        <w:tc>
          <w:tcPr>
            <w:tcW w:w="12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10 %</w:t>
            </w:r>
          </w:p>
        </w:tc>
        <w:tc>
          <w:tcPr>
            <w:tcW w:w="140" w:type="dxa"/>
            <w:vAlign w:val="bottom"/>
          </w:tcPr>
          <w:p>
            <w:pPr>
              <w:spacing w:after="0"/>
              <w:rPr>
                <w:sz w:val="22"/>
                <w:szCs w:val="22"/>
                <w:color w:val="auto"/>
              </w:rPr>
            </w:pPr>
          </w:p>
        </w:tc>
        <w:tc>
          <w:tcPr>
            <w:tcW w:w="1500" w:type="dxa"/>
            <w:vAlign w:val="bottom"/>
          </w:tcPr>
          <w:p>
            <w:pPr>
              <w:ind w:left="1180"/>
              <w:spacing w:after="0"/>
              <w:rPr>
                <w:sz w:val="20"/>
                <w:szCs w:val="20"/>
                <w:color w:val="auto"/>
              </w:rPr>
            </w:pPr>
            <w:r>
              <w:rPr>
                <w:rFonts w:ascii="Arial" w:cs="Arial" w:eastAsia="Arial" w:hAnsi="Arial"/>
                <w:sz w:val="16"/>
                <w:szCs w:val="16"/>
                <w:color w:val="auto"/>
              </w:rPr>
              <w:t>n/a</w:t>
            </w:r>
          </w:p>
        </w:tc>
      </w:tr>
    </w:tbl>
    <w:p>
      <w:pPr>
        <w:spacing w:after="0" w:line="7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n/a - Not applicable as the customer was not significant during these fiscal years.</w:t>
      </w:r>
    </w:p>
    <w:p>
      <w:pPr>
        <w:spacing w:after="0" w:line="244" w:lineRule="exact"/>
        <w:rPr>
          <w:sz w:val="20"/>
          <w:szCs w:val="20"/>
          <w:color w:val="auto"/>
        </w:rPr>
      </w:pPr>
    </w:p>
    <w:p>
      <w:pPr>
        <w:jc w:val="both"/>
        <w:ind w:right="20" w:firstLine="197"/>
        <w:spacing w:after="0" w:line="277" w:lineRule="auto"/>
        <w:rPr>
          <w:sz w:val="20"/>
          <w:szCs w:val="20"/>
          <w:color w:val="auto"/>
        </w:rPr>
      </w:pPr>
      <w:r>
        <w:rPr>
          <w:rFonts w:ascii="Arial" w:cs="Arial" w:eastAsia="Arial" w:hAnsi="Arial"/>
          <w:sz w:val="18"/>
          <w:szCs w:val="18"/>
          <w:color w:val="auto"/>
        </w:rPr>
        <w:t>At August 28, 2021 and August 29, 2020, the following amounts of the Company’s accounts receivable, net were related to these significant customers for the periods in which the customers were significant:</w:t>
      </w:r>
    </w:p>
    <w:p>
      <w:pPr>
        <w:spacing w:after="0" w:line="269" w:lineRule="exact"/>
        <w:rPr>
          <w:sz w:val="20"/>
          <w:szCs w:val="20"/>
          <w:color w:val="auto"/>
        </w:rPr>
      </w:pPr>
    </w:p>
    <w:tbl>
      <w:tblPr>
        <w:tblLayout w:type="fixed"/>
        <w:tblInd w:w="2320" w:type="dxa"/>
        <w:tblCellMar>
          <w:top w:w="0" w:type="dxa"/>
          <w:left w:w="0" w:type="dxa"/>
          <w:bottom w:w="0" w:type="dxa"/>
          <w:right w:w="0" w:type="dxa"/>
        </w:tblCellMar>
      </w:tblPr>
      <w:tr>
        <w:trPr>
          <w:trHeight w:val="236"/>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right"/>
              <w:ind w:right="219"/>
              <w:spacing w:after="0"/>
              <w:rPr>
                <w:sz w:val="20"/>
                <w:szCs w:val="20"/>
                <w:color w:val="auto"/>
              </w:rPr>
            </w:pPr>
            <w:r>
              <w:rPr>
                <w:rFonts w:ascii="Arial" w:cs="Arial" w:eastAsia="Arial" w:hAnsi="Arial"/>
                <w:sz w:val="16"/>
                <w:szCs w:val="16"/>
                <w:color w:val="auto"/>
                <w:w w:val="99"/>
              </w:rPr>
              <w:t>August 28, 2021</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right"/>
              <w:ind w:right="239"/>
              <w:spacing w:after="0"/>
              <w:rPr>
                <w:sz w:val="20"/>
                <w:szCs w:val="20"/>
                <w:color w:val="auto"/>
              </w:rPr>
            </w:pPr>
            <w:r>
              <w:rPr>
                <w:rFonts w:ascii="Arial" w:cs="Arial" w:eastAsia="Arial" w:hAnsi="Arial"/>
                <w:sz w:val="16"/>
                <w:szCs w:val="16"/>
                <w:color w:val="auto"/>
                <w:w w:val="99"/>
              </w:rPr>
              <w:t>August 29, 2020</w:t>
            </w:r>
          </w:p>
        </w:tc>
      </w:tr>
      <w:tr>
        <w:trPr>
          <w:trHeight w:val="253"/>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Customer 1</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37,483</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34 %</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34,411</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38 %</w:t>
            </w:r>
          </w:p>
        </w:tc>
      </w:tr>
      <w:tr>
        <w:trPr>
          <w:trHeight w:val="264"/>
        </w:trPr>
        <w:tc>
          <w:tcPr>
            <w:tcW w:w="3100" w:type="dxa"/>
            <w:vAlign w:val="bottom"/>
            <w:gridSpan w:val="2"/>
          </w:tcPr>
          <w:p>
            <w:pPr>
              <w:ind w:left="20"/>
              <w:spacing w:after="0"/>
              <w:rPr>
                <w:sz w:val="20"/>
                <w:szCs w:val="20"/>
                <w:color w:val="auto"/>
              </w:rPr>
            </w:pPr>
            <w:r>
              <w:rPr>
                <w:rFonts w:ascii="Arial" w:cs="Arial" w:eastAsia="Arial" w:hAnsi="Arial"/>
                <w:sz w:val="16"/>
                <w:szCs w:val="16"/>
                <w:color w:val="auto"/>
              </w:rPr>
              <w:t>Customer 2</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79"/>
              <w:spacing w:after="0"/>
              <w:rPr>
                <w:sz w:val="20"/>
                <w:szCs w:val="20"/>
                <w:color w:val="auto"/>
              </w:rPr>
            </w:pPr>
            <w:r>
              <w:rPr>
                <w:rFonts w:ascii="Arial" w:cs="Arial" w:eastAsia="Arial" w:hAnsi="Arial"/>
                <w:sz w:val="16"/>
                <w:szCs w:val="16"/>
                <w:color w:val="auto"/>
              </w:rPr>
              <w:t>27,962</w:t>
            </w:r>
          </w:p>
        </w:tc>
        <w:tc>
          <w:tcPr>
            <w:tcW w:w="620" w:type="dxa"/>
            <w:vAlign w:val="bottom"/>
          </w:tcPr>
          <w:p>
            <w:pPr>
              <w:jc w:val="right"/>
              <w:spacing w:after="0"/>
              <w:rPr>
                <w:sz w:val="20"/>
                <w:szCs w:val="20"/>
                <w:color w:val="auto"/>
              </w:rPr>
            </w:pPr>
            <w:r>
              <w:rPr>
                <w:rFonts w:ascii="Arial" w:cs="Arial" w:eastAsia="Arial" w:hAnsi="Arial"/>
                <w:sz w:val="16"/>
                <w:szCs w:val="16"/>
                <w:color w:val="auto"/>
              </w:rPr>
              <w:t>25 %</w:t>
            </w:r>
          </w:p>
        </w:tc>
        <w:tc>
          <w:tcPr>
            <w:tcW w:w="140" w:type="dxa"/>
            <w:vAlign w:val="bottom"/>
          </w:tcPr>
          <w:p>
            <w:pPr>
              <w:spacing w:after="0"/>
              <w:rPr>
                <w:sz w:val="22"/>
                <w:szCs w:val="22"/>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79"/>
              <w:spacing w:after="0"/>
              <w:rPr>
                <w:sz w:val="20"/>
                <w:szCs w:val="20"/>
                <w:color w:val="auto"/>
              </w:rPr>
            </w:pPr>
            <w:r>
              <w:rPr>
                <w:rFonts w:ascii="Arial" w:cs="Arial" w:eastAsia="Arial" w:hAnsi="Arial"/>
                <w:sz w:val="16"/>
                <w:szCs w:val="16"/>
                <w:color w:val="auto"/>
              </w:rPr>
              <w:t>12,345</w:t>
            </w:r>
          </w:p>
        </w:tc>
        <w:tc>
          <w:tcPr>
            <w:tcW w:w="640" w:type="dxa"/>
            <w:vAlign w:val="bottom"/>
          </w:tcPr>
          <w:p>
            <w:pPr>
              <w:jc w:val="right"/>
              <w:spacing w:after="0"/>
              <w:rPr>
                <w:sz w:val="20"/>
                <w:szCs w:val="20"/>
                <w:color w:val="auto"/>
              </w:rPr>
            </w:pPr>
            <w:r>
              <w:rPr>
                <w:rFonts w:ascii="Arial" w:cs="Arial" w:eastAsia="Arial" w:hAnsi="Arial"/>
                <w:sz w:val="16"/>
                <w:szCs w:val="16"/>
                <w:color w:val="auto"/>
              </w:rPr>
              <w:t>14 %</w:t>
            </w:r>
          </w:p>
        </w:tc>
      </w:tr>
    </w:tbl>
    <w:p>
      <w:pPr>
        <w:spacing w:after="0" w:line="329" w:lineRule="exact"/>
        <w:rPr>
          <w:sz w:val="20"/>
          <w:szCs w:val="20"/>
          <w:color w:val="auto"/>
        </w:rPr>
      </w:pPr>
    </w:p>
    <w:p>
      <w:pPr>
        <w:jc w:val="both"/>
        <w:ind w:firstLine="184"/>
        <w:spacing w:after="0" w:line="277" w:lineRule="auto"/>
        <w:rPr>
          <w:sz w:val="20"/>
          <w:szCs w:val="20"/>
          <w:color w:val="auto"/>
        </w:rPr>
      </w:pPr>
      <w:r>
        <w:rPr>
          <w:rFonts w:ascii="Arial" w:cs="Arial" w:eastAsia="Arial" w:hAnsi="Arial"/>
          <w:sz w:val="18"/>
          <w:szCs w:val="18"/>
          <w:color w:val="auto"/>
        </w:rPr>
        <w:t>No other customers of the Company accounted for more than 10% of sales during these periods. The Company generally does not require collateral from its customers and has not incurred any significant losses on uncollectible accounts receivable.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Restructuring and Related Charges</w:t>
      </w:r>
    </w:p>
    <w:p>
      <w:pPr>
        <w:spacing w:after="0" w:line="256" w:lineRule="exact"/>
        <w:rPr>
          <w:sz w:val="20"/>
          <w:szCs w:val="20"/>
          <w:color w:val="auto"/>
        </w:rPr>
      </w:pPr>
    </w:p>
    <w:p>
      <w:pPr>
        <w:jc w:val="both"/>
        <w:ind w:firstLine="185"/>
        <w:spacing w:after="0" w:line="259" w:lineRule="auto"/>
        <w:rPr>
          <w:sz w:val="20"/>
          <w:szCs w:val="20"/>
          <w:color w:val="auto"/>
        </w:rPr>
      </w:pPr>
      <w:r>
        <w:rPr>
          <w:rFonts w:ascii="Arial" w:cs="Arial" w:eastAsia="Arial" w:hAnsi="Arial"/>
          <w:sz w:val="18"/>
          <w:szCs w:val="18"/>
          <w:color w:val="auto"/>
        </w:rPr>
        <w:t>In May 2020, the Company announced certain restructuring activities in conjunction with the implementation of the Company’s future-state organization design, which created a fully integrated organization with its completed Quest Acquisition. The new organization design became effective on August 31, 2020. These restructuring plans primarily include workforce reductions, changes in management structure, and the relocation of business activities from one location to another.</w:t>
      </w:r>
    </w:p>
    <w:p>
      <w:pPr>
        <w:spacing w:after="0" w:line="214" w:lineRule="exact"/>
        <w:rPr>
          <w:sz w:val="20"/>
          <w:szCs w:val="20"/>
          <w:color w:val="auto"/>
        </w:rPr>
      </w:pPr>
    </w:p>
    <w:p>
      <w:pPr>
        <w:jc w:val="both"/>
        <w:ind w:firstLine="314"/>
        <w:spacing w:after="0" w:line="257" w:lineRule="auto"/>
        <w:rPr>
          <w:sz w:val="20"/>
          <w:szCs w:val="20"/>
          <w:color w:val="auto"/>
        </w:rPr>
      </w:pPr>
      <w:r>
        <w:rPr>
          <w:rFonts w:ascii="Arial" w:cs="Arial" w:eastAsia="Arial" w:hAnsi="Arial"/>
          <w:sz w:val="18"/>
          <w:szCs w:val="18"/>
          <w:color w:val="auto"/>
        </w:rPr>
        <w:t>The one-time termination benefits and employee severance costs to be incurred in relation to these restructuring activities are accounted for in accordance with ASC Topic 420, Exit or Disposal Cost Obligations, and ASC Topic 712, Compensation-Nonretirement Postemployment Benefits, respectively. The Company recognizes a liability and the related expense for these restructuring costs when the liability is incurred and can be measured. Restructuring accruals are based upon management estimates at the time and can change depending upon changes in facts and circumstances subsequent to the date the original liability was recorded.</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Changes to the restructuring liability during the fifty-two weeks ended August 28, 2021 and August 29, 2020 were as follows:</w:t>
      </w:r>
    </w:p>
    <w:p>
      <w:pPr>
        <w:spacing w:after="0" w:line="200" w:lineRule="exact"/>
        <w:rPr>
          <w:sz w:val="20"/>
          <w:szCs w:val="20"/>
          <w:color w:val="auto"/>
        </w:rPr>
      </w:pPr>
    </w:p>
    <w:p>
      <w:pPr>
        <w:spacing w:after="0" w:line="237" w:lineRule="exact"/>
        <w:rPr>
          <w:sz w:val="20"/>
          <w:szCs w:val="20"/>
          <w:color w:val="auto"/>
        </w:rPr>
      </w:pPr>
    </w:p>
    <w:tbl>
      <w:tblPr>
        <w:tblLayout w:type="fixed"/>
        <w:tblInd w:w="1560" w:type="dxa"/>
        <w:tblCellMar>
          <w:top w:w="0" w:type="dxa"/>
          <w:left w:w="0" w:type="dxa"/>
          <w:bottom w:w="0" w:type="dxa"/>
          <w:right w:w="0" w:type="dxa"/>
        </w:tblCellMar>
      </w:tblPr>
      <w:tr>
        <w:trPr>
          <w:trHeight w:val="184"/>
        </w:trPr>
        <w:tc>
          <w:tcPr>
            <w:tcW w:w="33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vMerge w:val="restart"/>
          </w:tcPr>
          <w:p>
            <w:pPr>
              <w:spacing w:after="0"/>
              <w:rPr>
                <w:sz w:val="16"/>
                <w:szCs w:val="16"/>
                <w:color w:val="auto"/>
              </w:rPr>
            </w:pPr>
          </w:p>
        </w:tc>
        <w:tc>
          <w:tcPr>
            <w:tcW w:w="1620" w:type="dxa"/>
            <w:vAlign w:val="bottom"/>
            <w:gridSpan w:val="3"/>
          </w:tcPr>
          <w:p>
            <w:pPr>
              <w:ind w:left="60"/>
              <w:spacing w:after="0"/>
              <w:rPr>
                <w:sz w:val="20"/>
                <w:szCs w:val="20"/>
                <w:color w:val="auto"/>
              </w:rPr>
            </w:pPr>
            <w:r>
              <w:rPr>
                <w:rFonts w:ascii="Arial" w:cs="Arial" w:eastAsia="Arial" w:hAnsi="Arial"/>
                <w:sz w:val="16"/>
                <w:szCs w:val="16"/>
                <w:color w:val="auto"/>
              </w:rPr>
              <w:t>Termination benefits</w:t>
            </w:r>
          </w:p>
        </w:tc>
        <w:tc>
          <w:tcPr>
            <w:tcW w:w="320" w:type="dxa"/>
            <w:vAlign w:val="bottom"/>
          </w:tcPr>
          <w:p>
            <w:pPr>
              <w:spacing w:after="0"/>
              <w:rPr>
                <w:sz w:val="16"/>
                <w:szCs w:val="16"/>
                <w:color w:val="auto"/>
              </w:rPr>
            </w:pPr>
          </w:p>
        </w:tc>
        <w:tc>
          <w:tcPr>
            <w:tcW w:w="1120" w:type="dxa"/>
            <w:vAlign w:val="bottom"/>
            <w:vMerge w:val="restart"/>
          </w:tcPr>
          <w:p>
            <w:pPr>
              <w:jc w:val="right"/>
              <w:ind w:right="459"/>
              <w:spacing w:after="0"/>
              <w:rPr>
                <w:sz w:val="20"/>
                <w:szCs w:val="20"/>
                <w:color w:val="auto"/>
              </w:rPr>
            </w:pPr>
            <w:r>
              <w:rPr>
                <w:rFonts w:ascii="Arial" w:cs="Arial" w:eastAsia="Arial" w:hAnsi="Arial"/>
                <w:sz w:val="16"/>
                <w:szCs w:val="16"/>
                <w:color w:val="auto"/>
              </w:rPr>
              <w:t>Other</w:t>
            </w:r>
          </w:p>
        </w:tc>
        <w:tc>
          <w:tcPr>
            <w:tcW w:w="140" w:type="dxa"/>
            <w:vAlign w:val="bottom"/>
            <w:vMerge w:val="restart"/>
          </w:tcPr>
          <w:p>
            <w:pPr>
              <w:spacing w:after="0"/>
              <w:rPr>
                <w:sz w:val="16"/>
                <w:szCs w:val="16"/>
                <w:color w:val="auto"/>
              </w:rPr>
            </w:pPr>
          </w:p>
        </w:tc>
        <w:tc>
          <w:tcPr>
            <w:tcW w:w="1500" w:type="dxa"/>
            <w:vAlign w:val="bottom"/>
            <w:gridSpan w:val="2"/>
            <w:vMerge w:val="restart"/>
          </w:tcPr>
          <w:p>
            <w:pPr>
              <w:ind w:left="40"/>
              <w:spacing w:after="0"/>
              <w:rPr>
                <w:sz w:val="20"/>
                <w:szCs w:val="20"/>
                <w:color w:val="auto"/>
              </w:rPr>
            </w:pPr>
            <w:r>
              <w:rPr>
                <w:rFonts w:ascii="Arial" w:cs="Arial" w:eastAsia="Arial" w:hAnsi="Arial"/>
                <w:sz w:val="16"/>
                <w:szCs w:val="16"/>
                <w:color w:val="auto"/>
                <w:w w:val="97"/>
              </w:rPr>
              <w:t>Restructuring liability</w:t>
            </w:r>
          </w:p>
        </w:tc>
        <w:tc>
          <w:tcPr>
            <w:tcW w:w="0" w:type="dxa"/>
            <w:vAlign w:val="bottom"/>
          </w:tcPr>
          <w:p>
            <w:pPr>
              <w:spacing w:after="0"/>
              <w:rPr>
                <w:sz w:val="1"/>
                <w:szCs w:val="1"/>
                <w:color w:val="auto"/>
              </w:rPr>
            </w:pPr>
          </w:p>
        </w:tc>
      </w:tr>
      <w:tr>
        <w:trPr>
          <w:trHeight w:val="209"/>
        </w:trPr>
        <w:tc>
          <w:tcPr>
            <w:tcW w:w="330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95"/>
              </w:rPr>
              <w:t>and severance</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150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 as of August 31, 2019</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7"/>
        </w:trPr>
        <w:tc>
          <w:tcPr>
            <w:tcW w:w="3440" w:type="dxa"/>
            <w:vAlign w:val="bottom"/>
            <w:gridSpan w:val="2"/>
          </w:tcPr>
          <w:p>
            <w:pPr>
              <w:ind w:left="120"/>
              <w:spacing w:after="0"/>
              <w:rPr>
                <w:sz w:val="20"/>
                <w:szCs w:val="20"/>
                <w:color w:val="auto"/>
              </w:rPr>
            </w:pPr>
            <w:r>
              <w:rPr>
                <w:rFonts w:ascii="Arial" w:cs="Arial" w:eastAsia="Arial" w:hAnsi="Arial"/>
                <w:sz w:val="16"/>
                <w:szCs w:val="16"/>
                <w:color w:val="auto"/>
              </w:rPr>
              <w:t>Charges</w:t>
            </w: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4,139</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1,388</w:t>
            </w: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5,527</w:t>
            </w:r>
          </w:p>
        </w:tc>
        <w:tc>
          <w:tcPr>
            <w:tcW w:w="0" w:type="dxa"/>
            <w:vAlign w:val="bottom"/>
          </w:tcPr>
          <w:p>
            <w:pPr>
              <w:spacing w:after="0"/>
              <w:rPr>
                <w:sz w:val="1"/>
                <w:szCs w:val="1"/>
                <w:color w:val="auto"/>
              </w:rPr>
            </w:pPr>
          </w:p>
        </w:tc>
      </w:tr>
      <w:tr>
        <w:trPr>
          <w:trHeight w:val="270"/>
        </w:trPr>
        <w:tc>
          <w:tcPr>
            <w:tcW w:w="34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Cash payments</w:t>
            </w: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(1,388)</w:t>
            </w:r>
          </w:p>
        </w:tc>
        <w:tc>
          <w:tcPr>
            <w:tcW w:w="14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(1,388)</w:t>
            </w:r>
          </w:p>
        </w:tc>
        <w:tc>
          <w:tcPr>
            <w:tcW w:w="0" w:type="dxa"/>
            <w:vAlign w:val="bottom"/>
          </w:tcPr>
          <w:p>
            <w:pPr>
              <w:spacing w:after="0"/>
              <w:rPr>
                <w:sz w:val="1"/>
                <w:szCs w:val="1"/>
                <w:color w:val="auto"/>
              </w:rPr>
            </w:pPr>
          </w:p>
        </w:tc>
      </w:tr>
      <w:tr>
        <w:trPr>
          <w:trHeight w:val="250"/>
        </w:trPr>
        <w:tc>
          <w:tcPr>
            <w:tcW w:w="3440" w:type="dxa"/>
            <w:vAlign w:val="bottom"/>
            <w:gridSpan w:val="2"/>
          </w:tcPr>
          <w:p>
            <w:pPr>
              <w:ind w:left="20"/>
              <w:spacing w:after="0"/>
              <w:rPr>
                <w:sz w:val="20"/>
                <w:szCs w:val="20"/>
                <w:color w:val="auto"/>
              </w:rPr>
            </w:pPr>
            <w:r>
              <w:rPr>
                <w:rFonts w:ascii="Arial" w:cs="Arial" w:eastAsia="Arial" w:hAnsi="Arial"/>
                <w:sz w:val="16"/>
                <w:szCs w:val="16"/>
                <w:color w:val="auto"/>
              </w:rPr>
              <w:t>Balance as of August 29, 2020</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4,139</w:t>
            </w:r>
          </w:p>
        </w:tc>
        <w:tc>
          <w:tcPr>
            <w:tcW w:w="140" w:type="dxa"/>
            <w:vAlign w:val="bottom"/>
          </w:tcPr>
          <w:p>
            <w:pPr>
              <w:spacing w:after="0"/>
              <w:rPr>
                <w:sz w:val="21"/>
                <w:szCs w:val="21"/>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tcPr>
          <w:p>
            <w:pPr>
              <w:ind w:left="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4,139</w:t>
            </w:r>
          </w:p>
        </w:tc>
        <w:tc>
          <w:tcPr>
            <w:tcW w:w="0" w:type="dxa"/>
            <w:vAlign w:val="bottom"/>
          </w:tcPr>
          <w:p>
            <w:pPr>
              <w:spacing w:after="0"/>
              <w:rPr>
                <w:sz w:val="1"/>
                <w:szCs w:val="1"/>
                <w:color w:val="auto"/>
              </w:rPr>
            </w:pPr>
          </w:p>
        </w:tc>
      </w:tr>
      <w:tr>
        <w:trPr>
          <w:trHeight w:val="273"/>
        </w:trPr>
        <w:tc>
          <w:tcPr>
            <w:tcW w:w="34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Charges</w:t>
            </w: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3,458</w:t>
            </w:r>
          </w:p>
        </w:tc>
        <w:tc>
          <w:tcPr>
            <w:tcW w:w="1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w:t>
            </w:r>
          </w:p>
        </w:tc>
        <w:tc>
          <w:tcPr>
            <w:tcW w:w="1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3,800</w:t>
            </w:r>
          </w:p>
        </w:tc>
        <w:tc>
          <w:tcPr>
            <w:tcW w:w="0" w:type="dxa"/>
            <w:vAlign w:val="bottom"/>
          </w:tcPr>
          <w:p>
            <w:pPr>
              <w:spacing w:after="0"/>
              <w:rPr>
                <w:sz w:val="1"/>
                <w:szCs w:val="1"/>
                <w:color w:val="auto"/>
              </w:rPr>
            </w:pPr>
          </w:p>
        </w:tc>
      </w:tr>
      <w:tr>
        <w:trPr>
          <w:trHeight w:val="267"/>
        </w:trPr>
        <w:tc>
          <w:tcPr>
            <w:tcW w:w="344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Cash payments</w:t>
            </w:r>
          </w:p>
        </w:tc>
        <w:tc>
          <w:tcPr>
            <w:tcW w:w="1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(6,746)</w:t>
            </w:r>
          </w:p>
        </w:tc>
        <w:tc>
          <w:tcPr>
            <w:tcW w:w="14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w:t>
            </w:r>
          </w:p>
        </w:tc>
        <w:tc>
          <w:tcPr>
            <w:tcW w:w="14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(7,088)</w:t>
            </w:r>
          </w:p>
        </w:tc>
        <w:tc>
          <w:tcPr>
            <w:tcW w:w="0" w:type="dxa"/>
            <w:vAlign w:val="bottom"/>
          </w:tcPr>
          <w:p>
            <w:pPr>
              <w:spacing w:after="0"/>
              <w:rPr>
                <w:sz w:val="1"/>
                <w:szCs w:val="1"/>
                <w:color w:val="auto"/>
              </w:rPr>
            </w:pPr>
          </w:p>
        </w:tc>
      </w:tr>
      <w:tr>
        <w:trPr>
          <w:trHeight w:val="246"/>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 as of August 28, 2021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851</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851</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firstLine="215"/>
        <w:spacing w:after="0" w:line="255" w:lineRule="auto"/>
        <w:rPr>
          <w:sz w:val="20"/>
          <w:szCs w:val="20"/>
          <w:color w:val="auto"/>
        </w:rPr>
      </w:pPr>
      <w:r>
        <w:rPr>
          <w:rFonts w:ascii="Arial" w:cs="Arial" w:eastAsia="Arial" w:hAnsi="Arial"/>
          <w:sz w:val="18"/>
          <w:szCs w:val="18"/>
          <w:color w:val="auto"/>
        </w:rPr>
        <w:t xml:space="preserve">In addition to the restructuring costs shown above, the Company incurred impairment charges of $0.7 million in the fifty-two weeks ended August 28, 2021 related to its operating lease right-of-use assets for leases in Toronto, Ontario and the Netherlands. Additionally, the Company terminated the lease in Toronto, Ontario, which resulted in a gain on lease termination of $0.2 million in the fifty-two weeks ended August 28, 2021. As a result, the Company incurred a total of $4.3 million and $5.5 million in restructuring and restructuring-related costs in fifty-two weeks ended August 28, 2021 and August 29, 2020, respectively. The effect of these restructuring activities has been included within </w:t>
      </w:r>
      <w:r>
        <w:rPr>
          <w:rFonts w:ascii="Arial" w:cs="Arial" w:eastAsia="Arial" w:hAnsi="Arial"/>
          <w:sz w:val="18"/>
          <w:szCs w:val="18"/>
          <w:i w:val="1"/>
          <w:iCs w:val="1"/>
          <w:color w:val="auto"/>
        </w:rPr>
        <w:t>General and administrative</w:t>
      </w:r>
      <w:r>
        <w:rPr>
          <w:rFonts w:ascii="Arial" w:cs="Arial" w:eastAsia="Arial" w:hAnsi="Arial"/>
          <w:sz w:val="18"/>
          <w:szCs w:val="18"/>
          <w:color w:val="auto"/>
        </w:rPr>
        <w:t xml:space="preserve"> on the Consolidated Statements of Operations and Comprehensive Income (Loss).</w:t>
      </w:r>
    </w:p>
    <w:p>
      <w:pPr>
        <w:spacing w:after="0" w:line="219" w:lineRule="exact"/>
        <w:rPr>
          <w:sz w:val="20"/>
          <w:szCs w:val="20"/>
          <w:color w:val="auto"/>
        </w:rPr>
      </w:pPr>
    </w:p>
    <w:p>
      <w:pPr>
        <w:jc w:val="both"/>
        <w:ind w:firstLine="192"/>
        <w:spacing w:after="0" w:line="263" w:lineRule="auto"/>
        <w:rPr>
          <w:sz w:val="20"/>
          <w:szCs w:val="20"/>
          <w:color w:val="auto"/>
        </w:rPr>
      </w:pPr>
      <w:r>
        <w:rPr>
          <w:rFonts w:ascii="Arial" w:cs="Arial" w:eastAsia="Arial" w:hAnsi="Arial"/>
          <w:sz w:val="18"/>
          <w:szCs w:val="18"/>
          <w:color w:val="auto"/>
        </w:rPr>
        <w:t>Since the restructuring activities were announced in May 2020, the Company has incurred aggregate restructuring and restructuring-related costs of $9.8 million. Overall, the Company expects to incur a total of approximately $10.1 million in restructuring and restructuring-related costs, which are to be paid through the second quarter of fiscal year 2022.</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56" w:lineRule="exact"/>
        <w:rPr>
          <w:sz w:val="20"/>
          <w:szCs w:val="20"/>
          <w:color w:val="auto"/>
        </w:rPr>
      </w:pPr>
    </w:p>
    <w:p>
      <w:pPr>
        <w:jc w:val="both"/>
        <w:ind w:firstLine="183"/>
        <w:spacing w:after="0" w:line="257" w:lineRule="auto"/>
        <w:rPr>
          <w:sz w:val="20"/>
          <w:szCs w:val="20"/>
          <w:color w:val="auto"/>
        </w:rPr>
      </w:pPr>
      <w:r>
        <w:rPr>
          <w:rFonts w:ascii="Arial" w:cs="Arial" w:eastAsia="Arial" w:hAnsi="Arial"/>
          <w:sz w:val="18"/>
          <w:szCs w:val="18"/>
          <w:color w:val="auto"/>
        </w:rPr>
        <w:t>We maintain disclosure controls and procedures, as such term is defined in Rules 13a-15(e) and 15d-15(e) under the Securities Exchange Act of 1934, as amended (the “Exchange Act”), that are designed to provide reasonable assurance that information required to be disclosed by us in the reports that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financial disclosures.</w:t>
      </w:r>
    </w:p>
    <w:p>
      <w:pPr>
        <w:spacing w:after="0" w:line="215" w:lineRule="exact"/>
        <w:rPr>
          <w:sz w:val="20"/>
          <w:szCs w:val="20"/>
          <w:color w:val="auto"/>
        </w:rPr>
      </w:pPr>
    </w:p>
    <w:p>
      <w:pPr>
        <w:jc w:val="both"/>
        <w:ind w:firstLine="191"/>
        <w:spacing w:after="0" w:line="259" w:lineRule="auto"/>
        <w:rPr>
          <w:sz w:val="20"/>
          <w:szCs w:val="20"/>
          <w:color w:val="auto"/>
        </w:rPr>
      </w:pPr>
      <w:r>
        <w:rPr>
          <w:rFonts w:ascii="Arial" w:cs="Arial" w:eastAsia="Arial" w:hAnsi="Arial"/>
          <w:sz w:val="18"/>
          <w:szCs w:val="18"/>
          <w:color w:val="auto"/>
        </w:rPr>
        <w:t>Management, including the participation of our Chief Executive Officer and our Chief Financial Officer, conducted an evaluation (pursuant to Rule 13a-15(b) under the Exchange Act) of the effectiveness of our disclosure controls and procedures as of the end of the period covered by this Report. Based on this evaluation, our Chief Executive Officer and Chief Financial Officer concluded that, as of August 28, 2021, the Company’s disclosure controls and procedures were effective.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6" w:lineRule="exact"/>
        <w:rPr>
          <w:sz w:val="20"/>
          <w:szCs w:val="20"/>
          <w:color w:val="auto"/>
        </w:rPr>
      </w:pPr>
    </w:p>
    <w:p>
      <w:pPr>
        <w:jc w:val="both"/>
        <w:ind w:firstLine="229"/>
        <w:spacing w:after="0" w:line="273" w:lineRule="auto"/>
        <w:rPr>
          <w:sz w:val="20"/>
          <w:szCs w:val="20"/>
          <w:color w:val="auto"/>
        </w:rPr>
      </w:pPr>
      <w:r>
        <w:rPr>
          <w:rFonts w:ascii="Arial" w:cs="Arial" w:eastAsia="Arial" w:hAnsi="Arial"/>
          <w:sz w:val="17"/>
          <w:szCs w:val="17"/>
          <w:color w:val="auto"/>
        </w:rPr>
        <w:t>Management is responsible for designing, implementing and maintaining adequate internal control over financial reporting, as such term is defined in Rules 13a-15(f) and 15d-15(f) under the Exchange Act, to provide reasonable assurance regarding the reliability of our financial reporting and the preparation of financial statements in accordance with U.S. generally accepted accounting principles. Management assessed the effectiveness of our internal control over financial reporting as of August 28, 2021. Management based its assessment on criteria established in Internal Control-Integrated Framework (2013) issued by the Committee of Sponsoring Organizations of the Treadway Commission. Based on the assessment using this criteria, management has concluded that our internal control over financial reporting was effective as of August 28, 2021.</w:t>
      </w:r>
    </w:p>
    <w:p>
      <w:pPr>
        <w:spacing w:after="0" w:line="205" w:lineRule="exact"/>
        <w:rPr>
          <w:sz w:val="20"/>
          <w:szCs w:val="20"/>
          <w:color w:val="auto"/>
        </w:rPr>
      </w:pPr>
    </w:p>
    <w:p>
      <w:pPr>
        <w:jc w:val="both"/>
        <w:ind w:firstLine="238"/>
        <w:spacing w:after="0" w:line="257"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All internal control systems, no matter how well designed, have inherent limitations. Therefore, even those systems determined to be effective can provide only reasonable assurance with respect to financial statement preparation and presentation. Additionally,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5" w:lineRule="exact"/>
        <w:rPr>
          <w:sz w:val="20"/>
          <w:szCs w:val="20"/>
          <w:color w:val="auto"/>
        </w:rPr>
      </w:pPr>
    </w:p>
    <w:p>
      <w:pPr>
        <w:jc w:val="both"/>
        <w:ind w:firstLine="281"/>
        <w:spacing w:after="0" w:line="263" w:lineRule="auto"/>
        <w:rPr>
          <w:sz w:val="20"/>
          <w:szCs w:val="20"/>
          <w:color w:val="auto"/>
        </w:rPr>
      </w:pPr>
      <w:r>
        <w:rPr>
          <w:rFonts w:ascii="Arial" w:cs="Arial" w:eastAsia="Arial" w:hAnsi="Arial"/>
          <w:sz w:val="18"/>
          <w:szCs w:val="18"/>
          <w:color w:val="auto"/>
        </w:rPr>
        <w:t>The effectiveness of our internal control over financial reporting as of August 28, 2021 was audited by Deloitte &amp; Touche LLP, our independent registered public accounting firm, as stated in their report appearing below, which expressed an unqualified opinion on the effectiveness of our internal control over financial reporting as of August 28,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jc w:val="both"/>
        <w:ind w:firstLine="236"/>
        <w:spacing w:after="0" w:line="257" w:lineRule="auto"/>
        <w:rPr>
          <w:sz w:val="20"/>
          <w:szCs w:val="20"/>
          <w:color w:val="auto"/>
        </w:rPr>
      </w:pPr>
      <w:r>
        <w:rPr>
          <w:rFonts w:ascii="Arial" w:cs="Arial" w:eastAsia="Arial" w:hAnsi="Arial"/>
          <w:sz w:val="18"/>
          <w:szCs w:val="18"/>
          <w:color w:val="auto"/>
        </w:rPr>
        <w:t>As of August 29, 2020, our management assessed the effectiveness of our internal control over financial reporting based on the criteria for effective internal control over financial reporting established in Internal Control - Integrated Framework, issued by the Committee of Sponsoring Organizations of the Treadway Commission in 2013. Based on our assessments and those criteria, on October 28, 2020 we filed the Company’s Annual Report on Form 10-K for the fiscal year ended August 29, 2020 with the SEC (the “Original Filing”), at which time management determined that the Company maintained effective internal control over financial reporting as of August 29, 2020.</w:t>
      </w:r>
    </w:p>
    <w:p>
      <w:pPr>
        <w:spacing w:after="0" w:line="215" w:lineRule="exact"/>
        <w:rPr>
          <w:sz w:val="20"/>
          <w:szCs w:val="20"/>
          <w:color w:val="auto"/>
        </w:rPr>
      </w:pPr>
    </w:p>
    <w:p>
      <w:pPr>
        <w:jc w:val="both"/>
        <w:ind w:firstLine="247"/>
        <w:spacing w:after="0" w:line="270" w:lineRule="auto"/>
        <w:rPr>
          <w:sz w:val="20"/>
          <w:szCs w:val="20"/>
          <w:color w:val="auto"/>
        </w:rPr>
      </w:pPr>
      <w:r>
        <w:rPr>
          <w:rFonts w:ascii="Arial" w:cs="Arial" w:eastAsia="Arial" w:hAnsi="Arial"/>
          <w:sz w:val="17"/>
          <w:szCs w:val="17"/>
          <w:color w:val="auto"/>
        </w:rPr>
        <w:t>Subsequent to the Original Filing on October 28, 2020, management identified a material weakness in the Company's internal control over financial reporting related to the accounting for and classification of the Private Warrants. 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 On April 12, 2021, the staff of the SEC issued a staff statement (the “Staff Statement”) on the accounting and reporting considerations for warrants issued by special purpose acquisition companies, including the Private Warrants. Management identified this material weakness as a result of evaluating the SEC Statement. The material weakness was due to the lack of an effectively designed control over the evaluation of the underlying clauses of the warrant agreement as it relates to the Private Warrants, and an insufficient understanding of the warrant agreement and accounting literature to reach a correct conclusion. As a result, we concluded that our internal control over financial reporting was not effective as of August 29, 2020.</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right="480" w:firstLine="177"/>
        <w:spacing w:after="0" w:line="311" w:lineRule="auto"/>
        <w:rPr>
          <w:sz w:val="20"/>
          <w:szCs w:val="20"/>
          <w:color w:val="auto"/>
        </w:rPr>
      </w:pPr>
      <w:r>
        <w:rPr>
          <w:rFonts w:ascii="Arial" w:cs="Arial" w:eastAsia="Arial" w:hAnsi="Arial"/>
          <w:sz w:val="16"/>
          <w:szCs w:val="16"/>
          <w:color w:val="auto"/>
        </w:rPr>
        <w:t>The Company remediated this material weakness during the fourth quarter of fiscal year 2021. Measures taken to remediate the material weakness included acquiring enhanced access to accounting literature, increasing communication among our personnel regarding the application of complex accounting transactions, hiring additional technical resources, and enhancing reviews of technical analyses to ensure the proper application of GAAP.</w:t>
      </w:r>
    </w:p>
    <w:p>
      <w:pPr>
        <w:spacing w:after="0" w:line="176" w:lineRule="exact"/>
        <w:rPr>
          <w:sz w:val="20"/>
          <w:szCs w:val="20"/>
          <w:color w:val="auto"/>
        </w:rPr>
      </w:pPr>
    </w:p>
    <w:p>
      <w:pPr>
        <w:ind w:firstLine="234"/>
        <w:spacing w:after="0" w:line="277" w:lineRule="auto"/>
        <w:rPr>
          <w:sz w:val="20"/>
          <w:szCs w:val="20"/>
          <w:color w:val="auto"/>
        </w:rPr>
      </w:pPr>
      <w:r>
        <w:rPr>
          <w:rFonts w:ascii="Arial" w:cs="Arial" w:eastAsia="Arial" w:hAnsi="Arial"/>
          <w:sz w:val="18"/>
          <w:szCs w:val="18"/>
          <w:color w:val="auto"/>
        </w:rPr>
        <w:t>Except as disclosed above, there were no changes in our internal control over financial reporting during the quarter ended August 28, 2021 that have materially affected, or are reasonably likely to materially affect, our internal control over financial reporting.</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The Simply Good Foods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We have audited the internal control over financial reporting of The Simply Good Foods Company and subsidiaries (the “Company”) as of August 28, 2021,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August 28, 2021,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fifty-two weeks ended August 28, 2021, of the Company and our report dated October 26, 2021, expressed an unqualified opinion on those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26, 2021</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9C. Disclosure Regarding Foreign Jurisdictions that Prevent Inspections.</w:t>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36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56" w:lineRule="exact"/>
        <w:rPr>
          <w:sz w:val="20"/>
          <w:szCs w:val="20"/>
          <w:color w:val="auto"/>
        </w:rPr>
      </w:pPr>
    </w:p>
    <w:p>
      <w:pPr>
        <w:ind w:firstLine="203"/>
        <w:spacing w:after="0" w:line="277" w:lineRule="auto"/>
        <w:rPr>
          <w:sz w:val="20"/>
          <w:szCs w:val="20"/>
          <w:color w:val="auto"/>
        </w:rPr>
      </w:pPr>
      <w:r>
        <w:rPr>
          <w:rFonts w:ascii="Arial" w:cs="Arial" w:eastAsia="Arial" w:hAnsi="Arial"/>
          <w:sz w:val="18"/>
          <w:szCs w:val="18"/>
          <w:color w:val="auto"/>
        </w:rPr>
        <w:t>Incorporated herein by reference to our definitive proxy statement for our 2022 Annual Meeting of Stockholders to be filed no later than 120 days after the end of the fiscal year ended August 28, 2021.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56" w:lineRule="exact"/>
        <w:rPr>
          <w:sz w:val="20"/>
          <w:szCs w:val="20"/>
          <w:color w:val="auto"/>
        </w:rPr>
      </w:pPr>
    </w:p>
    <w:p>
      <w:pPr>
        <w:ind w:firstLine="203"/>
        <w:spacing w:after="0" w:line="277" w:lineRule="auto"/>
        <w:rPr>
          <w:sz w:val="20"/>
          <w:szCs w:val="20"/>
          <w:color w:val="auto"/>
        </w:rPr>
      </w:pPr>
      <w:r>
        <w:rPr>
          <w:rFonts w:ascii="Arial" w:cs="Arial" w:eastAsia="Arial" w:hAnsi="Arial"/>
          <w:sz w:val="18"/>
          <w:szCs w:val="18"/>
          <w:color w:val="auto"/>
        </w:rPr>
        <w:t>Incorporated herein by reference to our definitive proxy statement for our 2022 Annual Meeting of Stockholders to be filed no later than 120 days after the end of the fiscal year ended August 28, 2021.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56" w:lineRule="exact"/>
        <w:rPr>
          <w:sz w:val="20"/>
          <w:szCs w:val="20"/>
          <w:color w:val="auto"/>
        </w:rPr>
      </w:pPr>
    </w:p>
    <w:p>
      <w:pPr>
        <w:ind w:firstLine="203"/>
        <w:spacing w:after="0" w:line="277" w:lineRule="auto"/>
        <w:rPr>
          <w:sz w:val="20"/>
          <w:szCs w:val="20"/>
          <w:color w:val="auto"/>
        </w:rPr>
      </w:pPr>
      <w:r>
        <w:rPr>
          <w:rFonts w:ascii="Arial" w:cs="Arial" w:eastAsia="Arial" w:hAnsi="Arial"/>
          <w:sz w:val="18"/>
          <w:szCs w:val="18"/>
          <w:color w:val="auto"/>
        </w:rPr>
        <w:t>Incorporated herein by reference to our definitive proxy statement for our 2022 Annual Meeting of Stockholders to be filed no later than 120 days after the end of the fiscal year ended August 28, 2021.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56" w:lineRule="exact"/>
        <w:rPr>
          <w:sz w:val="20"/>
          <w:szCs w:val="20"/>
          <w:color w:val="auto"/>
        </w:rPr>
      </w:pPr>
    </w:p>
    <w:p>
      <w:pPr>
        <w:ind w:firstLine="203"/>
        <w:spacing w:after="0" w:line="277" w:lineRule="auto"/>
        <w:rPr>
          <w:sz w:val="20"/>
          <w:szCs w:val="20"/>
          <w:color w:val="auto"/>
        </w:rPr>
      </w:pPr>
      <w:r>
        <w:rPr>
          <w:rFonts w:ascii="Arial" w:cs="Arial" w:eastAsia="Arial" w:hAnsi="Arial"/>
          <w:sz w:val="18"/>
          <w:szCs w:val="18"/>
          <w:color w:val="auto"/>
        </w:rPr>
        <w:t>Incorporated herein by reference to our definitive proxy statement for our 2022 Annual Meeting of Stockholders to be filed no later than 120 days after the end of the fiscal year ended August 28, 2021.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56" w:lineRule="exact"/>
        <w:rPr>
          <w:sz w:val="20"/>
          <w:szCs w:val="20"/>
          <w:color w:val="auto"/>
        </w:rPr>
      </w:pPr>
    </w:p>
    <w:p>
      <w:pPr>
        <w:ind w:firstLine="203"/>
        <w:spacing w:after="0" w:line="277" w:lineRule="auto"/>
        <w:rPr>
          <w:sz w:val="20"/>
          <w:szCs w:val="20"/>
          <w:color w:val="auto"/>
        </w:rPr>
      </w:pPr>
      <w:r>
        <w:rPr>
          <w:rFonts w:ascii="Arial" w:cs="Arial" w:eastAsia="Arial" w:hAnsi="Arial"/>
          <w:sz w:val="18"/>
          <w:szCs w:val="18"/>
          <w:color w:val="auto"/>
        </w:rPr>
        <w:t>Incorporated herein by reference to our definitive proxy statement for our 2022 Annual Meeting of Stockholders to be filed no later than 120 days after the end of the fiscal year ended August 28, 2021.</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 and Financial Statement Schedules.</w:t>
      </w:r>
    </w:p>
    <w:p>
      <w:pPr>
        <w:spacing w:after="0" w:line="256" w:lineRule="exact"/>
        <w:rPr>
          <w:sz w:val="20"/>
          <w:szCs w:val="20"/>
          <w:color w:val="auto"/>
        </w:rPr>
      </w:pPr>
    </w:p>
    <w:p>
      <w:pPr>
        <w:jc w:val="both"/>
        <w:ind w:firstLine="195"/>
        <w:spacing w:after="0" w:line="263" w:lineRule="auto"/>
        <w:rPr>
          <w:sz w:val="20"/>
          <w:szCs w:val="20"/>
          <w:color w:val="auto"/>
        </w:rPr>
      </w:pPr>
      <w:r>
        <w:rPr>
          <w:rFonts w:ascii="Arial" w:cs="Arial" w:eastAsia="Arial" w:hAnsi="Arial"/>
          <w:sz w:val="18"/>
          <w:szCs w:val="18"/>
          <w:color w:val="auto"/>
        </w:rPr>
        <w:t>The audited consolidated financial statements of The Simply Good Foods Company and its subsidiaries, as required to be filed, are included under Item 8 of this Annual Report on Form 10-K. Other schedules have been omitted as they are not applicable or the required information is set forth in the consolidated financial statements or notes thereto.</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Exhibit No.</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480" w:type="dxa"/>
            <w:vAlign w:val="bottom"/>
            <w:tcBorders>
              <w:bottom w:val="single" w:sz="8" w:color="auto"/>
            </w:tcBorders>
            <w:gridSpan w:val="47"/>
          </w:tcPr>
          <w:p>
            <w:pPr>
              <w:spacing w:after="0"/>
              <w:rPr>
                <w:sz w:val="20"/>
                <w:szCs w:val="20"/>
                <w:color w:val="auto"/>
              </w:rPr>
            </w:pPr>
            <w:r>
              <w:rPr>
                <w:rFonts w:ascii="Arial" w:cs="Arial" w:eastAsia="Arial" w:hAnsi="Arial"/>
                <w:sz w:val="16"/>
                <w:szCs w:val="16"/>
                <w:b w:val="1"/>
                <w:bCs w:val="1"/>
                <w:color w:val="auto"/>
              </w:rPr>
              <w:t>Document</w:t>
            </w:r>
          </w:p>
        </w:tc>
      </w:tr>
      <w:tr>
        <w:trPr>
          <w:trHeight w:val="175"/>
        </w:trPr>
        <w:tc>
          <w:tcPr>
            <w:tcW w:w="1160" w:type="dxa"/>
            <w:vAlign w:val="bottom"/>
            <w:gridSpan w:val="2"/>
            <w:shd w:val="clear" w:color="auto" w:fill="CCEEFF"/>
          </w:tcPr>
          <w:p>
            <w:pPr>
              <w:ind w:left="20"/>
              <w:spacing w:after="0" w:line="175" w:lineRule="exact"/>
              <w:rPr>
                <w:sz w:val="20"/>
                <w:szCs w:val="20"/>
                <w:color w:val="auto"/>
              </w:rPr>
            </w:pPr>
            <w:r>
              <w:rPr>
                <w:rFonts w:ascii="Arial" w:cs="Arial" w:eastAsia="Arial" w:hAnsi="Arial"/>
                <w:sz w:val="16"/>
                <w:szCs w:val="16"/>
                <w:color w:val="auto"/>
              </w:rPr>
              <w:t>2.1(a)</w:t>
            </w:r>
          </w:p>
        </w:tc>
        <w:tc>
          <w:tcPr>
            <w:tcW w:w="20" w:type="dxa"/>
            <w:vAlign w:val="bottom"/>
            <w:shd w:val="clear" w:color="auto" w:fill="CCEEFF"/>
          </w:tcPr>
          <w:p>
            <w:pPr>
              <w:spacing w:after="0"/>
              <w:rPr>
                <w:sz w:val="15"/>
                <w:szCs w:val="15"/>
                <w:color w:val="auto"/>
              </w:rPr>
            </w:pPr>
          </w:p>
        </w:tc>
        <w:tc>
          <w:tcPr>
            <w:tcW w:w="10480" w:type="dxa"/>
            <w:vAlign w:val="bottom"/>
            <w:gridSpan w:val="47"/>
            <w:shd w:val="clear" w:color="auto" w:fill="CCEEFF"/>
          </w:tcPr>
          <w:p>
            <w:pPr>
              <w:spacing w:after="0" w:line="175" w:lineRule="exact"/>
              <w:rPr>
                <w:rFonts w:ascii="Arial" w:cs="Arial" w:eastAsia="Arial" w:hAnsi="Arial"/>
                <w:sz w:val="16"/>
                <w:szCs w:val="16"/>
                <w:color w:val="0000FF"/>
                <w:w w:val="97"/>
              </w:rPr>
            </w:pPr>
            <w:hyperlink r:id="rId98">
              <w:r>
                <w:rPr>
                  <w:rFonts w:ascii="Arial" w:cs="Arial" w:eastAsia="Arial" w:hAnsi="Arial"/>
                  <w:sz w:val="16"/>
                  <w:szCs w:val="16"/>
                  <w:color w:val="0000FF"/>
                  <w:w w:val="97"/>
                </w:rPr>
                <w:t>Agreement and Plan of Merger, dated April 10, 2017, by and among Conyers Park Acquisition Corp., The Simply Good Foods Company, Conyers Park</w:t>
              </w:r>
            </w:hyperlink>
          </w:p>
        </w:tc>
      </w:tr>
      <w:tr>
        <w:trPr>
          <w:trHeight w:val="142"/>
        </w:trPr>
        <w:tc>
          <w:tcPr>
            <w:tcW w:w="10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320" w:type="dxa"/>
            <w:vAlign w:val="bottom"/>
            <w:tcBorders>
              <w:top w:val="single" w:sz="8" w:color="0000FF"/>
            </w:tcBorders>
            <w:gridSpan w:val="39"/>
            <w:shd w:val="clear" w:color="auto" w:fill="CCEEFF"/>
          </w:tcPr>
          <w:p>
            <w:pPr>
              <w:spacing w:after="0" w:line="142" w:lineRule="exact"/>
              <w:rPr>
                <w:rFonts w:ascii="Arial" w:cs="Arial" w:eastAsia="Arial" w:hAnsi="Arial"/>
                <w:sz w:val="16"/>
                <w:szCs w:val="16"/>
                <w:color w:val="0000FF"/>
                <w:w w:val="94"/>
              </w:rPr>
            </w:pPr>
            <w:hyperlink r:id="rId98">
              <w:r>
                <w:rPr>
                  <w:rFonts w:ascii="Arial" w:cs="Arial" w:eastAsia="Arial" w:hAnsi="Arial"/>
                  <w:sz w:val="16"/>
                  <w:szCs w:val="16"/>
                  <w:color w:val="0000FF"/>
                  <w:w w:val="94"/>
                </w:rPr>
                <w:t>Parent Merger Sub, Inc., Conyers Park Merger Sub 1, Inc., Conyers Park Merger Sub 2, Inc., Conyers Park Merger Sub 3, Inc., Conyers Park Merger Sub</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142"/>
        </w:trPr>
        <w:tc>
          <w:tcPr>
            <w:tcW w:w="10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0180" w:type="dxa"/>
            <w:vAlign w:val="bottom"/>
            <w:tcBorders>
              <w:top w:val="single" w:sz="8" w:color="0000FF"/>
              <w:bottom w:val="single" w:sz="8" w:color="0000FF"/>
            </w:tcBorders>
            <w:gridSpan w:val="32"/>
            <w:shd w:val="clear" w:color="auto" w:fill="CCEEFF"/>
          </w:tcPr>
          <w:p>
            <w:pPr>
              <w:spacing w:after="0" w:line="142" w:lineRule="exact"/>
              <w:rPr>
                <w:rFonts w:ascii="Arial" w:cs="Arial" w:eastAsia="Arial" w:hAnsi="Arial"/>
                <w:sz w:val="16"/>
                <w:szCs w:val="16"/>
                <w:color w:val="0000FF"/>
              </w:rPr>
            </w:pPr>
            <w:hyperlink r:id="rId98">
              <w:r>
                <w:rPr>
                  <w:rFonts w:ascii="Arial" w:cs="Arial" w:eastAsia="Arial" w:hAnsi="Arial"/>
                  <w:sz w:val="16"/>
                  <w:szCs w:val="16"/>
                  <w:color w:val="0000FF"/>
                </w:rPr>
                <w:t>4, Inc., NCP-ATK HOLDINGS, INC., Atkins Holdings LLC, solely in its capacity as the Majority Stockholder and, solely in its capacity as the</w:t>
              </w:r>
            </w:hyperlink>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42"/>
        </w:trPr>
        <w:tc>
          <w:tcPr>
            <w:tcW w:w="10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260" w:type="dxa"/>
            <w:vAlign w:val="bottom"/>
            <w:tcBorders>
              <w:bottom w:val="single" w:sz="8" w:color="0000FF"/>
            </w:tcBorders>
            <w:gridSpan w:val="36"/>
            <w:shd w:val="clear" w:color="auto" w:fill="CCEEFF"/>
          </w:tcPr>
          <w:p>
            <w:pPr>
              <w:spacing w:after="0" w:line="142" w:lineRule="exact"/>
              <w:rPr>
                <w:rFonts w:ascii="Arial" w:cs="Arial" w:eastAsia="Arial" w:hAnsi="Arial"/>
                <w:sz w:val="16"/>
                <w:szCs w:val="16"/>
                <w:color w:val="0000FF"/>
                <w:w w:val="96"/>
              </w:rPr>
            </w:pPr>
            <w:hyperlink r:id="rId98">
              <w:r>
                <w:rPr>
                  <w:rFonts w:ascii="Arial" w:cs="Arial" w:eastAsia="Arial" w:hAnsi="Arial"/>
                  <w:sz w:val="16"/>
                  <w:szCs w:val="16"/>
                  <w:color w:val="0000FF"/>
                  <w:w w:val="96"/>
                </w:rPr>
                <w:t>Stockholders’ Representative, Roark Capital Acquisition LLC (incorporated by reference to Exhibit 2.1 to Registration Statement on Form S-4, filed on</w:t>
              </w:r>
            </w:hyperlink>
          </w:p>
        </w:tc>
        <w:tc>
          <w:tcPr>
            <w:tcW w:w="20" w:type="dxa"/>
            <w:vAlign w:val="bottom"/>
            <w:tcBorders>
              <w:bottom w:val="single" w:sz="8" w:color="0000FF"/>
            </w:tcBorders>
            <w:shd w:val="clear" w:color="auto" w:fill="CCEEFF"/>
          </w:tcPr>
          <w:p>
            <w:pPr>
              <w:spacing w:after="0"/>
              <w:rPr>
                <w:sz w:val="12"/>
                <w:szCs w:val="12"/>
                <w:color w:val="auto"/>
              </w:rPr>
            </w:pPr>
          </w:p>
        </w:tc>
        <w:tc>
          <w:tcPr>
            <w:tcW w:w="20" w:type="dxa"/>
            <w:vAlign w:val="bottom"/>
            <w:tcBorders>
              <w:bottom w:val="single" w:sz="8" w:color="0000FF"/>
            </w:tcBorders>
            <w:shd w:val="clear" w:color="auto" w:fill="CCEEFF"/>
          </w:tcPr>
          <w:p>
            <w:pPr>
              <w:spacing w:after="0"/>
              <w:rPr>
                <w:sz w:val="12"/>
                <w:szCs w:val="12"/>
                <w:color w:val="auto"/>
              </w:rPr>
            </w:pPr>
          </w:p>
        </w:tc>
        <w:tc>
          <w:tcPr>
            <w:tcW w:w="40" w:type="dxa"/>
            <w:vAlign w:val="bottom"/>
            <w:tcBorders>
              <w:bottom w:val="single" w:sz="8" w:color="0000FF"/>
            </w:tcBorders>
            <w:gridSpan w:val="2"/>
            <w:shd w:val="clear" w:color="auto" w:fill="CCEEFF"/>
          </w:tcPr>
          <w:p>
            <w:pPr>
              <w:spacing w:after="0"/>
              <w:rPr>
                <w:sz w:val="12"/>
                <w:szCs w:val="12"/>
                <w:color w:val="auto"/>
              </w:rPr>
            </w:pPr>
          </w:p>
        </w:tc>
        <w:tc>
          <w:tcPr>
            <w:tcW w:w="20" w:type="dxa"/>
            <w:vAlign w:val="bottom"/>
            <w:tcBorders>
              <w:bottom w:val="single" w:sz="8" w:color="0000FF"/>
            </w:tcBorders>
            <w:shd w:val="clear" w:color="auto" w:fill="CCEEFF"/>
          </w:tcPr>
          <w:p>
            <w:pPr>
              <w:spacing w:after="0"/>
              <w:rPr>
                <w:sz w:val="12"/>
                <w:szCs w:val="12"/>
                <w:color w:val="auto"/>
              </w:rPr>
            </w:pPr>
          </w:p>
        </w:tc>
        <w:tc>
          <w:tcPr>
            <w:tcW w:w="20" w:type="dxa"/>
            <w:vAlign w:val="bottom"/>
            <w:tcBorders>
              <w:bottom w:val="single" w:sz="8" w:color="0000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r>
      <w:tr>
        <w:trPr>
          <w:trHeight w:val="163"/>
        </w:trPr>
        <w:tc>
          <w:tcPr>
            <w:tcW w:w="10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0000FF"/>
            </w:tcBorders>
            <w:gridSpan w:val="4"/>
            <w:shd w:val="clear" w:color="auto" w:fill="CCEEFF"/>
          </w:tcPr>
          <w:p>
            <w:pPr>
              <w:spacing w:after="0" w:line="142" w:lineRule="exact"/>
              <w:rPr>
                <w:rFonts w:ascii="Arial" w:cs="Arial" w:eastAsia="Arial" w:hAnsi="Arial"/>
                <w:sz w:val="16"/>
                <w:szCs w:val="16"/>
                <w:color w:val="0000FF"/>
                <w:w w:val="93"/>
              </w:rPr>
            </w:pPr>
            <w:hyperlink r:id="rId98">
              <w:r>
                <w:rPr>
                  <w:rFonts w:ascii="Arial" w:cs="Arial" w:eastAsia="Arial" w:hAnsi="Arial"/>
                  <w:sz w:val="16"/>
                  <w:szCs w:val="16"/>
                  <w:color w:val="0000FF"/>
                  <w:w w:val="93"/>
                </w:rPr>
                <w:t>April 11, 2017).</w:t>
              </w:r>
            </w:hyperlink>
          </w:p>
        </w:tc>
        <w:tc>
          <w:tcPr>
            <w:tcW w:w="9340" w:type="dxa"/>
            <w:vAlign w:val="bottom"/>
            <w:tcBorders>
              <w:bottom w:val="single" w:sz="8" w:color="CCEEFF"/>
            </w:tcBorders>
            <w:gridSpan w:val="38"/>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r>
      <w:tr>
        <w:trPr>
          <w:trHeight w:val="176"/>
        </w:trPr>
        <w:tc>
          <w:tcPr>
            <w:tcW w:w="1160" w:type="dxa"/>
            <w:vAlign w:val="bottom"/>
            <w:gridSpan w:val="2"/>
          </w:tcPr>
          <w:p>
            <w:pPr>
              <w:ind w:left="20"/>
              <w:spacing w:after="0" w:line="175" w:lineRule="exact"/>
              <w:rPr>
                <w:sz w:val="20"/>
                <w:szCs w:val="20"/>
                <w:color w:val="auto"/>
              </w:rPr>
            </w:pPr>
            <w:r>
              <w:rPr>
                <w:rFonts w:ascii="Arial" w:cs="Arial" w:eastAsia="Arial" w:hAnsi="Arial"/>
                <w:sz w:val="16"/>
                <w:szCs w:val="16"/>
                <w:color w:val="auto"/>
              </w:rPr>
              <w:t>2.2(a)</w:t>
            </w:r>
          </w:p>
        </w:tc>
        <w:tc>
          <w:tcPr>
            <w:tcW w:w="20" w:type="dxa"/>
            <w:vAlign w:val="bottom"/>
          </w:tcPr>
          <w:p>
            <w:pPr>
              <w:spacing w:after="0"/>
              <w:rPr>
                <w:sz w:val="15"/>
                <w:szCs w:val="15"/>
                <w:color w:val="auto"/>
              </w:rPr>
            </w:pPr>
          </w:p>
        </w:tc>
        <w:tc>
          <w:tcPr>
            <w:tcW w:w="10480" w:type="dxa"/>
            <w:vAlign w:val="bottom"/>
            <w:gridSpan w:val="47"/>
          </w:tcPr>
          <w:p>
            <w:pPr>
              <w:spacing w:after="0" w:line="175" w:lineRule="exact"/>
              <w:rPr>
                <w:rFonts w:ascii="Arial" w:cs="Arial" w:eastAsia="Arial" w:hAnsi="Arial"/>
                <w:sz w:val="16"/>
                <w:szCs w:val="16"/>
                <w:color w:val="0000FF"/>
              </w:rPr>
            </w:pPr>
            <w:hyperlink r:id="rId99">
              <w:r>
                <w:rPr>
                  <w:rFonts w:ascii="Arial" w:cs="Arial" w:eastAsia="Arial" w:hAnsi="Arial"/>
                  <w:sz w:val="16"/>
                  <w:szCs w:val="16"/>
                  <w:color w:val="0000FF"/>
                </w:rPr>
                <w:t>Stock and Unit Purchase Agreement, dated as of August 21, 2019, by and among Voyage Holdings, LLC, VMG Quest Blocker, Inc., VMG Voyage</w:t>
              </w:r>
            </w:hyperlink>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80" w:type="dxa"/>
            <w:vAlign w:val="bottom"/>
            <w:gridSpan w:val="47"/>
          </w:tcPr>
          <w:p>
            <w:pPr>
              <w:spacing w:after="0" w:line="142" w:lineRule="exact"/>
              <w:rPr>
                <w:rFonts w:ascii="Arial" w:cs="Arial" w:eastAsia="Arial" w:hAnsi="Arial"/>
                <w:sz w:val="16"/>
                <w:szCs w:val="16"/>
                <w:color w:val="0000FF"/>
                <w:w w:val="97"/>
              </w:rPr>
            </w:pPr>
            <w:hyperlink r:id="rId99">
              <w:r>
                <w:rPr>
                  <w:rFonts w:ascii="Arial" w:cs="Arial" w:eastAsia="Arial" w:hAnsi="Arial"/>
                  <w:sz w:val="16"/>
                  <w:szCs w:val="16"/>
                  <w:color w:val="0000FF"/>
                  <w:w w:val="97"/>
                </w:rPr>
                <w:t>Holdings, LLC, VMG Tax-Exempt II, L.P., The Michael K. Osborn and Kaplana P. Osborn Revocable Living Trust, The Ava M. Osborn 2018 Irrevocable</w:t>
              </w:r>
            </w:hyperlink>
          </w:p>
        </w:tc>
      </w:tr>
      <w:tr>
        <w:trPr>
          <w:trHeight w:val="142"/>
        </w:trPr>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99">
              <w:r>
                <w:rPr>
                  <w:rFonts w:ascii="Arial" w:cs="Arial" w:eastAsia="Arial" w:hAnsi="Arial"/>
                  <w:sz w:val="16"/>
                  <w:szCs w:val="16"/>
                  <w:color w:val="0000FF"/>
                </w:rPr>
                <w:t>Gift Trust, The Cole M. Osborn 2018 Irrevocable Gift Trust, Ronald Penna and Thomas Bilyeu, Voyage Employee Holdings, LLC, Atkins</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960" w:type="dxa"/>
            <w:vAlign w:val="bottom"/>
            <w:tcBorders>
              <w:top w:val="single" w:sz="8" w:color="0000FF"/>
            </w:tcBorders>
            <w:gridSpan w:val="19"/>
          </w:tcPr>
          <w:p>
            <w:pPr>
              <w:spacing w:after="0" w:line="142" w:lineRule="exact"/>
              <w:rPr>
                <w:rFonts w:ascii="Arial" w:cs="Arial" w:eastAsia="Arial" w:hAnsi="Arial"/>
                <w:sz w:val="16"/>
                <w:szCs w:val="16"/>
                <w:color w:val="0000FF"/>
                <w:w w:val="92"/>
              </w:rPr>
            </w:pPr>
            <w:hyperlink r:id="rId99">
              <w:r>
                <w:rPr>
                  <w:rFonts w:ascii="Arial" w:cs="Arial" w:eastAsia="Arial" w:hAnsi="Arial"/>
                  <w:sz w:val="16"/>
                  <w:szCs w:val="16"/>
                  <w:color w:val="0000FF"/>
                  <w:w w:val="92"/>
                </w:rPr>
                <w:t>Nutritionals, Inc. and solely for the purposes of Section 8.10 therein, the Restricted Sellers (incorporated by reference to Exhibit 2.1 to our</w:t>
              </w:r>
            </w:hyperlink>
          </w:p>
        </w:tc>
        <w:tc>
          <w:tcPr>
            <w:tcW w:w="1520" w:type="dxa"/>
            <w:vAlign w:val="bottom"/>
            <w:gridSpan w:val="28"/>
          </w:tcPr>
          <w:p>
            <w:pPr>
              <w:ind w:left="40"/>
              <w:spacing w:after="0" w:line="142" w:lineRule="exact"/>
              <w:rPr>
                <w:rFonts w:ascii="Arial" w:cs="Arial" w:eastAsia="Arial" w:hAnsi="Arial"/>
                <w:sz w:val="16"/>
                <w:szCs w:val="16"/>
                <w:color w:val="0000FF"/>
              </w:rPr>
            </w:pPr>
            <w:hyperlink r:id="rId99">
              <w:r>
                <w:rPr>
                  <w:rFonts w:ascii="Arial" w:cs="Arial" w:eastAsia="Arial" w:hAnsi="Arial"/>
                  <w:sz w:val="16"/>
                  <w:szCs w:val="16"/>
                  <w:color w:val="0000FF"/>
                </w:rPr>
                <w:t>Current Report</w:t>
              </w:r>
            </w:hyperlink>
          </w:p>
        </w:tc>
      </w:tr>
      <w:tr>
        <w:trPr>
          <w:trHeight w:val="142"/>
        </w:trPr>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8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99">
              <w:r>
                <w:rPr>
                  <w:rFonts w:ascii="Arial" w:cs="Arial" w:eastAsia="Arial" w:hAnsi="Arial"/>
                  <w:sz w:val="16"/>
                  <w:szCs w:val="16"/>
                  <w:color w:val="0000FF"/>
                </w:rPr>
                <w:t>on Form 8-K filed on August 22, 2019).</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3.1</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480" w:type="dxa"/>
            <w:vAlign w:val="bottom"/>
            <w:gridSpan w:val="47"/>
            <w:shd w:val="clear" w:color="auto" w:fill="CCEEFF"/>
          </w:tcPr>
          <w:p>
            <w:pPr>
              <w:spacing w:after="0" w:line="175" w:lineRule="exact"/>
              <w:rPr>
                <w:rFonts w:ascii="Arial" w:cs="Arial" w:eastAsia="Arial" w:hAnsi="Arial"/>
                <w:sz w:val="16"/>
                <w:szCs w:val="16"/>
                <w:color w:val="0000FF"/>
                <w:w w:val="96"/>
              </w:rPr>
            </w:pPr>
            <w:hyperlink r:id="rId100">
              <w:r>
                <w:rPr>
                  <w:rFonts w:ascii="Arial" w:cs="Arial" w:eastAsia="Arial" w:hAnsi="Arial"/>
                  <w:sz w:val="16"/>
                  <w:szCs w:val="16"/>
                  <w:color w:val="0000FF"/>
                  <w:w w:val="96"/>
                </w:rPr>
                <w:t>Second Amended and Restated Certificate of Incorporation of The Simply Good Foods Company (incorporated by reference to Exhibit 3.1 of our Current</w:t>
              </w:r>
            </w:hyperlink>
          </w:p>
        </w:tc>
      </w:tr>
      <w:tr>
        <w:trPr>
          <w:trHeight w:val="142"/>
        </w:trPr>
        <w:tc>
          <w:tcPr>
            <w:tcW w:w="10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340" w:type="dxa"/>
            <w:vAlign w:val="bottom"/>
            <w:tcBorders>
              <w:top w:val="single" w:sz="8" w:color="0000FF"/>
            </w:tcBorders>
            <w:gridSpan w:val="40"/>
            <w:shd w:val="clear" w:color="auto" w:fill="CCEEFF"/>
          </w:tcPr>
          <w:p>
            <w:pPr>
              <w:spacing w:after="0" w:line="142" w:lineRule="exact"/>
              <w:rPr>
                <w:rFonts w:ascii="Arial" w:cs="Arial" w:eastAsia="Arial" w:hAnsi="Arial"/>
                <w:sz w:val="16"/>
                <w:szCs w:val="16"/>
                <w:color w:val="0000FF"/>
              </w:rPr>
            </w:pPr>
            <w:hyperlink r:id="rId100">
              <w:r>
                <w:rPr>
                  <w:rFonts w:ascii="Arial" w:cs="Arial" w:eastAsia="Arial" w:hAnsi="Arial"/>
                  <w:sz w:val="16"/>
                  <w:szCs w:val="16"/>
                  <w:color w:val="0000FF"/>
                </w:rPr>
                <w:t>Report on Form 8-K filed on January 27, 2020).</w:t>
              </w:r>
            </w:hyperlink>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ind w:left="20"/>
              <w:spacing w:after="0" w:line="175" w:lineRule="exact"/>
              <w:rPr>
                <w:sz w:val="20"/>
                <w:szCs w:val="20"/>
                <w:color w:val="auto"/>
              </w:rPr>
            </w:pPr>
            <w:r>
              <w:rPr>
                <w:rFonts w:ascii="Arial" w:cs="Arial" w:eastAsia="Arial" w:hAnsi="Arial"/>
                <w:sz w:val="16"/>
                <w:szCs w:val="16"/>
                <w:color w:val="auto"/>
              </w:rPr>
              <w:t>3.2</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80" w:type="dxa"/>
            <w:vAlign w:val="bottom"/>
            <w:gridSpan w:val="47"/>
          </w:tcPr>
          <w:p>
            <w:pPr>
              <w:spacing w:after="0" w:line="175" w:lineRule="exact"/>
              <w:rPr>
                <w:rFonts w:ascii="Arial" w:cs="Arial" w:eastAsia="Arial" w:hAnsi="Arial"/>
                <w:sz w:val="16"/>
                <w:szCs w:val="16"/>
                <w:color w:val="0000FF"/>
              </w:rPr>
            </w:pPr>
            <w:hyperlink r:id="rId101">
              <w:r>
                <w:rPr>
                  <w:rFonts w:ascii="Arial" w:cs="Arial" w:eastAsia="Arial" w:hAnsi="Arial"/>
                  <w:sz w:val="16"/>
                  <w:szCs w:val="16"/>
                  <w:color w:val="0000FF"/>
                </w:rPr>
                <w:t>Second Amended and Restated Bylaws (incorporated by reference to Exhibit 3.2 of our Current Report on Form 10-K filed on October 31, 2019).</w:t>
              </w:r>
            </w:hyperlink>
          </w:p>
        </w:tc>
      </w:tr>
      <w:tr>
        <w:trPr>
          <w:trHeight w:val="21"/>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7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4.1</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480" w:type="dxa"/>
            <w:vAlign w:val="bottom"/>
            <w:gridSpan w:val="47"/>
            <w:shd w:val="clear" w:color="auto" w:fill="CCEEFF"/>
          </w:tcPr>
          <w:p>
            <w:pPr>
              <w:spacing w:after="0" w:line="175" w:lineRule="exact"/>
              <w:rPr>
                <w:rFonts w:ascii="Arial" w:cs="Arial" w:eastAsia="Arial" w:hAnsi="Arial"/>
                <w:sz w:val="16"/>
                <w:szCs w:val="16"/>
                <w:color w:val="0000FF"/>
                <w:w w:val="99"/>
              </w:rPr>
            </w:pPr>
            <w:hyperlink r:id="rId102">
              <w:r>
                <w:rPr>
                  <w:rFonts w:ascii="Arial" w:cs="Arial" w:eastAsia="Arial" w:hAnsi="Arial"/>
                  <w:sz w:val="16"/>
                  <w:szCs w:val="16"/>
                  <w:color w:val="0000FF"/>
                  <w:w w:val="99"/>
                </w:rPr>
                <w:t>Form of Common Stock Certificate (incorporated by reference to Exhibit 4.1 to Amendment No. 3 to our Registration Statement on Form S-4 filed on</w:t>
              </w:r>
            </w:hyperlink>
          </w:p>
        </w:tc>
      </w:tr>
      <w:tr>
        <w:trPr>
          <w:trHeight w:val="163"/>
        </w:trPr>
        <w:tc>
          <w:tcPr>
            <w:tcW w:w="10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000" w:type="dxa"/>
            <w:vAlign w:val="bottom"/>
            <w:tcBorders>
              <w:top w:val="single" w:sz="8" w:color="0000FF"/>
              <w:bottom w:val="single" w:sz="8" w:color="0000FF"/>
            </w:tcBorders>
            <w:gridSpan w:val="3"/>
            <w:shd w:val="clear" w:color="auto" w:fill="CCEEFF"/>
          </w:tcPr>
          <w:p>
            <w:pPr>
              <w:spacing w:after="0" w:line="142" w:lineRule="exact"/>
              <w:rPr>
                <w:rFonts w:ascii="Arial" w:cs="Arial" w:eastAsia="Arial" w:hAnsi="Arial"/>
                <w:sz w:val="16"/>
                <w:szCs w:val="16"/>
                <w:color w:val="0000FF"/>
                <w:w w:val="88"/>
              </w:rPr>
            </w:pPr>
            <w:hyperlink r:id="rId102">
              <w:r>
                <w:rPr>
                  <w:rFonts w:ascii="Arial" w:cs="Arial" w:eastAsia="Arial" w:hAnsi="Arial"/>
                  <w:sz w:val="16"/>
                  <w:szCs w:val="16"/>
                  <w:color w:val="0000FF"/>
                  <w:w w:val="88"/>
                </w:rPr>
                <w:t>June 12, 2017).</w:t>
              </w:r>
            </w:hyperlink>
          </w:p>
        </w:tc>
        <w:tc>
          <w:tcPr>
            <w:tcW w:w="9080" w:type="dxa"/>
            <w:vAlign w:val="bottom"/>
            <w:tcBorders>
              <w:top w:val="single" w:sz="8" w:color="0000FF"/>
              <w:bottom w:val="single" w:sz="8" w:color="CCEEFF"/>
            </w:tcBorders>
            <w:gridSpan w:val="24"/>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75"/>
        </w:trPr>
        <w:tc>
          <w:tcPr>
            <w:tcW w:w="1020" w:type="dxa"/>
            <w:vAlign w:val="bottom"/>
          </w:tcPr>
          <w:p>
            <w:pPr>
              <w:ind w:left="20"/>
              <w:spacing w:after="0" w:line="175" w:lineRule="exact"/>
              <w:rPr>
                <w:sz w:val="20"/>
                <w:szCs w:val="20"/>
                <w:color w:val="auto"/>
              </w:rPr>
            </w:pPr>
            <w:r>
              <w:rPr>
                <w:rFonts w:ascii="Arial" w:cs="Arial" w:eastAsia="Arial" w:hAnsi="Arial"/>
                <w:sz w:val="16"/>
                <w:szCs w:val="16"/>
                <w:color w:val="auto"/>
              </w:rPr>
              <w:t>4.2</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80" w:type="dxa"/>
            <w:vAlign w:val="bottom"/>
            <w:gridSpan w:val="47"/>
          </w:tcPr>
          <w:p>
            <w:pPr>
              <w:spacing w:after="0" w:line="175" w:lineRule="exact"/>
              <w:rPr>
                <w:rFonts w:ascii="Arial" w:cs="Arial" w:eastAsia="Arial" w:hAnsi="Arial"/>
                <w:sz w:val="16"/>
                <w:szCs w:val="16"/>
                <w:color w:val="0000FF"/>
                <w:w w:val="98"/>
              </w:rPr>
            </w:pPr>
            <w:hyperlink r:id="rId103">
              <w:r>
                <w:rPr>
                  <w:rFonts w:ascii="Arial" w:cs="Arial" w:eastAsia="Arial" w:hAnsi="Arial"/>
                  <w:sz w:val="16"/>
                  <w:szCs w:val="16"/>
                  <w:color w:val="0000FF"/>
                  <w:w w:val="98"/>
                </w:rPr>
                <w:t>Warrant Agreement, dated July 14, 2016, between Conyers Park Acquisition Corp. and Continental Stock Transfer &amp; Trust Company (incorporated by</w:t>
              </w:r>
            </w:hyperlink>
          </w:p>
        </w:tc>
      </w:tr>
      <w:tr>
        <w:trPr>
          <w:trHeight w:val="142"/>
        </w:trPr>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300" w:type="dxa"/>
            <w:vAlign w:val="bottom"/>
            <w:tcBorders>
              <w:top w:val="single" w:sz="8" w:color="0000FF"/>
            </w:tcBorders>
            <w:gridSpan w:val="38"/>
          </w:tcPr>
          <w:p>
            <w:pPr>
              <w:spacing w:after="0" w:line="142" w:lineRule="exact"/>
              <w:rPr>
                <w:rFonts w:ascii="Arial" w:cs="Arial" w:eastAsia="Arial" w:hAnsi="Arial"/>
                <w:sz w:val="16"/>
                <w:szCs w:val="16"/>
                <w:color w:val="0000FF"/>
              </w:rPr>
            </w:pPr>
            <w:hyperlink r:id="rId103">
              <w:r>
                <w:rPr>
                  <w:rFonts w:ascii="Arial" w:cs="Arial" w:eastAsia="Arial" w:hAnsi="Arial"/>
                  <w:sz w:val="16"/>
                  <w:szCs w:val="16"/>
                  <w:color w:val="0000FF"/>
                </w:rPr>
                <w:t>reference to Form 8-K filed by Conyers Park Acquisition Corp. on July 20, 2016).</w:t>
              </w:r>
            </w:hyperlink>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4.3</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480" w:type="dxa"/>
            <w:vAlign w:val="bottom"/>
            <w:gridSpan w:val="47"/>
            <w:shd w:val="clear" w:color="auto" w:fill="CCEEFF"/>
          </w:tcPr>
          <w:p>
            <w:pPr>
              <w:spacing w:after="0" w:line="175" w:lineRule="exact"/>
              <w:rPr>
                <w:rFonts w:ascii="Arial" w:cs="Arial" w:eastAsia="Arial" w:hAnsi="Arial"/>
                <w:sz w:val="16"/>
                <w:szCs w:val="16"/>
                <w:color w:val="0000FF"/>
              </w:rPr>
            </w:pPr>
            <w:hyperlink r:id="rId104">
              <w:r>
                <w:rPr>
                  <w:rFonts w:ascii="Arial" w:cs="Arial" w:eastAsia="Arial" w:hAnsi="Arial"/>
                  <w:sz w:val="16"/>
                  <w:szCs w:val="16"/>
                  <w:color w:val="0000FF"/>
                </w:rPr>
                <w:t>Form of Warrant (incorporated by reference to Exhibit 4.1 to our Current Report on Form 8-K filed on July 13, 2017).</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7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ind w:left="20"/>
              <w:spacing w:after="0" w:line="175" w:lineRule="exact"/>
              <w:rPr>
                <w:sz w:val="20"/>
                <w:szCs w:val="20"/>
                <w:color w:val="auto"/>
              </w:rPr>
            </w:pPr>
            <w:r>
              <w:rPr>
                <w:rFonts w:ascii="Arial" w:cs="Arial" w:eastAsia="Arial" w:hAnsi="Arial"/>
                <w:sz w:val="16"/>
                <w:szCs w:val="16"/>
                <w:color w:val="auto"/>
              </w:rPr>
              <w:t>4.4</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80" w:type="dxa"/>
            <w:vAlign w:val="bottom"/>
            <w:gridSpan w:val="47"/>
          </w:tcPr>
          <w:p>
            <w:pPr>
              <w:spacing w:after="0" w:line="175" w:lineRule="exact"/>
              <w:rPr>
                <w:rFonts w:ascii="Arial" w:cs="Arial" w:eastAsia="Arial" w:hAnsi="Arial"/>
                <w:sz w:val="16"/>
                <w:szCs w:val="16"/>
                <w:color w:val="0000FF"/>
              </w:rPr>
            </w:pPr>
            <w:hyperlink r:id="rId105">
              <w:r>
                <w:rPr>
                  <w:rFonts w:ascii="Arial" w:cs="Arial" w:eastAsia="Arial" w:hAnsi="Arial"/>
                  <w:sz w:val="16"/>
                  <w:szCs w:val="16"/>
                  <w:color w:val="0000FF"/>
                </w:rPr>
                <w:t>Description of Securities (incorporated by reference to Exhibit 4.4 to our Annual Report on Form 10-K filed on October 28, 2020).</w:t>
              </w:r>
            </w:hyperlink>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7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10.1</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480" w:type="dxa"/>
            <w:vAlign w:val="bottom"/>
            <w:gridSpan w:val="47"/>
            <w:shd w:val="clear" w:color="auto" w:fill="CCEEFF"/>
          </w:tcPr>
          <w:p>
            <w:pPr>
              <w:spacing w:after="0" w:line="175" w:lineRule="exact"/>
              <w:rPr>
                <w:rFonts w:ascii="Arial" w:cs="Arial" w:eastAsia="Arial" w:hAnsi="Arial"/>
                <w:sz w:val="16"/>
                <w:szCs w:val="16"/>
                <w:color w:val="0000FF"/>
                <w:w w:val="96"/>
              </w:rPr>
            </w:pPr>
            <w:hyperlink r:id="rId106">
              <w:r>
                <w:rPr>
                  <w:rFonts w:ascii="Arial" w:cs="Arial" w:eastAsia="Arial" w:hAnsi="Arial"/>
                  <w:sz w:val="16"/>
                  <w:szCs w:val="16"/>
                  <w:color w:val="0000FF"/>
                  <w:w w:val="96"/>
                </w:rPr>
                <w:t>Investor Rights Agreement, dated July 7, 2017, between The Simply Good Foods Company and Conyers Park Sponsor LLC (incorporated by reference to</w:t>
              </w:r>
            </w:hyperlink>
          </w:p>
        </w:tc>
      </w:tr>
      <w:tr>
        <w:trPr>
          <w:trHeight w:val="163"/>
        </w:trPr>
        <w:tc>
          <w:tcPr>
            <w:tcW w:w="10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680" w:type="dxa"/>
            <w:vAlign w:val="bottom"/>
            <w:tcBorders>
              <w:top w:val="single" w:sz="8" w:color="0000FF"/>
              <w:bottom w:val="single" w:sz="8" w:color="0000FF"/>
            </w:tcBorders>
            <w:gridSpan w:val="9"/>
            <w:shd w:val="clear" w:color="auto" w:fill="CCEEFF"/>
          </w:tcPr>
          <w:p>
            <w:pPr>
              <w:spacing w:after="0" w:line="142" w:lineRule="exact"/>
              <w:rPr>
                <w:rFonts w:ascii="Arial" w:cs="Arial" w:eastAsia="Arial" w:hAnsi="Arial"/>
                <w:sz w:val="16"/>
                <w:szCs w:val="16"/>
                <w:color w:val="0000FF"/>
                <w:w w:val="93"/>
              </w:rPr>
            </w:pPr>
            <w:hyperlink r:id="rId106">
              <w:r>
                <w:rPr>
                  <w:rFonts w:ascii="Arial" w:cs="Arial" w:eastAsia="Arial" w:hAnsi="Arial"/>
                  <w:sz w:val="16"/>
                  <w:szCs w:val="16"/>
                  <w:color w:val="0000FF"/>
                  <w:w w:val="93"/>
                </w:rPr>
                <w:t>Exhibit 10.3 to our Current Report on Form 8-K filed on July 13, 2017).</w:t>
              </w:r>
            </w:hyperlink>
          </w:p>
        </w:tc>
        <w:tc>
          <w:tcPr>
            <w:tcW w:w="5540" w:type="dxa"/>
            <w:vAlign w:val="bottom"/>
            <w:tcBorders>
              <w:top w:val="single" w:sz="8" w:color="0000FF"/>
              <w:bottom w:val="single" w:sz="8" w:color="CCEEFF"/>
            </w:tcBorders>
            <w:gridSpan w:val="25"/>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80" w:type="dxa"/>
            <w:vAlign w:val="bottom"/>
            <w:tcBorders>
              <w:top w:val="single" w:sz="8" w:color="CCEEFF"/>
              <w:bottom w:val="single" w:sz="8" w:color="CCEEFF"/>
            </w:tcBorders>
            <w:gridSpan w:val="4"/>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75"/>
        </w:trPr>
        <w:tc>
          <w:tcPr>
            <w:tcW w:w="1160" w:type="dxa"/>
            <w:vAlign w:val="bottom"/>
            <w:gridSpan w:val="2"/>
          </w:tcPr>
          <w:p>
            <w:pPr>
              <w:ind w:left="20"/>
              <w:spacing w:after="0" w:line="175" w:lineRule="exact"/>
              <w:rPr>
                <w:sz w:val="20"/>
                <w:szCs w:val="20"/>
                <w:color w:val="auto"/>
              </w:rPr>
            </w:pPr>
            <w:r>
              <w:rPr>
                <w:rFonts w:ascii="Arial" w:cs="Arial" w:eastAsia="Arial" w:hAnsi="Arial"/>
                <w:sz w:val="16"/>
                <w:szCs w:val="16"/>
                <w:color w:val="auto"/>
              </w:rPr>
              <w:t>10.2†</w:t>
            </w:r>
          </w:p>
        </w:tc>
        <w:tc>
          <w:tcPr>
            <w:tcW w:w="20" w:type="dxa"/>
            <w:vAlign w:val="bottom"/>
          </w:tcPr>
          <w:p>
            <w:pPr>
              <w:spacing w:after="0"/>
              <w:rPr>
                <w:sz w:val="15"/>
                <w:szCs w:val="15"/>
                <w:color w:val="auto"/>
              </w:rPr>
            </w:pPr>
          </w:p>
        </w:tc>
        <w:tc>
          <w:tcPr>
            <w:tcW w:w="10480" w:type="dxa"/>
            <w:vAlign w:val="bottom"/>
            <w:gridSpan w:val="47"/>
          </w:tcPr>
          <w:p>
            <w:pPr>
              <w:spacing w:after="0" w:line="175" w:lineRule="exact"/>
              <w:rPr>
                <w:rFonts w:ascii="Arial" w:cs="Arial" w:eastAsia="Arial" w:hAnsi="Arial"/>
                <w:sz w:val="16"/>
                <w:szCs w:val="16"/>
                <w:color w:val="0000FF"/>
                <w:w w:val="98"/>
              </w:rPr>
            </w:pPr>
            <w:hyperlink r:id="rId107">
              <w:r>
                <w:rPr>
                  <w:rFonts w:ascii="Arial" w:cs="Arial" w:eastAsia="Arial" w:hAnsi="Arial"/>
                  <w:sz w:val="16"/>
                  <w:szCs w:val="16"/>
                  <w:color w:val="0000FF"/>
                  <w:w w:val="98"/>
                </w:rPr>
                <w:t>2017 Omnibus Incentive Plan (incorporated by reference to Exhibit 10.3 to Amendment No. 3 to Registration Statement on Form S-4 filed on June 12,</w:t>
              </w:r>
            </w:hyperlink>
          </w:p>
        </w:tc>
      </w:tr>
      <w:tr>
        <w:trPr>
          <w:trHeight w:val="142"/>
        </w:trPr>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top w:val="single" w:sz="8" w:color="0000FF"/>
            </w:tcBorders>
            <w:gridSpan w:val="2"/>
          </w:tcPr>
          <w:p>
            <w:pPr>
              <w:spacing w:after="0" w:line="142" w:lineRule="exact"/>
              <w:rPr>
                <w:rFonts w:ascii="Arial" w:cs="Arial" w:eastAsia="Arial" w:hAnsi="Arial"/>
                <w:sz w:val="16"/>
                <w:szCs w:val="16"/>
                <w:color w:val="0000FF"/>
              </w:rPr>
            </w:pPr>
            <w:hyperlink r:id="rId107">
              <w:r>
                <w:rPr>
                  <w:rFonts w:ascii="Arial" w:cs="Arial" w:eastAsia="Arial" w:hAnsi="Arial"/>
                  <w:sz w:val="16"/>
                  <w:szCs w:val="16"/>
                  <w:color w:val="0000FF"/>
                </w:rPr>
                <w:t>2017).</w:t>
              </w:r>
            </w:hyperlink>
          </w:p>
        </w:tc>
        <w:tc>
          <w:tcPr>
            <w:tcW w:w="3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620" w:type="dxa"/>
            <w:vAlign w:val="bottom"/>
            <w:tcBorders>
              <w:top w:val="single" w:sz="8" w:color="0000FF"/>
            </w:tcBorders>
          </w:tcPr>
          <w:p>
            <w:pPr>
              <w:spacing w:after="0"/>
              <w:rPr>
                <w:sz w:val="12"/>
                <w:szCs w:val="12"/>
                <w:color w:val="auto"/>
              </w:rPr>
            </w:pPr>
          </w:p>
        </w:tc>
        <w:tc>
          <w:tcPr>
            <w:tcW w:w="920" w:type="dxa"/>
            <w:vAlign w:val="bottom"/>
            <w:tcBorders>
              <w:top w:val="single" w:sz="8" w:color="0000FF"/>
            </w:tcBorders>
          </w:tcPr>
          <w:p>
            <w:pPr>
              <w:spacing w:after="0"/>
              <w:rPr>
                <w:sz w:val="12"/>
                <w:szCs w:val="12"/>
                <w:color w:val="auto"/>
              </w:rPr>
            </w:pPr>
          </w:p>
        </w:tc>
        <w:tc>
          <w:tcPr>
            <w:tcW w:w="520" w:type="dxa"/>
            <w:vAlign w:val="bottom"/>
            <w:tcBorders>
              <w:top w:val="single" w:sz="8" w:color="0000FF"/>
            </w:tcBorders>
          </w:tcPr>
          <w:p>
            <w:pPr>
              <w:spacing w:after="0"/>
              <w:rPr>
                <w:sz w:val="12"/>
                <w:szCs w:val="12"/>
                <w:color w:val="auto"/>
              </w:rPr>
            </w:pPr>
          </w:p>
        </w:tc>
        <w:tc>
          <w:tcPr>
            <w:tcW w:w="124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17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84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60" w:type="dxa"/>
            <w:vAlign w:val="bottom"/>
            <w:gridSpan w:val="2"/>
            <w:shd w:val="clear" w:color="auto" w:fill="CCEEFF"/>
          </w:tcPr>
          <w:p>
            <w:pPr>
              <w:ind w:left="20"/>
              <w:spacing w:after="0" w:line="175" w:lineRule="exact"/>
              <w:rPr>
                <w:sz w:val="20"/>
                <w:szCs w:val="20"/>
                <w:color w:val="auto"/>
              </w:rPr>
            </w:pPr>
            <w:r>
              <w:rPr>
                <w:rFonts w:ascii="Arial" w:cs="Arial" w:eastAsia="Arial" w:hAnsi="Arial"/>
                <w:sz w:val="16"/>
                <w:szCs w:val="16"/>
                <w:color w:val="auto"/>
              </w:rPr>
              <w:t>10.3†</w:t>
            </w:r>
          </w:p>
        </w:tc>
        <w:tc>
          <w:tcPr>
            <w:tcW w:w="20" w:type="dxa"/>
            <w:vAlign w:val="bottom"/>
            <w:shd w:val="clear" w:color="auto" w:fill="CCEEFF"/>
          </w:tcPr>
          <w:p>
            <w:pPr>
              <w:spacing w:after="0"/>
              <w:rPr>
                <w:sz w:val="15"/>
                <w:szCs w:val="15"/>
                <w:color w:val="auto"/>
              </w:rPr>
            </w:pPr>
          </w:p>
        </w:tc>
        <w:tc>
          <w:tcPr>
            <w:tcW w:w="10480" w:type="dxa"/>
            <w:vAlign w:val="bottom"/>
            <w:gridSpan w:val="47"/>
            <w:shd w:val="clear" w:color="auto" w:fill="CCEEFF"/>
          </w:tcPr>
          <w:p>
            <w:pPr>
              <w:spacing w:after="0" w:line="175" w:lineRule="exact"/>
              <w:rPr>
                <w:rFonts w:ascii="Arial" w:cs="Arial" w:eastAsia="Arial" w:hAnsi="Arial"/>
                <w:sz w:val="16"/>
                <w:szCs w:val="16"/>
                <w:color w:val="0000FF"/>
                <w:w w:val="96"/>
              </w:rPr>
            </w:pPr>
            <w:hyperlink r:id="rId108">
              <w:r>
                <w:rPr>
                  <w:rFonts w:ascii="Arial" w:cs="Arial" w:eastAsia="Arial" w:hAnsi="Arial"/>
                  <w:sz w:val="16"/>
                  <w:szCs w:val="16"/>
                  <w:color w:val="0000FF"/>
                  <w:w w:val="96"/>
                </w:rPr>
                <w:t>Offer Letter, dated December 23, 2010, between Scott Parker and Atkins Nutritionals, Inc. (incorporated by reference to Exhibit 10.7 to Amendment No. 1</w:t>
              </w:r>
            </w:hyperlink>
          </w:p>
        </w:tc>
      </w:tr>
      <w:tr>
        <w:trPr>
          <w:trHeight w:val="163"/>
        </w:trPr>
        <w:tc>
          <w:tcPr>
            <w:tcW w:w="10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340" w:type="dxa"/>
            <w:vAlign w:val="bottom"/>
            <w:tcBorders>
              <w:top w:val="single" w:sz="8" w:color="0000FF"/>
              <w:bottom w:val="single" w:sz="8" w:color="0000FF"/>
            </w:tcBorders>
            <w:gridSpan w:val="8"/>
            <w:shd w:val="clear" w:color="auto" w:fill="CCEEFF"/>
          </w:tcPr>
          <w:p>
            <w:pPr>
              <w:spacing w:after="0" w:line="142" w:lineRule="exact"/>
              <w:rPr>
                <w:rFonts w:ascii="Arial" w:cs="Arial" w:eastAsia="Arial" w:hAnsi="Arial"/>
                <w:sz w:val="16"/>
                <w:szCs w:val="16"/>
                <w:color w:val="0000FF"/>
                <w:w w:val="92"/>
              </w:rPr>
            </w:pPr>
            <w:hyperlink r:id="rId108">
              <w:r>
                <w:rPr>
                  <w:rFonts w:ascii="Arial" w:cs="Arial" w:eastAsia="Arial" w:hAnsi="Arial"/>
                  <w:sz w:val="16"/>
                  <w:szCs w:val="16"/>
                  <w:color w:val="0000FF"/>
                  <w:w w:val="92"/>
                </w:rPr>
                <w:t>to our Registration Statement on Form S-4 filed on May 15, 2017).</w:t>
              </w:r>
            </w:hyperlink>
          </w:p>
        </w:tc>
        <w:tc>
          <w:tcPr>
            <w:tcW w:w="5680" w:type="dxa"/>
            <w:vAlign w:val="bottom"/>
            <w:tcBorders>
              <w:top w:val="single" w:sz="8" w:color="0000FF"/>
              <w:bottom w:val="single" w:sz="8" w:color="CCEEFF"/>
            </w:tcBorders>
            <w:gridSpan w:val="16"/>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80" w:type="dxa"/>
            <w:vAlign w:val="bottom"/>
            <w:tcBorders>
              <w:top w:val="single" w:sz="8" w:color="CCEEFF"/>
              <w:bottom w:val="single" w:sz="8" w:color="CCEEFF"/>
            </w:tcBorders>
            <w:gridSpan w:val="4"/>
            <w:shd w:val="clear" w:color="auto" w:fill="CCEEFF"/>
          </w:tcPr>
          <w:p>
            <w:pPr>
              <w:spacing w:after="0"/>
              <w:rPr>
                <w:sz w:val="14"/>
                <w:szCs w:val="14"/>
                <w:color w:val="auto"/>
              </w:rPr>
            </w:pPr>
          </w:p>
        </w:tc>
        <w:tc>
          <w:tcPr>
            <w:tcW w:w="80" w:type="dxa"/>
            <w:vAlign w:val="bottom"/>
            <w:tcBorders>
              <w:top w:val="single" w:sz="8" w:color="CCEEFF"/>
              <w:bottom w:val="single" w:sz="8" w:color="CCEEFF"/>
            </w:tcBorders>
            <w:gridSpan w:val="4"/>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75"/>
        </w:trPr>
        <w:tc>
          <w:tcPr>
            <w:tcW w:w="1160" w:type="dxa"/>
            <w:vAlign w:val="bottom"/>
            <w:gridSpan w:val="2"/>
          </w:tcPr>
          <w:p>
            <w:pPr>
              <w:ind w:left="20"/>
              <w:spacing w:after="0" w:line="175" w:lineRule="exact"/>
              <w:rPr>
                <w:sz w:val="20"/>
                <w:szCs w:val="20"/>
                <w:color w:val="auto"/>
              </w:rPr>
            </w:pPr>
            <w:r>
              <w:rPr>
                <w:rFonts w:ascii="Arial" w:cs="Arial" w:eastAsia="Arial" w:hAnsi="Arial"/>
                <w:sz w:val="16"/>
                <w:szCs w:val="16"/>
                <w:color w:val="auto"/>
              </w:rPr>
              <w:t>10.4†</w:t>
            </w:r>
          </w:p>
        </w:tc>
        <w:tc>
          <w:tcPr>
            <w:tcW w:w="20" w:type="dxa"/>
            <w:vAlign w:val="bottom"/>
          </w:tcPr>
          <w:p>
            <w:pPr>
              <w:spacing w:after="0"/>
              <w:rPr>
                <w:sz w:val="15"/>
                <w:szCs w:val="15"/>
                <w:color w:val="auto"/>
              </w:rPr>
            </w:pPr>
          </w:p>
        </w:tc>
        <w:tc>
          <w:tcPr>
            <w:tcW w:w="10480" w:type="dxa"/>
            <w:vAlign w:val="bottom"/>
            <w:gridSpan w:val="47"/>
          </w:tcPr>
          <w:p>
            <w:pPr>
              <w:spacing w:after="0" w:line="175" w:lineRule="exact"/>
              <w:rPr>
                <w:rFonts w:ascii="Arial" w:cs="Arial" w:eastAsia="Arial" w:hAnsi="Arial"/>
                <w:sz w:val="16"/>
                <w:szCs w:val="16"/>
                <w:color w:val="0000FF"/>
                <w:w w:val="98"/>
              </w:rPr>
            </w:pPr>
            <w:hyperlink r:id="rId109">
              <w:r>
                <w:rPr>
                  <w:rFonts w:ascii="Arial" w:cs="Arial" w:eastAsia="Arial" w:hAnsi="Arial"/>
                  <w:sz w:val="16"/>
                  <w:szCs w:val="16"/>
                  <w:color w:val="0000FF"/>
                  <w:w w:val="98"/>
                </w:rPr>
                <w:t>Form of Indemnity Agreement (incorporated by reference to Exhibit 10.8 to Amendment No. 3 to our Registration Statement on Form S-4 filed on June</w:t>
              </w:r>
            </w:hyperlink>
          </w:p>
        </w:tc>
      </w:tr>
      <w:tr>
        <w:trPr>
          <w:trHeight w:val="142"/>
        </w:trPr>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Borders>
              <w:top w:val="single" w:sz="8" w:color="0000FF"/>
            </w:tcBorders>
            <w:gridSpan w:val="3"/>
          </w:tcPr>
          <w:p>
            <w:pPr>
              <w:spacing w:after="0" w:line="142" w:lineRule="exact"/>
              <w:rPr>
                <w:rFonts w:ascii="Arial" w:cs="Arial" w:eastAsia="Arial" w:hAnsi="Arial"/>
                <w:sz w:val="16"/>
                <w:szCs w:val="16"/>
                <w:color w:val="0000FF"/>
              </w:rPr>
            </w:pPr>
            <w:hyperlink r:id="rId109">
              <w:r>
                <w:rPr>
                  <w:rFonts w:ascii="Arial" w:cs="Arial" w:eastAsia="Arial" w:hAnsi="Arial"/>
                  <w:sz w:val="16"/>
                  <w:szCs w:val="16"/>
                  <w:color w:val="0000FF"/>
                </w:rPr>
                <w:t>12, 2017).</w:t>
              </w:r>
            </w:hyperlink>
          </w:p>
        </w:tc>
        <w:tc>
          <w:tcPr>
            <w:tcW w:w="40" w:type="dxa"/>
            <w:vAlign w:val="bottom"/>
            <w:tcBorders>
              <w:top w:val="single" w:sz="8" w:color="0000FF"/>
            </w:tcBorders>
          </w:tcPr>
          <w:p>
            <w:pPr>
              <w:spacing w:after="0"/>
              <w:rPr>
                <w:sz w:val="12"/>
                <w:szCs w:val="12"/>
                <w:color w:val="auto"/>
              </w:rPr>
            </w:pPr>
          </w:p>
        </w:tc>
        <w:tc>
          <w:tcPr>
            <w:tcW w:w="620" w:type="dxa"/>
            <w:vAlign w:val="bottom"/>
            <w:tcBorders>
              <w:top w:val="single" w:sz="8" w:color="0000FF"/>
            </w:tcBorders>
          </w:tcPr>
          <w:p>
            <w:pPr>
              <w:spacing w:after="0"/>
              <w:rPr>
                <w:sz w:val="12"/>
                <w:szCs w:val="12"/>
                <w:color w:val="auto"/>
              </w:rPr>
            </w:pPr>
          </w:p>
        </w:tc>
        <w:tc>
          <w:tcPr>
            <w:tcW w:w="920" w:type="dxa"/>
            <w:vAlign w:val="bottom"/>
            <w:tcBorders>
              <w:top w:val="single" w:sz="8" w:color="0000FF"/>
            </w:tcBorders>
          </w:tcPr>
          <w:p>
            <w:pPr>
              <w:spacing w:after="0"/>
              <w:rPr>
                <w:sz w:val="12"/>
                <w:szCs w:val="12"/>
                <w:color w:val="auto"/>
              </w:rPr>
            </w:pPr>
          </w:p>
        </w:tc>
        <w:tc>
          <w:tcPr>
            <w:tcW w:w="520" w:type="dxa"/>
            <w:vAlign w:val="bottom"/>
            <w:tcBorders>
              <w:top w:val="single" w:sz="8" w:color="0000FF"/>
            </w:tcBorders>
          </w:tcPr>
          <w:p>
            <w:pPr>
              <w:spacing w:after="0"/>
              <w:rPr>
                <w:sz w:val="12"/>
                <w:szCs w:val="12"/>
                <w:color w:val="auto"/>
              </w:rPr>
            </w:pPr>
          </w:p>
        </w:tc>
        <w:tc>
          <w:tcPr>
            <w:tcW w:w="124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17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84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10.5</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480" w:type="dxa"/>
            <w:vAlign w:val="bottom"/>
            <w:gridSpan w:val="47"/>
            <w:shd w:val="clear" w:color="auto" w:fill="CCEEFF"/>
          </w:tcPr>
          <w:p>
            <w:pPr>
              <w:spacing w:after="0" w:line="175" w:lineRule="exact"/>
              <w:rPr>
                <w:rFonts w:ascii="Arial" w:cs="Arial" w:eastAsia="Arial" w:hAnsi="Arial"/>
                <w:sz w:val="16"/>
                <w:szCs w:val="16"/>
                <w:color w:val="0000FF"/>
              </w:rPr>
            </w:pPr>
            <w:hyperlink r:id="rId110">
              <w:r>
                <w:rPr>
                  <w:rFonts w:ascii="Arial" w:cs="Arial" w:eastAsia="Arial" w:hAnsi="Arial"/>
                  <w:sz w:val="16"/>
                  <w:szCs w:val="16"/>
                  <w:color w:val="0000FF"/>
                </w:rPr>
                <w:t>Credit Agreement, dated July 7, 2017, by and among Atkins Intermediate Holdings, LLC, Conyers Park Parent Merger Sub, Inc., Conyers Park</w:t>
              </w:r>
            </w:hyperlink>
          </w:p>
        </w:tc>
      </w:tr>
      <w:tr>
        <w:trPr>
          <w:trHeight w:val="142"/>
        </w:trPr>
        <w:tc>
          <w:tcPr>
            <w:tcW w:w="10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460" w:type="dxa"/>
            <w:vAlign w:val="bottom"/>
            <w:tcBorders>
              <w:top w:val="single" w:sz="8" w:color="0000FF"/>
            </w:tcBorders>
            <w:gridSpan w:val="46"/>
            <w:shd w:val="clear" w:color="auto" w:fill="CCEEFF"/>
          </w:tcPr>
          <w:p>
            <w:pPr>
              <w:spacing w:after="0" w:line="142" w:lineRule="exact"/>
              <w:rPr>
                <w:rFonts w:ascii="Arial" w:cs="Arial" w:eastAsia="Arial" w:hAnsi="Arial"/>
                <w:sz w:val="16"/>
                <w:szCs w:val="16"/>
                <w:color w:val="0000FF"/>
                <w:w w:val="98"/>
              </w:rPr>
            </w:pPr>
            <w:hyperlink r:id="rId110">
              <w:r>
                <w:rPr>
                  <w:rFonts w:ascii="Arial" w:cs="Arial" w:eastAsia="Arial" w:hAnsi="Arial"/>
                  <w:sz w:val="16"/>
                  <w:szCs w:val="16"/>
                  <w:color w:val="0000FF"/>
                  <w:w w:val="98"/>
                </w:rPr>
                <w:t>Acquisition Corp., Conyers Park Merger Sub 1, Inc., Conyers Park Merger Sub 2, Inc., Conyers Park Merger Sub 3, Inc., Conyers Park Merger Sub 4,</w:t>
              </w:r>
            </w:hyperlink>
          </w:p>
        </w:tc>
        <w:tc>
          <w:tcPr>
            <w:tcW w:w="20" w:type="dxa"/>
            <w:vAlign w:val="bottom"/>
            <w:tcBorders>
              <w:top w:val="single" w:sz="8" w:color="CCEEFF"/>
            </w:tcBorders>
            <w:shd w:val="clear" w:color="auto" w:fill="CCEEFF"/>
          </w:tcPr>
          <w:p>
            <w:pPr>
              <w:spacing w:after="0"/>
              <w:rPr>
                <w:sz w:val="12"/>
                <w:szCs w:val="12"/>
                <w:color w:val="auto"/>
              </w:rPr>
            </w:pPr>
          </w:p>
        </w:tc>
      </w:tr>
      <w:tr>
        <w:trPr>
          <w:trHeight w:val="142"/>
        </w:trPr>
        <w:tc>
          <w:tcPr>
            <w:tcW w:w="10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300" w:type="dxa"/>
            <w:vAlign w:val="bottom"/>
            <w:tcBorders>
              <w:top w:val="single" w:sz="8" w:color="0000FF"/>
            </w:tcBorders>
            <w:gridSpan w:val="38"/>
            <w:shd w:val="clear" w:color="auto" w:fill="CCEEFF"/>
          </w:tcPr>
          <w:p>
            <w:pPr>
              <w:spacing w:after="0" w:line="142" w:lineRule="exact"/>
              <w:rPr>
                <w:rFonts w:ascii="Arial" w:cs="Arial" w:eastAsia="Arial" w:hAnsi="Arial"/>
                <w:sz w:val="16"/>
                <w:szCs w:val="16"/>
                <w:color w:val="0000FF"/>
                <w:w w:val="97"/>
              </w:rPr>
            </w:pPr>
            <w:hyperlink r:id="rId110">
              <w:r>
                <w:rPr>
                  <w:rFonts w:ascii="Arial" w:cs="Arial" w:eastAsia="Arial" w:hAnsi="Arial"/>
                  <w:sz w:val="16"/>
                  <w:szCs w:val="16"/>
                  <w:color w:val="0000FF"/>
                  <w:w w:val="97"/>
                </w:rPr>
                <w:t>Inc., NCP-ATK Holdings, Inc., Atkins Nutritionals Holdings, Inc., Atkins Nutritionals Holdings II, Inc., Atkins Nutritionals, Inc., the lenders party thereto</w:t>
              </w:r>
            </w:hyperlink>
          </w:p>
        </w:tc>
        <w:tc>
          <w:tcPr>
            <w:tcW w:w="60" w:type="dxa"/>
            <w:vAlign w:val="bottom"/>
            <w:tcBorders>
              <w:top w:val="single" w:sz="8" w:color="CCEEFF"/>
            </w:tcBorders>
            <w:gridSpan w:val="3"/>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r>
      <w:tr>
        <w:trPr>
          <w:trHeight w:val="142"/>
        </w:trPr>
        <w:tc>
          <w:tcPr>
            <w:tcW w:w="10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120" w:type="dxa"/>
            <w:vAlign w:val="bottom"/>
            <w:tcBorders>
              <w:top w:val="single" w:sz="8" w:color="0000FF"/>
            </w:tcBorders>
            <w:gridSpan w:val="29"/>
            <w:shd w:val="clear" w:color="auto" w:fill="CCEEFF"/>
          </w:tcPr>
          <w:p>
            <w:pPr>
              <w:spacing w:after="0" w:line="142" w:lineRule="exact"/>
              <w:rPr>
                <w:rFonts w:ascii="Arial" w:cs="Arial" w:eastAsia="Arial" w:hAnsi="Arial"/>
                <w:sz w:val="16"/>
                <w:szCs w:val="16"/>
                <w:color w:val="0000FF"/>
                <w:w w:val="97"/>
              </w:rPr>
            </w:pPr>
            <w:hyperlink r:id="rId110">
              <w:r>
                <w:rPr>
                  <w:rFonts w:ascii="Arial" w:cs="Arial" w:eastAsia="Arial" w:hAnsi="Arial"/>
                  <w:sz w:val="16"/>
                  <w:szCs w:val="16"/>
                  <w:color w:val="0000FF"/>
                  <w:w w:val="97"/>
                </w:rPr>
                <w:t>and Barclays Bank PLC, as the Administrative Agent (incorporated by reference to Exhibit 10.1 to our Current Report on Form 8-K filed on July 13,</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80" w:type="dxa"/>
            <w:vAlign w:val="bottom"/>
            <w:tcBorders>
              <w:top w:val="single" w:sz="8" w:color="CCEEFF"/>
            </w:tcBorders>
            <w:gridSpan w:val="4"/>
            <w:shd w:val="clear" w:color="auto" w:fill="CCEEFF"/>
          </w:tcPr>
          <w:p>
            <w:pPr>
              <w:spacing w:after="0"/>
              <w:rPr>
                <w:sz w:val="12"/>
                <w:szCs w:val="12"/>
                <w:color w:val="auto"/>
              </w:rPr>
            </w:pPr>
          </w:p>
        </w:tc>
        <w:tc>
          <w:tcPr>
            <w:tcW w:w="80" w:type="dxa"/>
            <w:vAlign w:val="bottom"/>
            <w:tcBorders>
              <w:top w:val="single" w:sz="8" w:color="CCEEFF"/>
            </w:tcBorders>
            <w:gridSpan w:val="4"/>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r>
      <w:tr>
        <w:trPr>
          <w:trHeight w:val="162"/>
        </w:trPr>
        <w:tc>
          <w:tcPr>
            <w:tcW w:w="10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20" w:type="dxa"/>
            <w:vAlign w:val="bottom"/>
            <w:tcBorders>
              <w:top w:val="single" w:sz="8" w:color="0000FF"/>
              <w:bottom w:val="single" w:sz="8" w:color="0000FF"/>
            </w:tcBorders>
            <w:shd w:val="clear" w:color="auto" w:fill="CCEEFF"/>
          </w:tcPr>
          <w:p>
            <w:pPr>
              <w:spacing w:after="0" w:line="142" w:lineRule="exact"/>
              <w:rPr>
                <w:rFonts w:ascii="Arial" w:cs="Arial" w:eastAsia="Arial" w:hAnsi="Arial"/>
                <w:sz w:val="16"/>
                <w:szCs w:val="16"/>
                <w:color w:val="0000FF"/>
                <w:w w:val="88"/>
              </w:rPr>
            </w:pPr>
            <w:hyperlink r:id="rId110">
              <w:r>
                <w:rPr>
                  <w:rFonts w:ascii="Arial" w:cs="Arial" w:eastAsia="Arial" w:hAnsi="Arial"/>
                  <w:sz w:val="16"/>
                  <w:szCs w:val="16"/>
                  <w:color w:val="0000FF"/>
                  <w:w w:val="88"/>
                </w:rPr>
                <w:t>2017).</w:t>
              </w:r>
            </w:hyperlink>
          </w:p>
        </w:tc>
        <w:tc>
          <w:tcPr>
            <w:tcW w:w="240" w:type="dxa"/>
            <w:vAlign w:val="bottom"/>
            <w:tcBorders>
              <w:top w:val="single" w:sz="8" w:color="0000FF"/>
              <w:bottom w:val="single" w:sz="8" w:color="CCEEFF"/>
            </w:tcBorders>
            <w:shd w:val="clear" w:color="auto" w:fill="CCEEFF"/>
          </w:tcPr>
          <w:p>
            <w:pPr>
              <w:spacing w:after="0"/>
              <w:rPr>
                <w:sz w:val="14"/>
                <w:szCs w:val="14"/>
                <w:color w:val="auto"/>
              </w:rPr>
            </w:pPr>
          </w:p>
        </w:tc>
        <w:tc>
          <w:tcPr>
            <w:tcW w:w="34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0000FF"/>
              <w:bottom w:val="single" w:sz="8" w:color="CCEEFF"/>
            </w:tcBorders>
            <w:shd w:val="clear" w:color="auto" w:fill="CCEEFF"/>
          </w:tcPr>
          <w:p>
            <w:pPr>
              <w:spacing w:after="0"/>
              <w:rPr>
                <w:sz w:val="14"/>
                <w:szCs w:val="14"/>
                <w:color w:val="auto"/>
              </w:rPr>
            </w:pPr>
          </w:p>
        </w:tc>
        <w:tc>
          <w:tcPr>
            <w:tcW w:w="620" w:type="dxa"/>
            <w:vAlign w:val="bottom"/>
            <w:tcBorders>
              <w:top w:val="single" w:sz="8" w:color="0000FF"/>
              <w:bottom w:val="single" w:sz="8" w:color="CCEEFF"/>
            </w:tcBorders>
            <w:shd w:val="clear" w:color="auto" w:fill="CCEEFF"/>
          </w:tcPr>
          <w:p>
            <w:pPr>
              <w:spacing w:after="0"/>
              <w:rPr>
                <w:sz w:val="14"/>
                <w:szCs w:val="14"/>
                <w:color w:val="auto"/>
              </w:rPr>
            </w:pPr>
          </w:p>
        </w:tc>
        <w:tc>
          <w:tcPr>
            <w:tcW w:w="920" w:type="dxa"/>
            <w:vAlign w:val="bottom"/>
            <w:tcBorders>
              <w:top w:val="single" w:sz="8" w:color="0000FF"/>
              <w:bottom w:val="single" w:sz="8" w:color="CCEEFF"/>
            </w:tcBorders>
            <w:shd w:val="clear" w:color="auto" w:fill="CCEEFF"/>
          </w:tcPr>
          <w:p>
            <w:pPr>
              <w:spacing w:after="0"/>
              <w:rPr>
                <w:sz w:val="14"/>
                <w:szCs w:val="14"/>
                <w:color w:val="auto"/>
              </w:rPr>
            </w:pPr>
          </w:p>
        </w:tc>
        <w:tc>
          <w:tcPr>
            <w:tcW w:w="520" w:type="dxa"/>
            <w:vAlign w:val="bottom"/>
            <w:tcBorders>
              <w:top w:val="single" w:sz="8" w:color="0000FF"/>
              <w:bottom w:val="single" w:sz="8" w:color="CCEEFF"/>
            </w:tcBorders>
            <w:shd w:val="clear" w:color="auto" w:fill="CCEEFF"/>
          </w:tcPr>
          <w:p>
            <w:pPr>
              <w:spacing w:after="0"/>
              <w:rPr>
                <w:sz w:val="14"/>
                <w:szCs w:val="14"/>
                <w:color w:val="auto"/>
              </w:rPr>
            </w:pPr>
          </w:p>
        </w:tc>
        <w:tc>
          <w:tcPr>
            <w:tcW w:w="1240" w:type="dxa"/>
            <w:vAlign w:val="bottom"/>
            <w:tcBorders>
              <w:top w:val="single" w:sz="8" w:color="0000FF"/>
              <w:bottom w:val="single" w:sz="8" w:color="CCEEFF"/>
            </w:tcBorders>
            <w:shd w:val="clear" w:color="auto" w:fill="CCEEFF"/>
          </w:tcPr>
          <w:p>
            <w:pPr>
              <w:spacing w:after="0"/>
              <w:rPr>
                <w:sz w:val="14"/>
                <w:szCs w:val="14"/>
                <w:color w:val="auto"/>
              </w:rPr>
            </w:pPr>
          </w:p>
        </w:tc>
        <w:tc>
          <w:tcPr>
            <w:tcW w:w="340" w:type="dxa"/>
            <w:vAlign w:val="bottom"/>
            <w:tcBorders>
              <w:top w:val="single" w:sz="8" w:color="0000FF"/>
              <w:bottom w:val="single" w:sz="8" w:color="CCEEFF"/>
            </w:tcBorders>
            <w:shd w:val="clear" w:color="auto" w:fill="CCEEFF"/>
          </w:tcPr>
          <w:p>
            <w:pPr>
              <w:spacing w:after="0"/>
              <w:rPr>
                <w:sz w:val="14"/>
                <w:szCs w:val="14"/>
                <w:color w:val="auto"/>
              </w:rPr>
            </w:pPr>
          </w:p>
        </w:tc>
        <w:tc>
          <w:tcPr>
            <w:tcW w:w="400" w:type="dxa"/>
            <w:vAlign w:val="bottom"/>
            <w:tcBorders>
              <w:top w:val="single" w:sz="8" w:color="0000FF"/>
              <w:bottom w:val="single" w:sz="8" w:color="CCEEFF"/>
            </w:tcBorders>
            <w:shd w:val="clear" w:color="auto" w:fill="CCEEFF"/>
          </w:tcPr>
          <w:p>
            <w:pPr>
              <w:spacing w:after="0"/>
              <w:rPr>
                <w:sz w:val="14"/>
                <w:szCs w:val="14"/>
                <w:color w:val="auto"/>
              </w:rPr>
            </w:pPr>
          </w:p>
        </w:tc>
        <w:tc>
          <w:tcPr>
            <w:tcW w:w="20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0000FF"/>
              <w:bottom w:val="single" w:sz="8" w:color="CCEEFF"/>
            </w:tcBorders>
            <w:shd w:val="clear" w:color="auto" w:fill="CCEEFF"/>
          </w:tcPr>
          <w:p>
            <w:pPr>
              <w:spacing w:after="0"/>
              <w:rPr>
                <w:sz w:val="14"/>
                <w:szCs w:val="14"/>
                <w:color w:val="auto"/>
              </w:rPr>
            </w:pPr>
          </w:p>
        </w:tc>
        <w:tc>
          <w:tcPr>
            <w:tcW w:w="160" w:type="dxa"/>
            <w:vAlign w:val="bottom"/>
            <w:tcBorders>
              <w:top w:val="single" w:sz="8" w:color="0000FF"/>
              <w:bottom w:val="single" w:sz="8" w:color="CCEEFF"/>
            </w:tcBorders>
            <w:shd w:val="clear" w:color="auto" w:fill="CCEEFF"/>
          </w:tcPr>
          <w:p>
            <w:pPr>
              <w:spacing w:after="0"/>
              <w:rPr>
                <w:sz w:val="14"/>
                <w:szCs w:val="14"/>
                <w:color w:val="auto"/>
              </w:rPr>
            </w:pPr>
          </w:p>
        </w:tc>
        <w:tc>
          <w:tcPr>
            <w:tcW w:w="160" w:type="dxa"/>
            <w:vAlign w:val="bottom"/>
            <w:tcBorders>
              <w:top w:val="single" w:sz="8" w:color="0000FF"/>
              <w:bottom w:val="single" w:sz="8" w:color="CCEEFF"/>
            </w:tcBorders>
            <w:shd w:val="clear" w:color="auto" w:fill="CCEEFF"/>
          </w:tcPr>
          <w:p>
            <w:pPr>
              <w:spacing w:after="0"/>
              <w:rPr>
                <w:sz w:val="14"/>
                <w:szCs w:val="14"/>
                <w:color w:val="auto"/>
              </w:rPr>
            </w:pPr>
          </w:p>
        </w:tc>
        <w:tc>
          <w:tcPr>
            <w:tcW w:w="170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80" w:type="dxa"/>
            <w:vAlign w:val="bottom"/>
            <w:tcBorders>
              <w:top w:val="single" w:sz="8" w:color="0000FF"/>
              <w:bottom w:val="single" w:sz="8" w:color="CCEEFF"/>
            </w:tcBorders>
            <w:shd w:val="clear" w:color="auto" w:fill="CCEEFF"/>
          </w:tcPr>
          <w:p>
            <w:pPr>
              <w:spacing w:after="0"/>
              <w:rPr>
                <w:sz w:val="14"/>
                <w:szCs w:val="14"/>
                <w:color w:val="auto"/>
              </w:rPr>
            </w:pPr>
          </w:p>
        </w:tc>
        <w:tc>
          <w:tcPr>
            <w:tcW w:w="840" w:type="dxa"/>
            <w:vAlign w:val="bottom"/>
            <w:tcBorders>
              <w:top w:val="single" w:sz="8" w:color="0000FF"/>
              <w:bottom w:val="single" w:sz="8" w:color="CCEEFF"/>
            </w:tcBorders>
            <w:shd w:val="clear" w:color="auto" w:fill="CCEEFF"/>
          </w:tcPr>
          <w:p>
            <w:pPr>
              <w:spacing w:after="0"/>
              <w:rPr>
                <w:sz w:val="14"/>
                <w:szCs w:val="14"/>
                <w:color w:val="auto"/>
              </w:rPr>
            </w:pPr>
          </w:p>
        </w:tc>
        <w:tc>
          <w:tcPr>
            <w:tcW w:w="480" w:type="dxa"/>
            <w:vAlign w:val="bottom"/>
            <w:tcBorders>
              <w:top w:val="single" w:sz="8" w:color="0000FF"/>
              <w:bottom w:val="single" w:sz="8" w:color="CCEEFF"/>
            </w:tcBorders>
            <w:shd w:val="clear" w:color="auto" w:fill="CCEEFF"/>
          </w:tcPr>
          <w:p>
            <w:pPr>
              <w:spacing w:after="0"/>
              <w:rPr>
                <w:sz w:val="14"/>
                <w:szCs w:val="14"/>
                <w:color w:val="auto"/>
              </w:rPr>
            </w:pPr>
          </w:p>
        </w:tc>
        <w:tc>
          <w:tcPr>
            <w:tcW w:w="480" w:type="dxa"/>
            <w:vAlign w:val="bottom"/>
            <w:tcBorders>
              <w:top w:val="single" w:sz="8" w:color="0000FF"/>
              <w:bottom w:val="single" w:sz="8" w:color="CCEEFF"/>
            </w:tcBorders>
            <w:shd w:val="clear" w:color="auto" w:fill="CCEEFF"/>
          </w:tcPr>
          <w:p>
            <w:pPr>
              <w:spacing w:after="0"/>
              <w:rPr>
                <w:sz w:val="14"/>
                <w:szCs w:val="14"/>
                <w:color w:val="auto"/>
              </w:rPr>
            </w:pPr>
          </w:p>
        </w:tc>
        <w:tc>
          <w:tcPr>
            <w:tcW w:w="80" w:type="dxa"/>
            <w:vAlign w:val="bottom"/>
            <w:tcBorders>
              <w:top w:val="single" w:sz="8" w:color="0000FF"/>
              <w:bottom w:val="single" w:sz="8" w:color="CCEEFF"/>
            </w:tcBorders>
            <w:shd w:val="clear" w:color="auto" w:fill="CCEEFF"/>
          </w:tcPr>
          <w:p>
            <w:pPr>
              <w:spacing w:after="0"/>
              <w:rPr>
                <w:sz w:val="14"/>
                <w:szCs w:val="14"/>
                <w:color w:val="auto"/>
              </w:rPr>
            </w:pPr>
          </w:p>
        </w:tc>
        <w:tc>
          <w:tcPr>
            <w:tcW w:w="46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76"/>
        </w:trPr>
        <w:tc>
          <w:tcPr>
            <w:tcW w:w="1020" w:type="dxa"/>
            <w:vAlign w:val="bottom"/>
          </w:tcPr>
          <w:p>
            <w:pPr>
              <w:ind w:left="20"/>
              <w:spacing w:after="0" w:line="175" w:lineRule="exact"/>
              <w:rPr>
                <w:sz w:val="20"/>
                <w:szCs w:val="20"/>
                <w:color w:val="auto"/>
              </w:rPr>
            </w:pPr>
            <w:r>
              <w:rPr>
                <w:rFonts w:ascii="Arial" w:cs="Arial" w:eastAsia="Arial" w:hAnsi="Arial"/>
                <w:sz w:val="16"/>
                <w:szCs w:val="16"/>
                <w:color w:val="auto"/>
              </w:rPr>
              <w:t>10.6</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80" w:type="dxa"/>
            <w:vAlign w:val="bottom"/>
            <w:gridSpan w:val="47"/>
          </w:tcPr>
          <w:p>
            <w:pPr>
              <w:spacing w:after="0" w:line="175" w:lineRule="exact"/>
              <w:rPr>
                <w:rFonts w:ascii="Arial" w:cs="Arial" w:eastAsia="Arial" w:hAnsi="Arial"/>
                <w:sz w:val="16"/>
                <w:szCs w:val="16"/>
                <w:color w:val="0000FF"/>
              </w:rPr>
            </w:pPr>
            <w:hyperlink r:id="rId111">
              <w:r>
                <w:rPr>
                  <w:rFonts w:ascii="Arial" w:cs="Arial" w:eastAsia="Arial" w:hAnsi="Arial"/>
                  <w:sz w:val="16"/>
                  <w:szCs w:val="16"/>
                  <w:color w:val="0000FF"/>
                </w:rPr>
                <w:t>Amendment No. 2 (Incremental Facility Amendment), dated as of November 7, 2019, by and among Atkins Intermediate Holdings, LLC, a Delaware</w:t>
              </w:r>
            </w:hyperlink>
          </w:p>
        </w:tc>
      </w:tr>
      <w:tr>
        <w:trPr>
          <w:trHeight w:val="142"/>
        </w:trPr>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40" w:type="dxa"/>
            <w:vAlign w:val="bottom"/>
            <w:tcBorders>
              <w:top w:val="single" w:sz="8" w:color="0000FF"/>
            </w:tcBorders>
            <w:gridSpan w:val="25"/>
          </w:tcPr>
          <w:p>
            <w:pPr>
              <w:spacing w:after="0" w:line="142" w:lineRule="exact"/>
              <w:rPr>
                <w:rFonts w:ascii="Arial" w:cs="Arial" w:eastAsia="Arial" w:hAnsi="Arial"/>
                <w:sz w:val="16"/>
                <w:szCs w:val="16"/>
                <w:color w:val="0000FF"/>
                <w:w w:val="94"/>
              </w:rPr>
            </w:pPr>
            <w:hyperlink r:id="rId111">
              <w:r>
                <w:rPr>
                  <w:rFonts w:ascii="Arial" w:cs="Arial" w:eastAsia="Arial" w:hAnsi="Arial"/>
                  <w:sz w:val="16"/>
                  <w:szCs w:val="16"/>
                  <w:color w:val="0000FF"/>
                  <w:w w:val="94"/>
                </w:rPr>
                <w:t>limited liability company, Conyers Park Acquisition Corp., a Delaware corporation, Atkins Nutritionals, Inc., a New York corporation, Atkins Nutritionals</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42"/>
        </w:trPr>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40" w:type="dxa"/>
            <w:vAlign w:val="bottom"/>
            <w:tcBorders>
              <w:top w:val="single" w:sz="8" w:color="0000FF"/>
            </w:tcBorders>
            <w:gridSpan w:val="35"/>
          </w:tcPr>
          <w:p>
            <w:pPr>
              <w:spacing w:after="0" w:line="142" w:lineRule="exact"/>
              <w:rPr>
                <w:rFonts w:ascii="Arial" w:cs="Arial" w:eastAsia="Arial" w:hAnsi="Arial"/>
                <w:sz w:val="16"/>
                <w:szCs w:val="16"/>
                <w:color w:val="0000FF"/>
                <w:w w:val="97"/>
              </w:rPr>
            </w:pPr>
            <w:hyperlink r:id="rId111">
              <w:r>
                <w:rPr>
                  <w:rFonts w:ascii="Arial" w:cs="Arial" w:eastAsia="Arial" w:hAnsi="Arial"/>
                  <w:sz w:val="16"/>
                  <w:szCs w:val="16"/>
                  <w:color w:val="0000FF"/>
                  <w:w w:val="97"/>
                </w:rPr>
                <w:t>Holdings, Inc., a Delaware corporation, Atkins Nutritionals Holdings II, Inc., a Delaware corporation, NCP-ATK Holdings, Inc., a Delaware corporation</w:t>
              </w:r>
            </w:hyperlink>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42"/>
        </w:trPr>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0" w:type="dxa"/>
            <w:vAlign w:val="bottom"/>
            <w:tcBorders>
              <w:top w:val="single" w:sz="8" w:color="0000FF"/>
            </w:tcBorders>
            <w:gridSpan w:val="33"/>
          </w:tcPr>
          <w:p>
            <w:pPr>
              <w:spacing w:after="0" w:line="142" w:lineRule="exact"/>
              <w:rPr>
                <w:rFonts w:ascii="Arial" w:cs="Arial" w:eastAsia="Arial" w:hAnsi="Arial"/>
                <w:sz w:val="16"/>
                <w:szCs w:val="16"/>
                <w:color w:val="0000FF"/>
                <w:w w:val="96"/>
              </w:rPr>
            </w:pPr>
            <w:hyperlink r:id="rId111">
              <w:r>
                <w:rPr>
                  <w:rFonts w:ascii="Arial" w:cs="Arial" w:eastAsia="Arial" w:hAnsi="Arial"/>
                  <w:sz w:val="16"/>
                  <w:szCs w:val="16"/>
                  <w:color w:val="0000FF"/>
                  <w:w w:val="96"/>
                </w:rPr>
                <w:t>and the financial institutions set forth on Schedule A thereto as Additional Term Lenders, and acknowledged by Barclays Bank PLC, as administrative</w:t>
              </w:r>
            </w:hyperlink>
          </w:p>
        </w:tc>
        <w:tc>
          <w:tcPr>
            <w:tcW w:w="80" w:type="dxa"/>
            <w:vAlign w:val="bottom"/>
            <w:gridSpan w:val="4"/>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42"/>
        </w:trPr>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top w:val="single" w:sz="8" w:color="0000FF"/>
            </w:tcBorders>
            <w:gridSpan w:val="31"/>
          </w:tcPr>
          <w:p>
            <w:pPr>
              <w:spacing w:after="0" w:line="142" w:lineRule="exact"/>
              <w:rPr>
                <w:rFonts w:ascii="Arial" w:cs="Arial" w:eastAsia="Arial" w:hAnsi="Arial"/>
                <w:sz w:val="16"/>
                <w:szCs w:val="16"/>
                <w:color w:val="0000FF"/>
              </w:rPr>
            </w:pPr>
            <w:hyperlink r:id="rId111">
              <w:r>
                <w:rPr>
                  <w:rFonts w:ascii="Arial" w:cs="Arial" w:eastAsia="Arial" w:hAnsi="Arial"/>
                  <w:sz w:val="16"/>
                  <w:szCs w:val="16"/>
                  <w:color w:val="0000FF"/>
                </w:rPr>
                <w:t>agent (incorporated by reference to Exhibit 10.1 of our Current Report on Form 8-K filed on November 7, 2019).</w:t>
              </w:r>
            </w:hyperlink>
          </w:p>
        </w:tc>
        <w:tc>
          <w:tcPr>
            <w:tcW w:w="120" w:type="dxa"/>
            <w:vAlign w:val="bottom"/>
            <w:gridSpan w:val="6"/>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7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10.7</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480" w:type="dxa"/>
            <w:vAlign w:val="bottom"/>
            <w:gridSpan w:val="47"/>
            <w:shd w:val="clear" w:color="auto" w:fill="CCEEFF"/>
          </w:tcPr>
          <w:p>
            <w:pPr>
              <w:spacing w:after="0" w:line="175" w:lineRule="exact"/>
              <w:rPr>
                <w:rFonts w:ascii="Arial" w:cs="Arial" w:eastAsia="Arial" w:hAnsi="Arial"/>
                <w:sz w:val="16"/>
                <w:szCs w:val="16"/>
                <w:color w:val="0000FF"/>
                <w:w w:val="97"/>
              </w:rPr>
            </w:pPr>
            <w:hyperlink r:id="rId112">
              <w:r>
                <w:rPr>
                  <w:rFonts w:ascii="Arial" w:cs="Arial" w:eastAsia="Arial" w:hAnsi="Arial"/>
                  <w:sz w:val="16"/>
                  <w:szCs w:val="16"/>
                  <w:color w:val="0000FF"/>
                  <w:w w:val="97"/>
                </w:rPr>
                <w:t>Assignment, Assumption and Amendment Agreement, dated July 7, 2017, by and among The Simply Good Foods Company, Conyers Park Acquisition</w:t>
              </w:r>
            </w:hyperlink>
          </w:p>
        </w:tc>
      </w:tr>
      <w:tr>
        <w:trPr>
          <w:trHeight w:val="142"/>
        </w:trPr>
        <w:tc>
          <w:tcPr>
            <w:tcW w:w="10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60" w:type="dxa"/>
            <w:vAlign w:val="bottom"/>
            <w:tcBorders>
              <w:top w:val="single" w:sz="8" w:color="0000FF"/>
            </w:tcBorders>
            <w:gridSpan w:val="26"/>
            <w:shd w:val="clear" w:color="auto" w:fill="CCEEFF"/>
          </w:tcPr>
          <w:p>
            <w:pPr>
              <w:spacing w:after="0" w:line="142" w:lineRule="exact"/>
              <w:rPr>
                <w:rFonts w:ascii="Arial" w:cs="Arial" w:eastAsia="Arial" w:hAnsi="Arial"/>
                <w:sz w:val="16"/>
                <w:szCs w:val="16"/>
                <w:color w:val="0000FF"/>
                <w:w w:val="95"/>
              </w:rPr>
            </w:pPr>
            <w:hyperlink r:id="rId112">
              <w:r>
                <w:rPr>
                  <w:rFonts w:ascii="Arial" w:cs="Arial" w:eastAsia="Arial" w:hAnsi="Arial"/>
                  <w:sz w:val="16"/>
                  <w:szCs w:val="16"/>
                  <w:color w:val="0000FF"/>
                  <w:w w:val="95"/>
                </w:rPr>
                <w:t>Corp. and Continental Stock Transfer &amp; Trust Company (incorporated by reference to Exhibit 10.7 to our Current Report on Form 8-K filed on July 13,</w:t>
              </w:r>
            </w:hyperlink>
          </w:p>
        </w:tc>
        <w:tc>
          <w:tcPr>
            <w:tcW w:w="40" w:type="dxa"/>
            <w:vAlign w:val="bottom"/>
            <w:tcBorders>
              <w:top w:val="single" w:sz="8" w:color="CCEEFF"/>
            </w:tcBorders>
            <w:gridSpan w:val="2"/>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140" w:type="dxa"/>
            <w:vAlign w:val="bottom"/>
            <w:tcBorders>
              <w:top w:val="single" w:sz="8" w:color="CCEEFF"/>
            </w:tcBorders>
            <w:gridSpan w:val="7"/>
            <w:shd w:val="clear" w:color="auto" w:fill="CCEEFF"/>
          </w:tcPr>
          <w:p>
            <w:pPr>
              <w:spacing w:after="0"/>
              <w:rPr>
                <w:sz w:val="12"/>
                <w:szCs w:val="12"/>
                <w:color w:val="auto"/>
              </w:rPr>
            </w:pPr>
          </w:p>
        </w:tc>
        <w:tc>
          <w:tcPr>
            <w:tcW w:w="80" w:type="dxa"/>
            <w:vAlign w:val="bottom"/>
            <w:tcBorders>
              <w:top w:val="single" w:sz="8" w:color="CCEEFF"/>
            </w:tcBorders>
            <w:gridSpan w:val="4"/>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r>
      <w:tr>
        <w:trPr>
          <w:trHeight w:val="163"/>
        </w:trPr>
        <w:tc>
          <w:tcPr>
            <w:tcW w:w="10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20" w:type="dxa"/>
            <w:vAlign w:val="bottom"/>
            <w:tcBorders>
              <w:top w:val="single" w:sz="8" w:color="0000FF"/>
              <w:bottom w:val="single" w:sz="8" w:color="0000FF"/>
            </w:tcBorders>
            <w:shd w:val="clear" w:color="auto" w:fill="CCEEFF"/>
          </w:tcPr>
          <w:p>
            <w:pPr>
              <w:spacing w:after="0" w:line="142" w:lineRule="exact"/>
              <w:rPr>
                <w:rFonts w:ascii="Arial" w:cs="Arial" w:eastAsia="Arial" w:hAnsi="Arial"/>
                <w:sz w:val="16"/>
                <w:szCs w:val="16"/>
                <w:color w:val="0000FF"/>
                <w:w w:val="88"/>
              </w:rPr>
            </w:pPr>
            <w:hyperlink r:id="rId112">
              <w:r>
                <w:rPr>
                  <w:rFonts w:ascii="Arial" w:cs="Arial" w:eastAsia="Arial" w:hAnsi="Arial"/>
                  <w:sz w:val="16"/>
                  <w:szCs w:val="16"/>
                  <w:color w:val="0000FF"/>
                  <w:w w:val="88"/>
                </w:rPr>
                <w:t>2017).</w:t>
              </w:r>
            </w:hyperlink>
          </w:p>
        </w:tc>
        <w:tc>
          <w:tcPr>
            <w:tcW w:w="240" w:type="dxa"/>
            <w:vAlign w:val="bottom"/>
            <w:tcBorders>
              <w:top w:val="single" w:sz="8" w:color="0000FF"/>
              <w:bottom w:val="single" w:sz="8" w:color="CCEEFF"/>
            </w:tcBorders>
            <w:shd w:val="clear" w:color="auto" w:fill="CCEEFF"/>
          </w:tcPr>
          <w:p>
            <w:pPr>
              <w:spacing w:after="0"/>
              <w:rPr>
                <w:sz w:val="14"/>
                <w:szCs w:val="14"/>
                <w:color w:val="auto"/>
              </w:rPr>
            </w:pPr>
          </w:p>
        </w:tc>
        <w:tc>
          <w:tcPr>
            <w:tcW w:w="34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0000FF"/>
              <w:bottom w:val="single" w:sz="8" w:color="CCEEFF"/>
            </w:tcBorders>
            <w:shd w:val="clear" w:color="auto" w:fill="CCEEFF"/>
          </w:tcPr>
          <w:p>
            <w:pPr>
              <w:spacing w:after="0"/>
              <w:rPr>
                <w:sz w:val="14"/>
                <w:szCs w:val="14"/>
                <w:color w:val="auto"/>
              </w:rPr>
            </w:pPr>
          </w:p>
        </w:tc>
        <w:tc>
          <w:tcPr>
            <w:tcW w:w="620" w:type="dxa"/>
            <w:vAlign w:val="bottom"/>
            <w:tcBorders>
              <w:top w:val="single" w:sz="8" w:color="0000FF"/>
              <w:bottom w:val="single" w:sz="8" w:color="CCEEFF"/>
            </w:tcBorders>
            <w:shd w:val="clear" w:color="auto" w:fill="CCEEFF"/>
          </w:tcPr>
          <w:p>
            <w:pPr>
              <w:spacing w:after="0"/>
              <w:rPr>
                <w:sz w:val="14"/>
                <w:szCs w:val="14"/>
                <w:color w:val="auto"/>
              </w:rPr>
            </w:pPr>
          </w:p>
        </w:tc>
        <w:tc>
          <w:tcPr>
            <w:tcW w:w="920" w:type="dxa"/>
            <w:vAlign w:val="bottom"/>
            <w:tcBorders>
              <w:top w:val="single" w:sz="8" w:color="0000FF"/>
              <w:bottom w:val="single" w:sz="8" w:color="CCEEFF"/>
            </w:tcBorders>
            <w:shd w:val="clear" w:color="auto" w:fill="CCEEFF"/>
          </w:tcPr>
          <w:p>
            <w:pPr>
              <w:spacing w:after="0"/>
              <w:rPr>
                <w:sz w:val="14"/>
                <w:szCs w:val="14"/>
                <w:color w:val="auto"/>
              </w:rPr>
            </w:pPr>
          </w:p>
        </w:tc>
        <w:tc>
          <w:tcPr>
            <w:tcW w:w="520" w:type="dxa"/>
            <w:vAlign w:val="bottom"/>
            <w:tcBorders>
              <w:top w:val="single" w:sz="8" w:color="0000FF"/>
              <w:bottom w:val="single" w:sz="8" w:color="CCEEFF"/>
            </w:tcBorders>
            <w:shd w:val="clear" w:color="auto" w:fill="CCEEFF"/>
          </w:tcPr>
          <w:p>
            <w:pPr>
              <w:spacing w:after="0"/>
              <w:rPr>
                <w:sz w:val="14"/>
                <w:szCs w:val="14"/>
                <w:color w:val="auto"/>
              </w:rPr>
            </w:pPr>
          </w:p>
        </w:tc>
        <w:tc>
          <w:tcPr>
            <w:tcW w:w="1240" w:type="dxa"/>
            <w:vAlign w:val="bottom"/>
            <w:tcBorders>
              <w:top w:val="single" w:sz="8" w:color="0000FF"/>
              <w:bottom w:val="single" w:sz="8" w:color="CCEEFF"/>
            </w:tcBorders>
            <w:shd w:val="clear" w:color="auto" w:fill="CCEEFF"/>
          </w:tcPr>
          <w:p>
            <w:pPr>
              <w:spacing w:after="0"/>
              <w:rPr>
                <w:sz w:val="14"/>
                <w:szCs w:val="14"/>
                <w:color w:val="auto"/>
              </w:rPr>
            </w:pPr>
          </w:p>
        </w:tc>
        <w:tc>
          <w:tcPr>
            <w:tcW w:w="340" w:type="dxa"/>
            <w:vAlign w:val="bottom"/>
            <w:tcBorders>
              <w:top w:val="single" w:sz="8" w:color="0000FF"/>
              <w:bottom w:val="single" w:sz="8" w:color="CCEEFF"/>
            </w:tcBorders>
            <w:shd w:val="clear" w:color="auto" w:fill="CCEEFF"/>
          </w:tcPr>
          <w:p>
            <w:pPr>
              <w:spacing w:after="0"/>
              <w:rPr>
                <w:sz w:val="14"/>
                <w:szCs w:val="14"/>
                <w:color w:val="auto"/>
              </w:rPr>
            </w:pPr>
          </w:p>
        </w:tc>
        <w:tc>
          <w:tcPr>
            <w:tcW w:w="400" w:type="dxa"/>
            <w:vAlign w:val="bottom"/>
            <w:tcBorders>
              <w:top w:val="single" w:sz="8" w:color="0000FF"/>
              <w:bottom w:val="single" w:sz="8" w:color="CCEEFF"/>
            </w:tcBorders>
            <w:shd w:val="clear" w:color="auto" w:fill="CCEEFF"/>
          </w:tcPr>
          <w:p>
            <w:pPr>
              <w:spacing w:after="0"/>
              <w:rPr>
                <w:sz w:val="14"/>
                <w:szCs w:val="14"/>
                <w:color w:val="auto"/>
              </w:rPr>
            </w:pPr>
          </w:p>
        </w:tc>
        <w:tc>
          <w:tcPr>
            <w:tcW w:w="20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0000FF"/>
              <w:bottom w:val="single" w:sz="8" w:color="CCEEFF"/>
            </w:tcBorders>
            <w:shd w:val="clear" w:color="auto" w:fill="CCEEFF"/>
          </w:tcPr>
          <w:p>
            <w:pPr>
              <w:spacing w:after="0"/>
              <w:rPr>
                <w:sz w:val="14"/>
                <w:szCs w:val="14"/>
                <w:color w:val="auto"/>
              </w:rPr>
            </w:pPr>
          </w:p>
        </w:tc>
        <w:tc>
          <w:tcPr>
            <w:tcW w:w="160" w:type="dxa"/>
            <w:vAlign w:val="bottom"/>
            <w:tcBorders>
              <w:top w:val="single" w:sz="8" w:color="0000FF"/>
              <w:bottom w:val="single" w:sz="8" w:color="CCEEFF"/>
            </w:tcBorders>
            <w:shd w:val="clear" w:color="auto" w:fill="CCEEFF"/>
          </w:tcPr>
          <w:p>
            <w:pPr>
              <w:spacing w:after="0"/>
              <w:rPr>
                <w:sz w:val="14"/>
                <w:szCs w:val="14"/>
                <w:color w:val="auto"/>
              </w:rPr>
            </w:pPr>
          </w:p>
        </w:tc>
        <w:tc>
          <w:tcPr>
            <w:tcW w:w="160" w:type="dxa"/>
            <w:vAlign w:val="bottom"/>
            <w:tcBorders>
              <w:top w:val="single" w:sz="8" w:color="0000FF"/>
              <w:bottom w:val="single" w:sz="8" w:color="CCEEFF"/>
            </w:tcBorders>
            <w:shd w:val="clear" w:color="auto" w:fill="CCEEFF"/>
          </w:tcPr>
          <w:p>
            <w:pPr>
              <w:spacing w:after="0"/>
              <w:rPr>
                <w:sz w:val="14"/>
                <w:szCs w:val="14"/>
                <w:color w:val="auto"/>
              </w:rPr>
            </w:pPr>
          </w:p>
        </w:tc>
        <w:tc>
          <w:tcPr>
            <w:tcW w:w="170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80" w:type="dxa"/>
            <w:vAlign w:val="bottom"/>
            <w:tcBorders>
              <w:top w:val="single" w:sz="8" w:color="0000FF"/>
              <w:bottom w:val="single" w:sz="8" w:color="CCEEFF"/>
            </w:tcBorders>
            <w:shd w:val="clear" w:color="auto" w:fill="CCEEFF"/>
          </w:tcPr>
          <w:p>
            <w:pPr>
              <w:spacing w:after="0"/>
              <w:rPr>
                <w:sz w:val="14"/>
                <w:szCs w:val="14"/>
                <w:color w:val="auto"/>
              </w:rPr>
            </w:pPr>
          </w:p>
        </w:tc>
        <w:tc>
          <w:tcPr>
            <w:tcW w:w="840" w:type="dxa"/>
            <w:vAlign w:val="bottom"/>
            <w:tcBorders>
              <w:top w:val="single" w:sz="8" w:color="0000FF"/>
              <w:bottom w:val="single" w:sz="8" w:color="CCEEFF"/>
            </w:tcBorders>
            <w:shd w:val="clear" w:color="auto" w:fill="CCEEFF"/>
          </w:tcPr>
          <w:p>
            <w:pPr>
              <w:spacing w:after="0"/>
              <w:rPr>
                <w:sz w:val="14"/>
                <w:szCs w:val="14"/>
                <w:color w:val="auto"/>
              </w:rPr>
            </w:pPr>
          </w:p>
        </w:tc>
        <w:tc>
          <w:tcPr>
            <w:tcW w:w="480" w:type="dxa"/>
            <w:vAlign w:val="bottom"/>
            <w:tcBorders>
              <w:top w:val="single" w:sz="8" w:color="0000FF"/>
              <w:bottom w:val="single" w:sz="8" w:color="CCEEFF"/>
            </w:tcBorders>
            <w:shd w:val="clear" w:color="auto" w:fill="CCEEFF"/>
          </w:tcPr>
          <w:p>
            <w:pPr>
              <w:spacing w:after="0"/>
              <w:rPr>
                <w:sz w:val="14"/>
                <w:szCs w:val="14"/>
                <w:color w:val="auto"/>
              </w:rPr>
            </w:pPr>
          </w:p>
        </w:tc>
        <w:tc>
          <w:tcPr>
            <w:tcW w:w="480" w:type="dxa"/>
            <w:vAlign w:val="bottom"/>
            <w:tcBorders>
              <w:top w:val="single" w:sz="8" w:color="0000FF"/>
              <w:bottom w:val="single" w:sz="8" w:color="CCEEFF"/>
            </w:tcBorders>
            <w:shd w:val="clear" w:color="auto" w:fill="CCEEFF"/>
          </w:tcPr>
          <w:p>
            <w:pPr>
              <w:spacing w:after="0"/>
              <w:rPr>
                <w:sz w:val="14"/>
                <w:szCs w:val="14"/>
                <w:color w:val="auto"/>
              </w:rPr>
            </w:pPr>
          </w:p>
        </w:tc>
        <w:tc>
          <w:tcPr>
            <w:tcW w:w="80" w:type="dxa"/>
            <w:vAlign w:val="bottom"/>
            <w:tcBorders>
              <w:top w:val="single" w:sz="8" w:color="0000FF"/>
              <w:bottom w:val="single" w:sz="8" w:color="CCEEFF"/>
            </w:tcBorders>
            <w:shd w:val="clear" w:color="auto" w:fill="CCEEFF"/>
          </w:tcPr>
          <w:p>
            <w:pPr>
              <w:spacing w:after="0"/>
              <w:rPr>
                <w:sz w:val="14"/>
                <w:szCs w:val="14"/>
                <w:color w:val="auto"/>
              </w:rPr>
            </w:pPr>
          </w:p>
        </w:tc>
        <w:tc>
          <w:tcPr>
            <w:tcW w:w="46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75"/>
        </w:trPr>
        <w:tc>
          <w:tcPr>
            <w:tcW w:w="1160" w:type="dxa"/>
            <w:vAlign w:val="bottom"/>
            <w:gridSpan w:val="2"/>
          </w:tcPr>
          <w:p>
            <w:pPr>
              <w:ind w:left="20"/>
              <w:spacing w:after="0" w:line="175" w:lineRule="exact"/>
              <w:rPr>
                <w:sz w:val="20"/>
                <w:szCs w:val="20"/>
                <w:color w:val="auto"/>
              </w:rPr>
            </w:pPr>
            <w:r>
              <w:rPr>
                <w:rFonts w:ascii="Arial" w:cs="Arial" w:eastAsia="Arial" w:hAnsi="Arial"/>
                <w:sz w:val="16"/>
                <w:szCs w:val="16"/>
                <w:color w:val="auto"/>
              </w:rPr>
              <w:t>10.8†</w:t>
            </w:r>
          </w:p>
        </w:tc>
        <w:tc>
          <w:tcPr>
            <w:tcW w:w="20" w:type="dxa"/>
            <w:vAlign w:val="bottom"/>
          </w:tcPr>
          <w:p>
            <w:pPr>
              <w:spacing w:after="0"/>
              <w:rPr>
                <w:sz w:val="15"/>
                <w:szCs w:val="15"/>
                <w:color w:val="auto"/>
              </w:rPr>
            </w:pPr>
          </w:p>
        </w:tc>
        <w:tc>
          <w:tcPr>
            <w:tcW w:w="10480" w:type="dxa"/>
            <w:vAlign w:val="bottom"/>
            <w:gridSpan w:val="47"/>
          </w:tcPr>
          <w:p>
            <w:pPr>
              <w:spacing w:after="0" w:line="175" w:lineRule="exact"/>
              <w:rPr>
                <w:rFonts w:ascii="Arial" w:cs="Arial" w:eastAsia="Arial" w:hAnsi="Arial"/>
                <w:sz w:val="16"/>
                <w:szCs w:val="16"/>
                <w:color w:val="0000FF"/>
                <w:w w:val="96"/>
              </w:rPr>
            </w:pPr>
            <w:hyperlink r:id="rId113">
              <w:r>
                <w:rPr>
                  <w:rFonts w:ascii="Arial" w:cs="Arial" w:eastAsia="Arial" w:hAnsi="Arial"/>
                  <w:sz w:val="16"/>
                  <w:szCs w:val="16"/>
                  <w:color w:val="0000FF"/>
                  <w:w w:val="96"/>
                </w:rPr>
                <w:t>Amended and Restated Employment Agreement, dated July 7, 2017, between The Simply Good Foods Company and Joseph E. Scalzo (incorporated by</w:t>
              </w:r>
            </w:hyperlink>
          </w:p>
        </w:tc>
      </w:tr>
      <w:tr>
        <w:trPr>
          <w:trHeight w:val="142"/>
        </w:trPr>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80" w:type="dxa"/>
            <w:vAlign w:val="bottom"/>
            <w:tcBorders>
              <w:top w:val="single" w:sz="8" w:color="0000FF"/>
            </w:tcBorders>
            <w:gridSpan w:val="27"/>
          </w:tcPr>
          <w:p>
            <w:pPr>
              <w:spacing w:after="0" w:line="142" w:lineRule="exact"/>
              <w:rPr>
                <w:rFonts w:ascii="Arial" w:cs="Arial" w:eastAsia="Arial" w:hAnsi="Arial"/>
                <w:sz w:val="16"/>
                <w:szCs w:val="16"/>
                <w:color w:val="0000FF"/>
              </w:rPr>
            </w:pPr>
            <w:hyperlink r:id="rId113">
              <w:r>
                <w:rPr>
                  <w:rFonts w:ascii="Arial" w:cs="Arial" w:eastAsia="Arial" w:hAnsi="Arial"/>
                  <w:sz w:val="16"/>
                  <w:szCs w:val="16"/>
                  <w:color w:val="0000FF"/>
                </w:rPr>
                <w:t>reference to Exhibit 10.8 to our Current Report on Form 8-K filed on July 13, 2017).</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40" w:type="dxa"/>
            <w:vAlign w:val="bottom"/>
            <w:gridSpan w:val="7"/>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10.9</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480" w:type="dxa"/>
            <w:vAlign w:val="bottom"/>
            <w:gridSpan w:val="47"/>
            <w:shd w:val="clear" w:color="auto" w:fill="CCEEFF"/>
          </w:tcPr>
          <w:p>
            <w:pPr>
              <w:spacing w:after="0" w:line="175" w:lineRule="exact"/>
              <w:rPr>
                <w:rFonts w:ascii="Arial" w:cs="Arial" w:eastAsia="Arial" w:hAnsi="Arial"/>
                <w:sz w:val="16"/>
                <w:szCs w:val="16"/>
                <w:color w:val="0000FF"/>
              </w:rPr>
            </w:pPr>
            <w:hyperlink r:id="rId114">
              <w:r>
                <w:rPr>
                  <w:rFonts w:ascii="Arial" w:cs="Arial" w:eastAsia="Arial" w:hAnsi="Arial"/>
                  <w:sz w:val="16"/>
                  <w:szCs w:val="16"/>
                  <w:color w:val="0000FF"/>
                </w:rPr>
                <w:t>Income Tax Receivable Agreement, dated July 7, 2017, by and among The Simply Good Foods Company, Atkins Holdings, LLC and Roark Capital</w:t>
              </w:r>
            </w:hyperlink>
          </w:p>
        </w:tc>
      </w:tr>
      <w:tr>
        <w:trPr>
          <w:trHeight w:val="142"/>
        </w:trPr>
        <w:tc>
          <w:tcPr>
            <w:tcW w:w="10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0140" w:type="dxa"/>
            <w:vAlign w:val="bottom"/>
            <w:tcBorders>
              <w:top w:val="single" w:sz="8" w:color="0000FF"/>
              <w:bottom w:val="single" w:sz="8" w:color="0000FF"/>
            </w:tcBorders>
            <w:gridSpan w:val="30"/>
            <w:shd w:val="clear" w:color="auto" w:fill="CCEEFF"/>
          </w:tcPr>
          <w:p>
            <w:pPr>
              <w:spacing w:after="0" w:line="142" w:lineRule="exact"/>
              <w:rPr>
                <w:rFonts w:ascii="Arial" w:cs="Arial" w:eastAsia="Arial" w:hAnsi="Arial"/>
                <w:sz w:val="16"/>
                <w:szCs w:val="16"/>
                <w:color w:val="0000FF"/>
                <w:w w:val="94"/>
              </w:rPr>
            </w:pPr>
            <w:hyperlink r:id="rId114">
              <w:r>
                <w:rPr>
                  <w:rFonts w:ascii="Arial" w:cs="Arial" w:eastAsia="Arial" w:hAnsi="Arial"/>
                  <w:sz w:val="16"/>
                  <w:szCs w:val="16"/>
                  <w:color w:val="0000FF"/>
                  <w:w w:val="94"/>
                </w:rPr>
                <w:t>Acquisition, LLC (solely in its capacity as the Stockholders’ Representative) (incorporated by reference to Exhibit 10.6 to our Current Report on Form 8-</w:t>
              </w:r>
            </w:hyperlink>
          </w:p>
        </w:tc>
        <w:tc>
          <w:tcPr>
            <w:tcW w:w="140" w:type="dxa"/>
            <w:vAlign w:val="bottom"/>
            <w:tcBorders>
              <w:top w:val="single" w:sz="8" w:color="CCEEFF"/>
              <w:bottom w:val="single" w:sz="8" w:color="0000FF"/>
            </w:tcBorders>
            <w:gridSpan w:val="7"/>
            <w:shd w:val="clear" w:color="auto" w:fill="CCEEFF"/>
          </w:tcPr>
          <w:p>
            <w:pPr>
              <w:spacing w:after="0"/>
              <w:rPr>
                <w:sz w:val="12"/>
                <w:szCs w:val="12"/>
                <w:color w:val="auto"/>
              </w:rPr>
            </w:pPr>
          </w:p>
        </w:tc>
        <w:tc>
          <w:tcPr>
            <w:tcW w:w="80" w:type="dxa"/>
            <w:vAlign w:val="bottom"/>
            <w:tcBorders>
              <w:top w:val="single" w:sz="8" w:color="CCEEFF"/>
              <w:bottom w:val="single" w:sz="8" w:color="0000FF"/>
            </w:tcBorders>
            <w:gridSpan w:val="4"/>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r>
      <w:tr>
        <w:trPr>
          <w:trHeight w:val="142"/>
        </w:trPr>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360" w:type="dxa"/>
            <w:vAlign w:val="bottom"/>
            <w:gridSpan w:val="41"/>
            <w:shd w:val="clear" w:color="auto" w:fill="CCEEFF"/>
          </w:tcPr>
          <w:p>
            <w:pPr>
              <w:spacing w:after="0" w:line="142" w:lineRule="exact"/>
              <w:rPr>
                <w:rFonts w:ascii="Arial" w:cs="Arial" w:eastAsia="Arial" w:hAnsi="Arial"/>
                <w:sz w:val="16"/>
                <w:szCs w:val="16"/>
                <w:color w:val="0000FF"/>
              </w:rPr>
            </w:pPr>
            <w:hyperlink r:id="rId114">
              <w:r>
                <w:rPr>
                  <w:rFonts w:ascii="Arial" w:cs="Arial" w:eastAsia="Arial" w:hAnsi="Arial"/>
                  <w:sz w:val="16"/>
                  <w:szCs w:val="16"/>
                  <w:color w:val="0000FF"/>
                </w:rPr>
                <w:t>K filed on July 13, 2017).</w:t>
              </w:r>
            </w:hyperlink>
          </w:p>
        </w:tc>
        <w:tc>
          <w:tcPr>
            <w:tcW w:w="40" w:type="dxa"/>
            <w:vAlign w:val="bottom"/>
            <w:gridSpan w:val="2"/>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gridSpan w:val="2"/>
            <w:shd w:val="clear" w:color="auto" w:fill="CCEEFF"/>
          </w:tcPr>
          <w:p>
            <w:pPr>
              <w:spacing w:after="0"/>
              <w:rPr>
                <w:sz w:val="12"/>
                <w:szCs w:val="12"/>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ind w:left="20"/>
              <w:spacing w:after="0" w:line="175" w:lineRule="exact"/>
              <w:rPr>
                <w:sz w:val="20"/>
                <w:szCs w:val="20"/>
                <w:color w:val="auto"/>
              </w:rPr>
            </w:pPr>
            <w:r>
              <w:rPr>
                <w:rFonts w:ascii="Arial" w:cs="Arial" w:eastAsia="Arial" w:hAnsi="Arial"/>
                <w:sz w:val="16"/>
                <w:szCs w:val="16"/>
                <w:color w:val="auto"/>
              </w:rPr>
              <w:t>10.10</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80" w:type="dxa"/>
            <w:vAlign w:val="bottom"/>
            <w:gridSpan w:val="47"/>
          </w:tcPr>
          <w:p>
            <w:pPr>
              <w:spacing w:after="0" w:line="175" w:lineRule="exact"/>
              <w:rPr>
                <w:rFonts w:ascii="Arial" w:cs="Arial" w:eastAsia="Arial" w:hAnsi="Arial"/>
                <w:sz w:val="16"/>
                <w:szCs w:val="16"/>
                <w:color w:val="0000FF"/>
              </w:rPr>
            </w:pPr>
            <w:hyperlink r:id="rId115">
              <w:r>
                <w:rPr>
                  <w:rFonts w:ascii="Arial" w:cs="Arial" w:eastAsia="Arial" w:hAnsi="Arial"/>
                  <w:sz w:val="16"/>
                  <w:szCs w:val="16"/>
                  <w:color w:val="0000FF"/>
                </w:rPr>
                <w:t>Termination Agreement, dated November 14, 2018, among The Simply Good Foods Company, Atkins Holdings, LLC and Roark Capital Acquisition,</w:t>
              </w:r>
            </w:hyperlink>
          </w:p>
        </w:tc>
      </w:tr>
      <w:tr>
        <w:trPr>
          <w:trHeight w:val="142"/>
        </w:trPr>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40" w:type="dxa"/>
            <w:vAlign w:val="bottom"/>
            <w:tcBorders>
              <w:top w:val="single" w:sz="8" w:color="0000FF"/>
            </w:tcBorders>
            <w:gridSpan w:val="45"/>
          </w:tcPr>
          <w:p>
            <w:pPr>
              <w:spacing w:after="0" w:line="142" w:lineRule="exact"/>
              <w:rPr>
                <w:rFonts w:ascii="Arial" w:cs="Arial" w:eastAsia="Arial" w:hAnsi="Arial"/>
                <w:sz w:val="16"/>
                <w:szCs w:val="16"/>
                <w:color w:val="0000FF"/>
              </w:rPr>
            </w:pPr>
            <w:hyperlink r:id="rId115">
              <w:r>
                <w:rPr>
                  <w:rFonts w:ascii="Arial" w:cs="Arial" w:eastAsia="Arial" w:hAnsi="Arial"/>
                  <w:sz w:val="16"/>
                  <w:szCs w:val="16"/>
                  <w:color w:val="0000FF"/>
                </w:rPr>
                <w:t>LLC (incorporated by reference to Exhibit 10.1 to our Current Report on Form 8-K filed on November 16, 2018).</w:t>
              </w:r>
            </w:hyperlink>
          </w:p>
        </w:tc>
        <w:tc>
          <w:tcPr>
            <w:tcW w:w="40" w:type="dxa"/>
            <w:vAlign w:val="bottom"/>
            <w:gridSpan w:val="2"/>
          </w:tcPr>
          <w:p>
            <w:pPr>
              <w:spacing w:after="0"/>
              <w:rPr>
                <w:sz w:val="12"/>
                <w:szCs w:val="12"/>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7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60" w:type="dxa"/>
            <w:vAlign w:val="bottom"/>
            <w:gridSpan w:val="2"/>
            <w:shd w:val="clear" w:color="auto" w:fill="CCEEFF"/>
          </w:tcPr>
          <w:p>
            <w:pPr>
              <w:ind w:left="20"/>
              <w:spacing w:after="0" w:line="175" w:lineRule="exact"/>
              <w:rPr>
                <w:sz w:val="20"/>
                <w:szCs w:val="20"/>
                <w:color w:val="auto"/>
              </w:rPr>
            </w:pPr>
            <w:r>
              <w:rPr>
                <w:rFonts w:ascii="Arial" w:cs="Arial" w:eastAsia="Arial" w:hAnsi="Arial"/>
                <w:sz w:val="16"/>
                <w:szCs w:val="16"/>
                <w:color w:val="auto"/>
              </w:rPr>
              <w:t>10.11†</w:t>
            </w:r>
          </w:p>
        </w:tc>
        <w:tc>
          <w:tcPr>
            <w:tcW w:w="20" w:type="dxa"/>
            <w:vAlign w:val="bottom"/>
            <w:shd w:val="clear" w:color="auto" w:fill="CCEEFF"/>
          </w:tcPr>
          <w:p>
            <w:pPr>
              <w:spacing w:after="0"/>
              <w:rPr>
                <w:sz w:val="15"/>
                <w:szCs w:val="15"/>
                <w:color w:val="auto"/>
              </w:rPr>
            </w:pPr>
          </w:p>
        </w:tc>
        <w:tc>
          <w:tcPr>
            <w:tcW w:w="10480" w:type="dxa"/>
            <w:vAlign w:val="bottom"/>
            <w:gridSpan w:val="47"/>
            <w:shd w:val="clear" w:color="auto" w:fill="CCEEFF"/>
          </w:tcPr>
          <w:p>
            <w:pPr>
              <w:spacing w:after="0" w:line="175" w:lineRule="exact"/>
              <w:rPr>
                <w:rFonts w:ascii="Arial" w:cs="Arial" w:eastAsia="Arial" w:hAnsi="Arial"/>
                <w:sz w:val="16"/>
                <w:szCs w:val="16"/>
                <w:color w:val="0000FF"/>
                <w:w w:val="97"/>
              </w:rPr>
            </w:pPr>
            <w:hyperlink r:id="rId116">
              <w:r>
                <w:rPr>
                  <w:rFonts w:ascii="Arial" w:cs="Arial" w:eastAsia="Arial" w:hAnsi="Arial"/>
                  <w:sz w:val="16"/>
                  <w:szCs w:val="16"/>
                  <w:color w:val="0000FF"/>
                  <w:w w:val="97"/>
                </w:rPr>
                <w:t>Offer Letter, dated June 19, 2017, between Atkins Nutritionals, Inc. and Todd Cunfer (incorporated by reference to Exhibit 10.1 to our Current Report on</w:t>
              </w:r>
            </w:hyperlink>
          </w:p>
        </w:tc>
      </w:tr>
      <w:tr>
        <w:trPr>
          <w:trHeight w:val="163"/>
        </w:trPr>
        <w:tc>
          <w:tcPr>
            <w:tcW w:w="10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5080" w:type="dxa"/>
            <w:vAlign w:val="bottom"/>
            <w:tcBorders>
              <w:top w:val="single" w:sz="8" w:color="0000FF"/>
              <w:bottom w:val="single" w:sz="8" w:color="0000FF"/>
            </w:tcBorders>
            <w:gridSpan w:val="10"/>
            <w:shd w:val="clear" w:color="auto" w:fill="CCEEFF"/>
          </w:tcPr>
          <w:p>
            <w:pPr>
              <w:spacing w:after="0" w:line="142" w:lineRule="exact"/>
              <w:rPr>
                <w:rFonts w:ascii="Arial" w:cs="Arial" w:eastAsia="Arial" w:hAnsi="Arial"/>
                <w:sz w:val="16"/>
                <w:szCs w:val="16"/>
                <w:color w:val="0000FF"/>
                <w:w w:val="92"/>
              </w:rPr>
            </w:pPr>
            <w:hyperlink r:id="rId116">
              <w:r>
                <w:rPr>
                  <w:rFonts w:ascii="Arial" w:cs="Arial" w:eastAsia="Arial" w:hAnsi="Arial"/>
                  <w:sz w:val="16"/>
                  <w:szCs w:val="16"/>
                  <w:color w:val="0000FF"/>
                  <w:w w:val="92"/>
                </w:rPr>
                <w:t>our Current Report on Current Report on Form 8-K filed on August 11, 2017).</w:t>
              </w:r>
            </w:hyperlink>
          </w:p>
        </w:tc>
        <w:tc>
          <w:tcPr>
            <w:tcW w:w="5340" w:type="dxa"/>
            <w:vAlign w:val="bottom"/>
            <w:tcBorders>
              <w:top w:val="single" w:sz="8" w:color="0000FF"/>
              <w:bottom w:val="single" w:sz="8" w:color="CCEEFF"/>
            </w:tcBorders>
            <w:gridSpan w:val="34"/>
            <w:shd w:val="clear" w:color="auto" w:fill="CCEEFF"/>
          </w:tcPr>
          <w:p>
            <w:pPr>
              <w:spacing w:after="0"/>
              <w:rPr>
                <w:sz w:val="14"/>
                <w:szCs w:val="14"/>
                <w:color w:val="auto"/>
              </w:rPr>
            </w:pPr>
          </w:p>
        </w:tc>
        <w:tc>
          <w:tcPr>
            <w:tcW w:w="60" w:type="dxa"/>
            <w:vAlign w:val="bottom"/>
            <w:tcBorders>
              <w:top w:val="single" w:sz="8" w:color="CCEEFF"/>
              <w:bottom w:val="single" w:sz="8" w:color="CCEEFF"/>
            </w:tcBorders>
            <w:gridSpan w:val="3"/>
            <w:shd w:val="clear" w:color="auto" w:fill="CCEEFF"/>
          </w:tcPr>
          <w:p>
            <w:pPr>
              <w:spacing w:after="0"/>
              <w:rPr>
                <w:sz w:val="14"/>
                <w:szCs w:val="14"/>
                <w:color w:val="auto"/>
              </w:rPr>
            </w:pPr>
          </w:p>
        </w:tc>
      </w:tr>
      <w:tr>
        <w:trPr>
          <w:trHeight w:val="176"/>
        </w:trPr>
        <w:tc>
          <w:tcPr>
            <w:tcW w:w="1160" w:type="dxa"/>
            <w:vAlign w:val="bottom"/>
            <w:gridSpan w:val="2"/>
          </w:tcPr>
          <w:p>
            <w:pPr>
              <w:ind w:left="20"/>
              <w:spacing w:after="0" w:line="175" w:lineRule="exact"/>
              <w:rPr>
                <w:sz w:val="20"/>
                <w:szCs w:val="20"/>
                <w:color w:val="auto"/>
              </w:rPr>
            </w:pPr>
            <w:r>
              <w:rPr>
                <w:rFonts w:ascii="Arial" w:cs="Arial" w:eastAsia="Arial" w:hAnsi="Arial"/>
                <w:sz w:val="16"/>
                <w:szCs w:val="16"/>
                <w:color w:val="auto"/>
              </w:rPr>
              <w:t>10.12†</w:t>
            </w:r>
          </w:p>
        </w:tc>
        <w:tc>
          <w:tcPr>
            <w:tcW w:w="20" w:type="dxa"/>
            <w:vAlign w:val="bottom"/>
          </w:tcPr>
          <w:p>
            <w:pPr>
              <w:spacing w:after="0"/>
              <w:rPr>
                <w:sz w:val="15"/>
                <w:szCs w:val="15"/>
                <w:color w:val="auto"/>
              </w:rPr>
            </w:pPr>
          </w:p>
        </w:tc>
        <w:tc>
          <w:tcPr>
            <w:tcW w:w="10480" w:type="dxa"/>
            <w:vAlign w:val="bottom"/>
            <w:gridSpan w:val="47"/>
          </w:tcPr>
          <w:p>
            <w:pPr>
              <w:spacing w:after="0" w:line="175" w:lineRule="exact"/>
              <w:rPr>
                <w:rFonts w:ascii="Arial" w:cs="Arial" w:eastAsia="Arial" w:hAnsi="Arial"/>
                <w:sz w:val="16"/>
                <w:szCs w:val="16"/>
                <w:color w:val="0000FF"/>
                <w:w w:val="99"/>
              </w:rPr>
            </w:pPr>
            <w:hyperlink r:id="rId117">
              <w:r>
                <w:rPr>
                  <w:rFonts w:ascii="Arial" w:cs="Arial" w:eastAsia="Arial" w:hAnsi="Arial"/>
                  <w:sz w:val="16"/>
                  <w:szCs w:val="16"/>
                  <w:color w:val="0000FF"/>
                  <w:w w:val="99"/>
                </w:rPr>
                <w:t>Letter Agreement, dated August 21, 2017, between The Simply Good Foods Company and Todd Cunfer (incorporated by reference to Exhibit 10.2 to</w:t>
              </w:r>
            </w:hyperlink>
          </w:p>
        </w:tc>
      </w:tr>
      <w:tr>
        <w:trPr>
          <w:trHeight w:val="142"/>
        </w:trPr>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80" w:type="dxa"/>
            <w:vAlign w:val="bottom"/>
            <w:tcBorders>
              <w:top w:val="single" w:sz="8" w:color="0000FF"/>
            </w:tcBorders>
            <w:gridSpan w:val="37"/>
          </w:tcPr>
          <w:p>
            <w:pPr>
              <w:spacing w:after="0" w:line="142" w:lineRule="exact"/>
              <w:rPr>
                <w:rFonts w:ascii="Arial" w:cs="Arial" w:eastAsia="Arial" w:hAnsi="Arial"/>
                <w:sz w:val="16"/>
                <w:szCs w:val="16"/>
                <w:color w:val="0000FF"/>
              </w:rPr>
            </w:pPr>
            <w:hyperlink r:id="rId117">
              <w:r>
                <w:rPr>
                  <w:rFonts w:ascii="Arial" w:cs="Arial" w:eastAsia="Arial" w:hAnsi="Arial"/>
                  <w:sz w:val="16"/>
                  <w:szCs w:val="16"/>
                  <w:color w:val="0000FF"/>
                </w:rPr>
                <w:t>Amendment No. 1 to our Current Report on Form 8-K filed on August 25, 2017).</w:t>
              </w:r>
            </w:hyperlink>
          </w:p>
        </w:tc>
        <w:tc>
          <w:tcPr>
            <w:tcW w:w="120" w:type="dxa"/>
            <w:vAlign w:val="bottom"/>
            <w:gridSpan w:val="6"/>
          </w:tcPr>
          <w:p>
            <w:pPr>
              <w:spacing w:after="0"/>
              <w:rPr>
                <w:sz w:val="12"/>
                <w:szCs w:val="12"/>
                <w:color w:val="auto"/>
              </w:rPr>
            </w:pPr>
          </w:p>
        </w:tc>
        <w:tc>
          <w:tcPr>
            <w:tcW w:w="80" w:type="dxa"/>
            <w:vAlign w:val="bottom"/>
            <w:gridSpan w:val="4"/>
          </w:tcPr>
          <w:p>
            <w:pPr>
              <w:spacing w:after="0"/>
              <w:rPr>
                <w:sz w:val="12"/>
                <w:szCs w:val="12"/>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10.13</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480" w:type="dxa"/>
            <w:vAlign w:val="bottom"/>
            <w:gridSpan w:val="47"/>
            <w:shd w:val="clear" w:color="auto" w:fill="CCEEFF"/>
          </w:tcPr>
          <w:p>
            <w:pPr>
              <w:spacing w:after="0" w:line="175" w:lineRule="exact"/>
              <w:rPr>
                <w:rFonts w:ascii="Arial" w:cs="Arial" w:eastAsia="Arial" w:hAnsi="Arial"/>
                <w:sz w:val="16"/>
                <w:szCs w:val="16"/>
                <w:color w:val="0000FF"/>
                <w:w w:val="99"/>
              </w:rPr>
            </w:pPr>
            <w:hyperlink r:id="rId118">
              <w:r>
                <w:rPr>
                  <w:rFonts w:ascii="Arial" w:cs="Arial" w:eastAsia="Arial" w:hAnsi="Arial"/>
                  <w:sz w:val="16"/>
                  <w:szCs w:val="16"/>
                  <w:color w:val="0000FF"/>
                  <w:w w:val="99"/>
                </w:rPr>
                <w:t>Repricing Amendment, dated March 16, 2018, by and among Atkins Intermediate Holdings, LLC, Conyers Park Acquisition Corp., Atkins Nutritionals,</w:t>
              </w:r>
            </w:hyperlink>
          </w:p>
        </w:tc>
      </w:tr>
      <w:tr>
        <w:trPr>
          <w:trHeight w:val="142"/>
        </w:trPr>
        <w:tc>
          <w:tcPr>
            <w:tcW w:w="10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0100" w:type="dxa"/>
            <w:vAlign w:val="bottom"/>
            <w:tcBorders>
              <w:top w:val="single" w:sz="8" w:color="0000FF"/>
              <w:bottom w:val="single" w:sz="8" w:color="0000FF"/>
            </w:tcBorders>
            <w:gridSpan w:val="28"/>
            <w:shd w:val="clear" w:color="auto" w:fill="CCEEFF"/>
          </w:tcPr>
          <w:p>
            <w:pPr>
              <w:spacing w:after="0" w:line="142" w:lineRule="exact"/>
              <w:rPr>
                <w:rFonts w:ascii="Arial" w:cs="Arial" w:eastAsia="Arial" w:hAnsi="Arial"/>
                <w:sz w:val="16"/>
                <w:szCs w:val="16"/>
                <w:color w:val="0000FF"/>
                <w:w w:val="99"/>
              </w:rPr>
            </w:pPr>
            <w:hyperlink r:id="rId118">
              <w:r>
                <w:rPr>
                  <w:rFonts w:ascii="Arial" w:cs="Arial" w:eastAsia="Arial" w:hAnsi="Arial"/>
                  <w:sz w:val="16"/>
                  <w:szCs w:val="16"/>
                  <w:color w:val="0000FF"/>
                  <w:w w:val="99"/>
                </w:rPr>
                <w:t>Inc., Atkins Nutritionals Holdings, Inc., Atkins Nutritionals Holdings II, Inc. and NCP-ATK Holdings, Inc. and Barclays Bank PLC (incorporated by</w:t>
              </w:r>
            </w:hyperlink>
          </w:p>
        </w:tc>
        <w:tc>
          <w:tcPr>
            <w:tcW w:w="300" w:type="dxa"/>
            <w:vAlign w:val="bottom"/>
            <w:tcBorders>
              <w:top w:val="single" w:sz="8" w:color="CCEEFF"/>
              <w:bottom w:val="single" w:sz="8" w:color="0000FF"/>
            </w:tcBorders>
            <w:gridSpan w:val="15"/>
            <w:shd w:val="clear" w:color="auto" w:fill="CCEEFF"/>
          </w:tcPr>
          <w:p>
            <w:pPr>
              <w:spacing w:after="0"/>
              <w:rPr>
                <w:sz w:val="12"/>
                <w:szCs w:val="12"/>
                <w:color w:val="auto"/>
              </w:rPr>
            </w:pPr>
          </w:p>
        </w:tc>
        <w:tc>
          <w:tcPr>
            <w:tcW w:w="80" w:type="dxa"/>
            <w:vAlign w:val="bottom"/>
            <w:tcBorders>
              <w:top w:val="single" w:sz="8" w:color="CCEEFF"/>
              <w:bottom w:val="single" w:sz="8" w:color="CCEEFF"/>
            </w:tcBorders>
            <w:gridSpan w:val="4"/>
            <w:shd w:val="clear" w:color="auto" w:fill="CCEEFF"/>
          </w:tcPr>
          <w:p>
            <w:pPr>
              <w:spacing w:after="0"/>
              <w:rPr>
                <w:sz w:val="12"/>
                <w:szCs w:val="12"/>
                <w:color w:val="auto"/>
              </w:rPr>
            </w:pPr>
          </w:p>
        </w:tc>
      </w:tr>
      <w:tr>
        <w:trPr>
          <w:trHeight w:val="142"/>
        </w:trPr>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400" w:type="dxa"/>
            <w:vAlign w:val="bottom"/>
            <w:gridSpan w:val="43"/>
            <w:shd w:val="clear" w:color="auto" w:fill="CCEEFF"/>
          </w:tcPr>
          <w:p>
            <w:pPr>
              <w:spacing w:after="0" w:line="142" w:lineRule="exact"/>
              <w:rPr>
                <w:rFonts w:ascii="Arial" w:cs="Arial" w:eastAsia="Arial" w:hAnsi="Arial"/>
                <w:sz w:val="16"/>
                <w:szCs w:val="16"/>
                <w:color w:val="0000FF"/>
              </w:rPr>
            </w:pPr>
            <w:hyperlink r:id="rId118">
              <w:r>
                <w:rPr>
                  <w:rFonts w:ascii="Arial" w:cs="Arial" w:eastAsia="Arial" w:hAnsi="Arial"/>
                  <w:sz w:val="16"/>
                  <w:szCs w:val="16"/>
                  <w:color w:val="0000FF"/>
                </w:rPr>
                <w:t>reference to Exhibit 10.1 to our Current Report on Form 8-K filed on March 20, 2018).</w:t>
              </w:r>
            </w:hyperlink>
          </w:p>
        </w:tc>
        <w:tc>
          <w:tcPr>
            <w:tcW w:w="80" w:type="dxa"/>
            <w:vAlign w:val="bottom"/>
            <w:gridSpan w:val="4"/>
            <w:shd w:val="clear" w:color="auto" w:fill="CCEEFF"/>
          </w:tcPr>
          <w:p>
            <w:pPr>
              <w:spacing w:after="0"/>
              <w:rPr>
                <w:sz w:val="12"/>
                <w:szCs w:val="12"/>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Exhibit No.</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180" w:type="dxa"/>
            <w:vAlign w:val="bottom"/>
            <w:tcBorders>
              <w:bottom w:val="single" w:sz="8" w:color="auto"/>
            </w:tcBorders>
            <w:gridSpan w:val="18"/>
          </w:tcPr>
          <w:p>
            <w:pPr>
              <w:spacing w:after="0"/>
              <w:rPr>
                <w:sz w:val="20"/>
                <w:szCs w:val="20"/>
                <w:color w:val="auto"/>
              </w:rPr>
            </w:pPr>
            <w:r>
              <w:rPr>
                <w:rFonts w:ascii="Arial" w:cs="Arial" w:eastAsia="Arial" w:hAnsi="Arial"/>
                <w:sz w:val="16"/>
                <w:szCs w:val="16"/>
                <w:b w:val="1"/>
                <w:bCs w:val="1"/>
                <w:color w:val="auto"/>
              </w:rPr>
              <w:t>Document</w:t>
            </w:r>
          </w:p>
        </w:tc>
      </w:tr>
      <w:tr>
        <w:trPr>
          <w:trHeight w:val="175"/>
        </w:trPr>
        <w:tc>
          <w:tcPr>
            <w:tcW w:w="1120" w:type="dxa"/>
            <w:vAlign w:val="bottom"/>
            <w:gridSpan w:val="2"/>
            <w:shd w:val="clear" w:color="auto" w:fill="CCEEFF"/>
          </w:tcPr>
          <w:p>
            <w:pPr>
              <w:ind w:left="20"/>
              <w:spacing w:after="0" w:line="175" w:lineRule="exact"/>
              <w:rPr>
                <w:sz w:val="20"/>
                <w:szCs w:val="20"/>
                <w:color w:val="auto"/>
              </w:rPr>
            </w:pPr>
            <w:r>
              <w:rPr>
                <w:rFonts w:ascii="Arial" w:cs="Arial" w:eastAsia="Arial" w:hAnsi="Arial"/>
                <w:sz w:val="16"/>
                <w:szCs w:val="16"/>
                <w:color w:val="auto"/>
              </w:rPr>
              <w:t>10.14†</w:t>
            </w:r>
          </w:p>
        </w:tc>
        <w:tc>
          <w:tcPr>
            <w:tcW w:w="20" w:type="dxa"/>
            <w:vAlign w:val="bottom"/>
            <w:shd w:val="clear" w:color="auto" w:fill="CCEEFF"/>
          </w:tcPr>
          <w:p>
            <w:pPr>
              <w:spacing w:after="0"/>
              <w:rPr>
                <w:sz w:val="15"/>
                <w:szCs w:val="15"/>
                <w:color w:val="auto"/>
              </w:rPr>
            </w:pPr>
          </w:p>
        </w:tc>
        <w:tc>
          <w:tcPr>
            <w:tcW w:w="10180" w:type="dxa"/>
            <w:vAlign w:val="bottom"/>
            <w:gridSpan w:val="18"/>
            <w:shd w:val="clear" w:color="auto" w:fill="CCEEFF"/>
          </w:tcPr>
          <w:p>
            <w:pPr>
              <w:spacing w:after="0" w:line="175" w:lineRule="exact"/>
              <w:rPr>
                <w:rFonts w:ascii="Arial" w:cs="Arial" w:eastAsia="Arial" w:hAnsi="Arial"/>
                <w:sz w:val="16"/>
                <w:szCs w:val="16"/>
                <w:color w:val="0000FF"/>
                <w:w w:val="92"/>
              </w:rPr>
            </w:pPr>
            <w:hyperlink r:id="rId120">
              <w:r>
                <w:rPr>
                  <w:rFonts w:ascii="Arial" w:cs="Arial" w:eastAsia="Arial" w:hAnsi="Arial"/>
                  <w:sz w:val="16"/>
                  <w:szCs w:val="16"/>
                  <w:color w:val="0000FF"/>
                  <w:w w:val="92"/>
                </w:rPr>
                <w:t>The Simply Good Foods Executive Severance Compensation Plan, dated July 23, 2018 (incorporated by reference to Exhibit 10.1 to our Current Report on</w:t>
              </w:r>
            </w:hyperlink>
          </w:p>
        </w:tc>
      </w:tr>
      <w:tr>
        <w:trPr>
          <w:trHeight w:val="142"/>
        </w:trPr>
        <w:tc>
          <w:tcPr>
            <w:tcW w:w="10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100" w:type="dxa"/>
            <w:vAlign w:val="bottom"/>
            <w:tcBorders>
              <w:top w:val="single" w:sz="8" w:color="0000FF"/>
            </w:tcBorders>
            <w:gridSpan w:val="14"/>
            <w:shd w:val="clear" w:color="auto" w:fill="CCEEFF"/>
          </w:tcPr>
          <w:p>
            <w:pPr>
              <w:spacing w:after="0" w:line="142" w:lineRule="exact"/>
              <w:rPr>
                <w:rFonts w:ascii="Arial" w:cs="Arial" w:eastAsia="Arial" w:hAnsi="Arial"/>
                <w:sz w:val="16"/>
                <w:szCs w:val="16"/>
                <w:color w:val="0000FF"/>
              </w:rPr>
            </w:pPr>
            <w:hyperlink r:id="rId120">
              <w:r>
                <w:rPr>
                  <w:rFonts w:ascii="Arial" w:cs="Arial" w:eastAsia="Arial" w:hAnsi="Arial"/>
                  <w:sz w:val="16"/>
                  <w:szCs w:val="16"/>
                  <w:color w:val="0000FF"/>
                </w:rPr>
                <w:t>Form 8-K filed on July 27, 2018).</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20" w:type="dxa"/>
            <w:vAlign w:val="bottom"/>
            <w:gridSpan w:val="2"/>
          </w:tcPr>
          <w:p>
            <w:pPr>
              <w:ind w:left="20"/>
              <w:spacing w:after="0" w:line="175" w:lineRule="exact"/>
              <w:rPr>
                <w:sz w:val="20"/>
                <w:szCs w:val="20"/>
                <w:color w:val="auto"/>
              </w:rPr>
            </w:pPr>
            <w:r>
              <w:rPr>
                <w:rFonts w:ascii="Arial" w:cs="Arial" w:eastAsia="Arial" w:hAnsi="Arial"/>
                <w:sz w:val="16"/>
                <w:szCs w:val="16"/>
                <w:color w:val="auto"/>
              </w:rPr>
              <w:t>10.15†</w:t>
            </w:r>
          </w:p>
        </w:tc>
        <w:tc>
          <w:tcPr>
            <w:tcW w:w="20" w:type="dxa"/>
            <w:vAlign w:val="bottom"/>
          </w:tcPr>
          <w:p>
            <w:pPr>
              <w:spacing w:after="0"/>
              <w:rPr>
                <w:sz w:val="15"/>
                <w:szCs w:val="15"/>
                <w:color w:val="auto"/>
              </w:rPr>
            </w:pPr>
          </w:p>
        </w:tc>
        <w:tc>
          <w:tcPr>
            <w:tcW w:w="10180" w:type="dxa"/>
            <w:vAlign w:val="bottom"/>
            <w:gridSpan w:val="18"/>
          </w:tcPr>
          <w:p>
            <w:pPr>
              <w:spacing w:after="0" w:line="175" w:lineRule="exact"/>
              <w:rPr>
                <w:rFonts w:ascii="Arial" w:cs="Arial" w:eastAsia="Arial" w:hAnsi="Arial"/>
                <w:sz w:val="16"/>
                <w:szCs w:val="16"/>
                <w:color w:val="0000FF"/>
                <w:w w:val="95"/>
              </w:rPr>
            </w:pPr>
            <w:hyperlink r:id="rId121">
              <w:r>
                <w:rPr>
                  <w:rFonts w:ascii="Arial" w:cs="Arial" w:eastAsia="Arial" w:hAnsi="Arial"/>
                  <w:sz w:val="16"/>
                  <w:szCs w:val="16"/>
                  <w:color w:val="0000FF"/>
                  <w:w w:val="95"/>
                </w:rPr>
                <w:t>Form of Executive Severance Compensation Plan, Tier I Participation Agreement, dated July 23, 2018 (incorporated by reference to Exhibit 10.2 to our</w:t>
              </w:r>
            </w:hyperlink>
          </w:p>
        </w:tc>
      </w:tr>
      <w:tr>
        <w:trPr>
          <w:trHeight w:val="142"/>
        </w:trPr>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tcBorders>
              <w:top w:val="single" w:sz="8" w:color="0000FF"/>
            </w:tcBorders>
            <w:gridSpan w:val="12"/>
          </w:tcPr>
          <w:p>
            <w:pPr>
              <w:spacing w:after="0" w:line="142" w:lineRule="exact"/>
              <w:rPr>
                <w:rFonts w:ascii="Arial" w:cs="Arial" w:eastAsia="Arial" w:hAnsi="Arial"/>
                <w:sz w:val="16"/>
                <w:szCs w:val="16"/>
                <w:color w:val="0000FF"/>
              </w:rPr>
            </w:pPr>
            <w:hyperlink r:id="rId121">
              <w:r>
                <w:rPr>
                  <w:rFonts w:ascii="Arial" w:cs="Arial" w:eastAsia="Arial" w:hAnsi="Arial"/>
                  <w:sz w:val="16"/>
                  <w:szCs w:val="16"/>
                  <w:color w:val="0000FF"/>
                </w:rPr>
                <w:t>Current Report on Form 8-K filed on July 27, 2018).</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20" w:type="dxa"/>
            <w:vAlign w:val="bottom"/>
            <w:gridSpan w:val="2"/>
            <w:shd w:val="clear" w:color="auto" w:fill="CCEEFF"/>
          </w:tcPr>
          <w:p>
            <w:pPr>
              <w:ind w:left="20"/>
              <w:spacing w:after="0" w:line="175" w:lineRule="exact"/>
              <w:rPr>
                <w:sz w:val="20"/>
                <w:szCs w:val="20"/>
                <w:color w:val="auto"/>
              </w:rPr>
            </w:pPr>
            <w:r>
              <w:rPr>
                <w:rFonts w:ascii="Arial" w:cs="Arial" w:eastAsia="Arial" w:hAnsi="Arial"/>
                <w:sz w:val="16"/>
                <w:szCs w:val="16"/>
                <w:color w:val="auto"/>
              </w:rPr>
              <w:t>10.16†</w:t>
            </w:r>
          </w:p>
        </w:tc>
        <w:tc>
          <w:tcPr>
            <w:tcW w:w="20" w:type="dxa"/>
            <w:vAlign w:val="bottom"/>
            <w:shd w:val="clear" w:color="auto" w:fill="CCEEFF"/>
          </w:tcPr>
          <w:p>
            <w:pPr>
              <w:spacing w:after="0"/>
              <w:rPr>
                <w:sz w:val="15"/>
                <w:szCs w:val="15"/>
                <w:color w:val="auto"/>
              </w:rPr>
            </w:pPr>
          </w:p>
        </w:tc>
        <w:tc>
          <w:tcPr>
            <w:tcW w:w="10180" w:type="dxa"/>
            <w:vAlign w:val="bottom"/>
            <w:gridSpan w:val="18"/>
            <w:shd w:val="clear" w:color="auto" w:fill="CCEEFF"/>
          </w:tcPr>
          <w:p>
            <w:pPr>
              <w:spacing w:after="0" w:line="175" w:lineRule="exact"/>
              <w:rPr>
                <w:rFonts w:ascii="Arial" w:cs="Arial" w:eastAsia="Arial" w:hAnsi="Arial"/>
                <w:sz w:val="16"/>
                <w:szCs w:val="16"/>
                <w:color w:val="0000FF"/>
                <w:w w:val="93"/>
              </w:rPr>
            </w:pPr>
            <w:hyperlink r:id="rId122">
              <w:r>
                <w:rPr>
                  <w:rFonts w:ascii="Arial" w:cs="Arial" w:eastAsia="Arial" w:hAnsi="Arial"/>
                  <w:sz w:val="16"/>
                  <w:szCs w:val="16"/>
                  <w:color w:val="0000FF"/>
                  <w:w w:val="93"/>
                </w:rPr>
                <w:t>First Amendment to Amended and Restated Employment Agreement, dated October 16, 2019, between The Simply Good Foods Company and Joseph E.</w:t>
              </w:r>
            </w:hyperlink>
          </w:p>
        </w:tc>
      </w:tr>
      <w:tr>
        <w:trPr>
          <w:trHeight w:val="163"/>
        </w:trPr>
        <w:tc>
          <w:tcPr>
            <w:tcW w:w="10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7340" w:type="dxa"/>
            <w:vAlign w:val="bottom"/>
            <w:tcBorders>
              <w:top w:val="single" w:sz="8" w:color="0000FF"/>
              <w:bottom w:val="single" w:sz="8" w:color="0000FF"/>
            </w:tcBorders>
            <w:gridSpan w:val="9"/>
            <w:shd w:val="clear" w:color="auto" w:fill="CCEEFF"/>
          </w:tcPr>
          <w:p>
            <w:pPr>
              <w:spacing w:after="0" w:line="142" w:lineRule="exact"/>
              <w:rPr>
                <w:rFonts w:ascii="Arial" w:cs="Arial" w:eastAsia="Arial" w:hAnsi="Arial"/>
                <w:sz w:val="16"/>
                <w:szCs w:val="16"/>
                <w:color w:val="0000FF"/>
                <w:w w:val="92"/>
              </w:rPr>
            </w:pPr>
            <w:hyperlink r:id="rId122">
              <w:r>
                <w:rPr>
                  <w:rFonts w:ascii="Arial" w:cs="Arial" w:eastAsia="Arial" w:hAnsi="Arial"/>
                  <w:sz w:val="16"/>
                  <w:szCs w:val="16"/>
                  <w:color w:val="0000FF"/>
                  <w:w w:val="92"/>
                </w:rPr>
                <w:t>Scalzo. (Incorporated by reference to Exhibit 10.1 to our Current Report on Form 8-K filed on October 18, 2019)</w:t>
              </w:r>
            </w:hyperlink>
          </w:p>
        </w:tc>
        <w:tc>
          <w:tcPr>
            <w:tcW w:w="2820" w:type="dxa"/>
            <w:vAlign w:val="bottom"/>
            <w:tcBorders>
              <w:top w:val="single" w:sz="8" w:color="0000FF"/>
              <w:bottom w:val="single" w:sz="8" w:color="CCEEFF"/>
            </w:tcBorders>
            <w:gridSpan w:val="8"/>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75"/>
        </w:trPr>
        <w:tc>
          <w:tcPr>
            <w:tcW w:w="1120" w:type="dxa"/>
            <w:vAlign w:val="bottom"/>
            <w:gridSpan w:val="2"/>
          </w:tcPr>
          <w:p>
            <w:pPr>
              <w:ind w:left="20"/>
              <w:spacing w:after="0" w:line="175" w:lineRule="exact"/>
              <w:rPr>
                <w:sz w:val="20"/>
                <w:szCs w:val="20"/>
                <w:color w:val="auto"/>
              </w:rPr>
            </w:pPr>
            <w:r>
              <w:rPr>
                <w:rFonts w:ascii="Arial" w:cs="Arial" w:eastAsia="Arial" w:hAnsi="Arial"/>
                <w:sz w:val="16"/>
                <w:szCs w:val="16"/>
                <w:color w:val="auto"/>
              </w:rPr>
              <w:t>10.17†</w:t>
            </w:r>
          </w:p>
        </w:tc>
        <w:tc>
          <w:tcPr>
            <w:tcW w:w="20" w:type="dxa"/>
            <w:vAlign w:val="bottom"/>
          </w:tcPr>
          <w:p>
            <w:pPr>
              <w:spacing w:after="0"/>
              <w:rPr>
                <w:sz w:val="15"/>
                <w:szCs w:val="15"/>
                <w:color w:val="auto"/>
              </w:rPr>
            </w:pPr>
          </w:p>
        </w:tc>
        <w:tc>
          <w:tcPr>
            <w:tcW w:w="10180" w:type="dxa"/>
            <w:vAlign w:val="bottom"/>
            <w:gridSpan w:val="18"/>
          </w:tcPr>
          <w:p>
            <w:pPr>
              <w:spacing w:after="0" w:line="175" w:lineRule="exact"/>
              <w:rPr>
                <w:rFonts w:ascii="Arial" w:cs="Arial" w:eastAsia="Arial" w:hAnsi="Arial"/>
                <w:sz w:val="16"/>
                <w:szCs w:val="16"/>
                <w:color w:val="0000FF"/>
                <w:w w:val="94"/>
              </w:rPr>
            </w:pPr>
            <w:hyperlink r:id="rId123">
              <w:r>
                <w:rPr>
                  <w:rFonts w:ascii="Arial" w:cs="Arial" w:eastAsia="Arial" w:hAnsi="Arial"/>
                  <w:sz w:val="16"/>
                  <w:szCs w:val="16"/>
                  <w:color w:val="0000FF"/>
                  <w:w w:val="94"/>
                </w:rPr>
                <w:t>Employment Agreement, dated November 5, 2019, between Quest Nutrition, LLC and David Ritterbush (incorporated by reference to Exhibit 10.2 of our</w:t>
              </w:r>
            </w:hyperlink>
          </w:p>
        </w:tc>
      </w:tr>
      <w:tr>
        <w:trPr>
          <w:trHeight w:val="142"/>
        </w:trPr>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120" w:type="dxa"/>
            <w:vAlign w:val="bottom"/>
            <w:tcBorders>
              <w:top w:val="single" w:sz="8" w:color="0000FF"/>
            </w:tcBorders>
            <w:gridSpan w:val="15"/>
          </w:tcPr>
          <w:p>
            <w:pPr>
              <w:spacing w:after="0" w:line="142" w:lineRule="exact"/>
              <w:rPr>
                <w:rFonts w:ascii="Arial" w:cs="Arial" w:eastAsia="Arial" w:hAnsi="Arial"/>
                <w:sz w:val="16"/>
                <w:szCs w:val="16"/>
                <w:color w:val="0000FF"/>
              </w:rPr>
            </w:pPr>
            <w:hyperlink r:id="rId123">
              <w:r>
                <w:rPr>
                  <w:rFonts w:ascii="Arial" w:cs="Arial" w:eastAsia="Arial" w:hAnsi="Arial"/>
                  <w:sz w:val="16"/>
                  <w:szCs w:val="16"/>
                  <w:color w:val="0000FF"/>
                </w:rPr>
                <w:t>Current Report on Form 8-K (File No. 001-38115) filed on November 7, 2019).</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760" w:type="dxa"/>
            <w:vAlign w:val="bottom"/>
            <w:tcBorders>
              <w:top w:val="single" w:sz="8" w:color="0000FF"/>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20" w:type="dxa"/>
            <w:vAlign w:val="bottom"/>
            <w:gridSpan w:val="2"/>
            <w:shd w:val="clear" w:color="auto" w:fill="CCEEFF"/>
          </w:tcPr>
          <w:p>
            <w:pPr>
              <w:ind w:left="20"/>
              <w:spacing w:after="0" w:line="175" w:lineRule="exact"/>
              <w:rPr>
                <w:sz w:val="20"/>
                <w:szCs w:val="20"/>
                <w:color w:val="auto"/>
              </w:rPr>
            </w:pPr>
            <w:r>
              <w:rPr>
                <w:rFonts w:ascii="Arial" w:cs="Arial" w:eastAsia="Arial" w:hAnsi="Arial"/>
                <w:sz w:val="16"/>
                <w:szCs w:val="16"/>
                <w:color w:val="auto"/>
              </w:rPr>
              <w:t>10.18†</w:t>
            </w:r>
          </w:p>
        </w:tc>
        <w:tc>
          <w:tcPr>
            <w:tcW w:w="20" w:type="dxa"/>
            <w:vAlign w:val="bottom"/>
            <w:shd w:val="clear" w:color="auto" w:fill="CCEEFF"/>
          </w:tcPr>
          <w:p>
            <w:pPr>
              <w:spacing w:after="0"/>
              <w:rPr>
                <w:sz w:val="15"/>
                <w:szCs w:val="15"/>
                <w:color w:val="auto"/>
              </w:rPr>
            </w:pPr>
          </w:p>
        </w:tc>
        <w:tc>
          <w:tcPr>
            <w:tcW w:w="10180" w:type="dxa"/>
            <w:vAlign w:val="bottom"/>
            <w:gridSpan w:val="18"/>
            <w:shd w:val="clear" w:color="auto" w:fill="CCEEFF"/>
          </w:tcPr>
          <w:p>
            <w:pPr>
              <w:spacing w:after="0" w:line="175" w:lineRule="exact"/>
              <w:rPr>
                <w:rFonts w:ascii="Arial" w:cs="Arial" w:eastAsia="Arial" w:hAnsi="Arial"/>
                <w:sz w:val="16"/>
                <w:szCs w:val="16"/>
                <w:color w:val="0000FF"/>
              </w:rPr>
            </w:pPr>
            <w:hyperlink r:id="rId124">
              <w:r>
                <w:rPr>
                  <w:rFonts w:ascii="Arial" w:cs="Arial" w:eastAsia="Arial" w:hAnsi="Arial"/>
                  <w:sz w:val="16"/>
                  <w:szCs w:val="16"/>
                  <w:color w:val="0000FF"/>
                </w:rPr>
                <w:t>2017 Omnibus Incentive Plan, as amended from time to time Policy Regarding Treatment of Awards in the Event of an Awardee’s Retirement</w:t>
              </w:r>
            </w:hyperlink>
          </w:p>
        </w:tc>
      </w:tr>
      <w:tr>
        <w:trPr>
          <w:trHeight w:val="163"/>
        </w:trPr>
        <w:tc>
          <w:tcPr>
            <w:tcW w:w="10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7000" w:type="dxa"/>
            <w:vAlign w:val="bottom"/>
            <w:tcBorders>
              <w:top w:val="single" w:sz="8" w:color="0000FF"/>
              <w:bottom w:val="single" w:sz="8" w:color="0000FF"/>
            </w:tcBorders>
            <w:gridSpan w:val="8"/>
            <w:shd w:val="clear" w:color="auto" w:fill="CCEEFF"/>
          </w:tcPr>
          <w:p>
            <w:pPr>
              <w:spacing w:after="0" w:line="142" w:lineRule="exact"/>
              <w:rPr>
                <w:rFonts w:ascii="Arial" w:cs="Arial" w:eastAsia="Arial" w:hAnsi="Arial"/>
                <w:sz w:val="16"/>
                <w:szCs w:val="16"/>
                <w:color w:val="0000FF"/>
                <w:w w:val="92"/>
              </w:rPr>
            </w:pPr>
            <w:hyperlink r:id="rId124">
              <w:r>
                <w:rPr>
                  <w:rFonts w:ascii="Arial" w:cs="Arial" w:eastAsia="Arial" w:hAnsi="Arial"/>
                  <w:sz w:val="16"/>
                  <w:szCs w:val="16"/>
                  <w:color w:val="0000FF"/>
                  <w:w w:val="92"/>
                </w:rPr>
                <w:t>(incorporated by reference to Exhibit 10.18 to our Annual Report on Form 10-K filed on October 28, 2020).</w:t>
              </w:r>
            </w:hyperlink>
          </w:p>
        </w:tc>
        <w:tc>
          <w:tcPr>
            <w:tcW w:w="3140" w:type="dxa"/>
            <w:vAlign w:val="bottom"/>
            <w:tcBorders>
              <w:top w:val="single" w:sz="8" w:color="0000FF"/>
              <w:bottom w:val="single" w:sz="8" w:color="CCEEFF"/>
            </w:tcBorders>
            <w:gridSpan w:val="8"/>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r>
      <w:tr>
        <w:trPr>
          <w:trHeight w:val="175"/>
        </w:trPr>
        <w:tc>
          <w:tcPr>
            <w:tcW w:w="1120" w:type="dxa"/>
            <w:vAlign w:val="bottom"/>
            <w:gridSpan w:val="2"/>
          </w:tcPr>
          <w:p>
            <w:pPr>
              <w:ind w:left="20"/>
              <w:spacing w:after="0" w:line="175" w:lineRule="exact"/>
              <w:rPr>
                <w:sz w:val="20"/>
                <w:szCs w:val="20"/>
                <w:color w:val="auto"/>
              </w:rPr>
            </w:pPr>
            <w:r>
              <w:rPr>
                <w:rFonts w:ascii="Arial" w:cs="Arial" w:eastAsia="Arial" w:hAnsi="Arial"/>
                <w:sz w:val="16"/>
                <w:szCs w:val="16"/>
                <w:color w:val="auto"/>
              </w:rPr>
              <w:t>10.19†</w:t>
            </w:r>
          </w:p>
        </w:tc>
        <w:tc>
          <w:tcPr>
            <w:tcW w:w="20" w:type="dxa"/>
            <w:vAlign w:val="bottom"/>
          </w:tcPr>
          <w:p>
            <w:pPr>
              <w:spacing w:after="0"/>
              <w:rPr>
                <w:sz w:val="15"/>
                <w:szCs w:val="15"/>
                <w:color w:val="auto"/>
              </w:rPr>
            </w:pPr>
          </w:p>
        </w:tc>
        <w:tc>
          <w:tcPr>
            <w:tcW w:w="10180" w:type="dxa"/>
            <w:vAlign w:val="bottom"/>
            <w:gridSpan w:val="18"/>
          </w:tcPr>
          <w:p>
            <w:pPr>
              <w:spacing w:after="0" w:line="175" w:lineRule="exact"/>
              <w:rPr>
                <w:rFonts w:ascii="Arial" w:cs="Arial" w:eastAsia="Arial" w:hAnsi="Arial"/>
                <w:sz w:val="16"/>
                <w:szCs w:val="16"/>
                <w:color w:val="0000FF"/>
                <w:w w:val="97"/>
              </w:rPr>
            </w:pPr>
            <w:hyperlink r:id="rId125">
              <w:r>
                <w:rPr>
                  <w:rFonts w:ascii="Arial" w:cs="Arial" w:eastAsia="Arial" w:hAnsi="Arial"/>
                  <w:sz w:val="16"/>
                  <w:szCs w:val="16"/>
                  <w:color w:val="0000FF"/>
                  <w:w w:val="97"/>
                </w:rPr>
                <w:t>Second Amendment to the Amended and Restated Employment Agreement, dated as of August 13, 2021 by and between The Simply Good Foods</w:t>
              </w:r>
            </w:hyperlink>
          </w:p>
        </w:tc>
      </w:tr>
      <w:tr>
        <w:trPr>
          <w:trHeight w:val="142"/>
        </w:trPr>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80" w:type="dxa"/>
            <w:vAlign w:val="bottom"/>
            <w:tcBorders>
              <w:top w:val="single" w:sz="8" w:color="0000FF"/>
            </w:tcBorders>
            <w:gridSpan w:val="13"/>
          </w:tcPr>
          <w:p>
            <w:pPr>
              <w:spacing w:after="0" w:line="142" w:lineRule="exact"/>
              <w:rPr>
                <w:rFonts w:ascii="Arial" w:cs="Arial" w:eastAsia="Arial" w:hAnsi="Arial"/>
                <w:sz w:val="16"/>
                <w:szCs w:val="16"/>
                <w:color w:val="0000FF"/>
              </w:rPr>
            </w:pPr>
            <w:hyperlink r:id="rId125">
              <w:r>
                <w:rPr>
                  <w:rFonts w:ascii="Arial" w:cs="Arial" w:eastAsia="Arial" w:hAnsi="Arial"/>
                  <w:sz w:val="16"/>
                  <w:szCs w:val="16"/>
                  <w:color w:val="0000FF"/>
                </w:rPr>
                <w:t>Company and Joseph Scalzo. (Incorporated by reference to Exhibit 10.1 to our Current Report on Form 8-K filed on August 13, 2021.)</w:t>
              </w:r>
            </w:hyperlink>
          </w:p>
        </w:tc>
        <w:tc>
          <w:tcPr>
            <w:tcW w:w="100" w:type="dxa"/>
            <w:vAlign w:val="bottom"/>
            <w:gridSpan w:val="5"/>
          </w:tcPr>
          <w:p>
            <w:pPr>
              <w:spacing w:after="0"/>
              <w:rPr>
                <w:sz w:val="12"/>
                <w:szCs w:val="12"/>
                <w:color w:val="auto"/>
              </w:rPr>
            </w:pPr>
          </w:p>
        </w:tc>
      </w:tr>
      <w:tr>
        <w:trPr>
          <w:trHeight w:val="21"/>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760" w:type="dxa"/>
            <w:vAlign w:val="bottom"/>
            <w:tcBorders>
              <w:top w:val="single" w:sz="8" w:color="0000FF"/>
            </w:tcBorders>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ind w:left="20"/>
              <w:spacing w:after="0" w:line="175" w:lineRule="exact"/>
              <w:rPr>
                <w:sz w:val="20"/>
                <w:szCs w:val="20"/>
                <w:color w:val="auto"/>
              </w:rPr>
            </w:pPr>
            <w:r>
              <w:rPr>
                <w:rFonts w:ascii="Arial" w:cs="Arial" w:eastAsia="Arial" w:hAnsi="Arial"/>
                <w:sz w:val="16"/>
                <w:szCs w:val="16"/>
                <w:color w:val="auto"/>
              </w:rPr>
              <w:t>21.1</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300" w:type="dxa"/>
            <w:vAlign w:val="bottom"/>
            <w:tcBorders>
              <w:bottom w:val="single" w:sz="8" w:color="0000FF"/>
            </w:tcBorders>
            <w:gridSpan w:val="3"/>
            <w:shd w:val="clear" w:color="auto" w:fill="CCEEFF"/>
          </w:tcPr>
          <w:p>
            <w:pPr>
              <w:spacing w:after="0" w:line="175" w:lineRule="exact"/>
              <w:rPr>
                <w:rFonts w:ascii="Arial" w:cs="Arial" w:eastAsia="Arial" w:hAnsi="Arial"/>
                <w:sz w:val="16"/>
                <w:szCs w:val="16"/>
                <w:color w:val="0000FF"/>
                <w:w w:val="91"/>
              </w:rPr>
            </w:pPr>
            <w:hyperlink w:anchor="page93">
              <w:r>
                <w:rPr>
                  <w:rFonts w:ascii="Arial" w:cs="Arial" w:eastAsia="Arial" w:hAnsi="Arial"/>
                  <w:sz w:val="16"/>
                  <w:szCs w:val="16"/>
                  <w:color w:val="0000FF"/>
                  <w:w w:val="91"/>
                </w:rPr>
                <w:t>Subsidiaries of The Simply Good Foods Company.</w:t>
              </w:r>
            </w:hyperlink>
          </w:p>
        </w:tc>
        <w:tc>
          <w:tcPr>
            <w:tcW w:w="6880" w:type="dxa"/>
            <w:vAlign w:val="bottom"/>
            <w:tcBorders>
              <w:bottom w:val="single" w:sz="8" w:color="CCEEFF"/>
            </w:tcBorders>
            <w:gridSpan w:val="15"/>
            <w:shd w:val="clear" w:color="auto" w:fill="CCEEFF"/>
          </w:tcPr>
          <w:p>
            <w:pPr>
              <w:spacing w:after="0"/>
              <w:rPr>
                <w:sz w:val="17"/>
                <w:szCs w:val="17"/>
                <w:color w:val="auto"/>
              </w:rPr>
            </w:pPr>
          </w:p>
        </w:tc>
      </w:tr>
      <w:tr>
        <w:trPr>
          <w:trHeight w:val="175"/>
        </w:trPr>
        <w:tc>
          <w:tcPr>
            <w:tcW w:w="1020" w:type="dxa"/>
            <w:vAlign w:val="bottom"/>
          </w:tcPr>
          <w:p>
            <w:pPr>
              <w:ind w:left="20"/>
              <w:spacing w:after="0" w:line="175" w:lineRule="exact"/>
              <w:rPr>
                <w:sz w:val="20"/>
                <w:szCs w:val="20"/>
                <w:color w:val="auto"/>
              </w:rPr>
            </w:pPr>
            <w:r>
              <w:rPr>
                <w:rFonts w:ascii="Arial" w:cs="Arial" w:eastAsia="Arial" w:hAnsi="Arial"/>
                <w:sz w:val="16"/>
                <w:szCs w:val="16"/>
                <w:color w:val="auto"/>
              </w:rPr>
              <w:t>23.1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80" w:type="dxa"/>
            <w:vAlign w:val="bottom"/>
            <w:gridSpan w:val="18"/>
          </w:tcPr>
          <w:p>
            <w:pPr>
              <w:spacing w:after="0" w:line="175" w:lineRule="exact"/>
              <w:rPr>
                <w:rFonts w:ascii="Arial" w:cs="Arial" w:eastAsia="Arial" w:hAnsi="Arial"/>
                <w:sz w:val="16"/>
                <w:szCs w:val="16"/>
                <w:color w:val="0000FF"/>
              </w:rPr>
            </w:pPr>
            <w:hyperlink w:anchor="page94">
              <w:r>
                <w:rPr>
                  <w:rFonts w:ascii="Arial" w:cs="Arial" w:eastAsia="Arial" w:hAnsi="Arial"/>
                  <w:sz w:val="16"/>
                  <w:szCs w:val="16"/>
                  <w:color w:val="0000FF"/>
                </w:rPr>
                <w:t>Consent of Deloitte &amp; Touche LLP.</w:t>
              </w:r>
            </w:hyperlink>
          </w:p>
        </w:tc>
      </w:tr>
      <w:tr>
        <w:trPr>
          <w:trHeight w:val="21"/>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ind w:left="20"/>
              <w:spacing w:after="0" w:line="175" w:lineRule="exact"/>
              <w:rPr>
                <w:sz w:val="20"/>
                <w:szCs w:val="20"/>
                <w:color w:val="auto"/>
              </w:rPr>
            </w:pPr>
            <w:r>
              <w:rPr>
                <w:rFonts w:ascii="Arial" w:cs="Arial" w:eastAsia="Arial" w:hAnsi="Arial"/>
                <w:sz w:val="16"/>
                <w:szCs w:val="16"/>
                <w:color w:val="auto"/>
              </w:rPr>
              <w:t>31.1</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720" w:type="dxa"/>
            <w:vAlign w:val="bottom"/>
            <w:tcBorders>
              <w:bottom w:val="single" w:sz="8" w:color="0000FF"/>
            </w:tcBorders>
            <w:gridSpan w:val="7"/>
            <w:shd w:val="clear" w:color="auto" w:fill="CCEEFF"/>
          </w:tcPr>
          <w:p>
            <w:pPr>
              <w:spacing w:after="0" w:line="175" w:lineRule="exact"/>
              <w:rPr>
                <w:rFonts w:ascii="Arial" w:cs="Arial" w:eastAsia="Arial" w:hAnsi="Arial"/>
                <w:sz w:val="16"/>
                <w:szCs w:val="16"/>
                <w:color w:val="0000FF"/>
                <w:w w:val="93"/>
              </w:rPr>
            </w:pPr>
            <w:hyperlink w:anchor="page95">
              <w:r>
                <w:rPr>
                  <w:rFonts w:ascii="Arial" w:cs="Arial" w:eastAsia="Arial" w:hAnsi="Arial"/>
                  <w:sz w:val="16"/>
                  <w:szCs w:val="16"/>
                  <w:color w:val="0000FF"/>
                  <w:w w:val="93"/>
                </w:rPr>
                <w:t>Certification of Principal Executive Officer pursuant to Section 302 of the Sarbanes Oxley Act of 2002.</w:t>
              </w:r>
            </w:hyperlink>
          </w:p>
        </w:tc>
        <w:tc>
          <w:tcPr>
            <w:tcW w:w="3460" w:type="dxa"/>
            <w:vAlign w:val="bottom"/>
            <w:tcBorders>
              <w:bottom w:val="single" w:sz="8" w:color="CCEEFF"/>
            </w:tcBorders>
            <w:gridSpan w:val="11"/>
            <w:shd w:val="clear" w:color="auto" w:fill="CCEEFF"/>
          </w:tcPr>
          <w:p>
            <w:pPr>
              <w:spacing w:after="0"/>
              <w:rPr>
                <w:sz w:val="17"/>
                <w:szCs w:val="17"/>
                <w:color w:val="auto"/>
              </w:rPr>
            </w:pPr>
          </w:p>
        </w:tc>
      </w:tr>
      <w:tr>
        <w:trPr>
          <w:trHeight w:val="176"/>
        </w:trPr>
        <w:tc>
          <w:tcPr>
            <w:tcW w:w="1020" w:type="dxa"/>
            <w:vAlign w:val="bottom"/>
          </w:tcPr>
          <w:p>
            <w:pPr>
              <w:ind w:left="20"/>
              <w:spacing w:after="0" w:line="175" w:lineRule="exact"/>
              <w:rPr>
                <w:sz w:val="20"/>
                <w:szCs w:val="20"/>
                <w:color w:val="auto"/>
              </w:rPr>
            </w:pPr>
            <w:r>
              <w:rPr>
                <w:rFonts w:ascii="Arial" w:cs="Arial" w:eastAsia="Arial" w:hAnsi="Arial"/>
                <w:sz w:val="16"/>
                <w:szCs w:val="16"/>
                <w:color w:val="auto"/>
              </w:rPr>
              <w:t>31.2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80" w:type="dxa"/>
            <w:vAlign w:val="bottom"/>
            <w:gridSpan w:val="18"/>
          </w:tcPr>
          <w:p>
            <w:pPr>
              <w:spacing w:after="0" w:line="175" w:lineRule="exact"/>
              <w:rPr>
                <w:rFonts w:ascii="Arial" w:cs="Arial" w:eastAsia="Arial" w:hAnsi="Arial"/>
                <w:sz w:val="16"/>
                <w:szCs w:val="16"/>
                <w:color w:val="0000FF"/>
              </w:rPr>
            </w:pPr>
            <w:hyperlink w:anchor="page96">
              <w:r>
                <w:rPr>
                  <w:rFonts w:ascii="Arial" w:cs="Arial" w:eastAsia="Arial" w:hAnsi="Arial"/>
                  <w:sz w:val="16"/>
                  <w:szCs w:val="16"/>
                  <w:color w:val="0000FF"/>
                </w:rPr>
                <w:t>Certification of Principal Financial Officer pursuant to Section 302 of the Sarbanes Oxley Act of 2002.</w:t>
              </w:r>
            </w:hyperlink>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760" w:type="dxa"/>
            <w:vAlign w:val="bottom"/>
            <w:tcBorders>
              <w:top w:val="single" w:sz="8" w:color="0000FF"/>
            </w:tcBorders>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ind w:left="20"/>
              <w:spacing w:after="0" w:line="175" w:lineRule="exact"/>
              <w:rPr>
                <w:sz w:val="20"/>
                <w:szCs w:val="20"/>
                <w:color w:val="auto"/>
              </w:rPr>
            </w:pPr>
            <w:r>
              <w:rPr>
                <w:rFonts w:ascii="Arial" w:cs="Arial" w:eastAsia="Arial" w:hAnsi="Arial"/>
                <w:sz w:val="16"/>
                <w:szCs w:val="16"/>
                <w:color w:val="auto"/>
              </w:rPr>
              <w:t>32.1</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220" w:type="dxa"/>
            <w:vAlign w:val="bottom"/>
            <w:tcBorders>
              <w:bottom w:val="single" w:sz="8" w:color="0000FF"/>
            </w:tcBorders>
            <w:gridSpan w:val="10"/>
            <w:shd w:val="clear" w:color="auto" w:fill="CCEEFF"/>
          </w:tcPr>
          <w:p>
            <w:pPr>
              <w:spacing w:after="0" w:line="175" w:lineRule="exact"/>
              <w:rPr>
                <w:rFonts w:ascii="Arial" w:cs="Arial" w:eastAsia="Arial" w:hAnsi="Arial"/>
                <w:sz w:val="16"/>
                <w:szCs w:val="16"/>
                <w:color w:val="0000FF"/>
                <w:w w:val="93"/>
              </w:rPr>
            </w:pPr>
            <w:hyperlink w:anchor="page97">
              <w:r>
                <w:rPr>
                  <w:rFonts w:ascii="Arial" w:cs="Arial" w:eastAsia="Arial" w:hAnsi="Arial"/>
                  <w:sz w:val="16"/>
                  <w:szCs w:val="16"/>
                  <w:color w:val="0000FF"/>
                  <w:w w:val="93"/>
                </w:rPr>
                <w:t>Certification of Principal Executive Officer and Principal Financial Officer pursuant to Section 906 of the Sarbanes Oxley Act.</w:t>
              </w:r>
            </w:hyperlink>
          </w:p>
        </w:tc>
        <w:tc>
          <w:tcPr>
            <w:tcW w:w="1960" w:type="dxa"/>
            <w:vAlign w:val="bottom"/>
            <w:tcBorders>
              <w:bottom w:val="single" w:sz="8" w:color="CCEEFF"/>
            </w:tcBorders>
            <w:gridSpan w:val="8"/>
            <w:shd w:val="clear" w:color="auto" w:fill="CCEEFF"/>
          </w:tcPr>
          <w:p>
            <w:pPr>
              <w:spacing w:after="0"/>
              <w:rPr>
                <w:sz w:val="17"/>
                <w:szCs w:val="17"/>
                <w:color w:val="auto"/>
              </w:rPr>
            </w:pPr>
          </w:p>
        </w:tc>
      </w:tr>
      <w:tr>
        <w:trPr>
          <w:trHeight w:val="213"/>
        </w:trPr>
        <w:tc>
          <w:tcPr>
            <w:tcW w:w="1120" w:type="dxa"/>
            <w:vAlign w:val="bottom"/>
            <w:gridSpan w:val="2"/>
          </w:tcPr>
          <w:p>
            <w:pPr>
              <w:ind w:left="20"/>
              <w:spacing w:after="0"/>
              <w:rPr>
                <w:sz w:val="20"/>
                <w:szCs w:val="20"/>
                <w:color w:val="auto"/>
              </w:rPr>
            </w:pPr>
            <w:r>
              <w:rPr>
                <w:rFonts w:ascii="Arial" w:cs="Arial" w:eastAsia="Arial" w:hAnsi="Arial"/>
                <w:sz w:val="16"/>
                <w:szCs w:val="16"/>
                <w:color w:val="auto"/>
              </w:rPr>
              <w:t>101.INS</w:t>
            </w:r>
          </w:p>
        </w:tc>
        <w:tc>
          <w:tcPr>
            <w:tcW w:w="20" w:type="dxa"/>
            <w:vAlign w:val="bottom"/>
          </w:tcPr>
          <w:p>
            <w:pPr>
              <w:spacing w:after="0"/>
              <w:rPr>
                <w:sz w:val="18"/>
                <w:szCs w:val="18"/>
                <w:color w:val="auto"/>
              </w:rPr>
            </w:pPr>
          </w:p>
        </w:tc>
        <w:tc>
          <w:tcPr>
            <w:tcW w:w="10180" w:type="dxa"/>
            <w:vAlign w:val="bottom"/>
            <w:gridSpan w:val="18"/>
          </w:tcPr>
          <w:p>
            <w:pPr>
              <w:spacing w:after="0"/>
              <w:rPr>
                <w:sz w:val="20"/>
                <w:szCs w:val="20"/>
                <w:color w:val="auto"/>
              </w:rPr>
            </w:pPr>
            <w:r>
              <w:rPr>
                <w:rFonts w:ascii="Arial" w:cs="Arial" w:eastAsia="Arial" w:hAnsi="Arial"/>
                <w:sz w:val="16"/>
                <w:szCs w:val="16"/>
                <w:color w:val="auto"/>
              </w:rPr>
              <w:t>XBRL Instance Document</w:t>
            </w:r>
          </w:p>
        </w:tc>
      </w:tr>
      <w:tr>
        <w:trPr>
          <w:trHeight w:val="219"/>
        </w:trPr>
        <w:tc>
          <w:tcPr>
            <w:tcW w:w="1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101.SCH</w:t>
            </w:r>
          </w:p>
        </w:tc>
        <w:tc>
          <w:tcPr>
            <w:tcW w:w="20" w:type="dxa"/>
            <w:vAlign w:val="bottom"/>
            <w:shd w:val="clear" w:color="auto" w:fill="CCEEFF"/>
          </w:tcPr>
          <w:p>
            <w:pPr>
              <w:spacing w:after="0"/>
              <w:rPr>
                <w:sz w:val="19"/>
                <w:szCs w:val="19"/>
                <w:color w:val="auto"/>
              </w:rPr>
            </w:pPr>
          </w:p>
        </w:tc>
        <w:tc>
          <w:tcPr>
            <w:tcW w:w="10180" w:type="dxa"/>
            <w:vAlign w:val="bottom"/>
            <w:gridSpan w:val="18"/>
            <w:shd w:val="clear" w:color="auto" w:fill="CCEEFF"/>
          </w:tcPr>
          <w:p>
            <w:pPr>
              <w:spacing w:after="0"/>
              <w:rPr>
                <w:sz w:val="20"/>
                <w:szCs w:val="20"/>
                <w:color w:val="auto"/>
              </w:rPr>
            </w:pPr>
            <w:r>
              <w:rPr>
                <w:rFonts w:ascii="Arial" w:cs="Arial" w:eastAsia="Arial" w:hAnsi="Arial"/>
                <w:sz w:val="16"/>
                <w:szCs w:val="16"/>
                <w:color w:val="auto"/>
              </w:rPr>
              <w:t>XBRL Taxonomy Extension Schema Document</w:t>
            </w:r>
          </w:p>
        </w:tc>
      </w:tr>
      <w:tr>
        <w:trPr>
          <w:trHeight w:val="213"/>
        </w:trPr>
        <w:tc>
          <w:tcPr>
            <w:tcW w:w="1120" w:type="dxa"/>
            <w:vAlign w:val="bottom"/>
            <w:gridSpan w:val="2"/>
          </w:tcPr>
          <w:p>
            <w:pPr>
              <w:ind w:left="20"/>
              <w:spacing w:after="0"/>
              <w:rPr>
                <w:sz w:val="20"/>
                <w:szCs w:val="20"/>
                <w:color w:val="auto"/>
              </w:rPr>
            </w:pPr>
            <w:r>
              <w:rPr>
                <w:rFonts w:ascii="Arial" w:cs="Arial" w:eastAsia="Arial" w:hAnsi="Arial"/>
                <w:sz w:val="16"/>
                <w:szCs w:val="16"/>
                <w:color w:val="auto"/>
              </w:rPr>
              <w:t>101.CAL</w:t>
            </w:r>
          </w:p>
        </w:tc>
        <w:tc>
          <w:tcPr>
            <w:tcW w:w="20" w:type="dxa"/>
            <w:vAlign w:val="bottom"/>
          </w:tcPr>
          <w:p>
            <w:pPr>
              <w:spacing w:after="0"/>
              <w:rPr>
                <w:sz w:val="18"/>
                <w:szCs w:val="18"/>
                <w:color w:val="auto"/>
              </w:rPr>
            </w:pPr>
          </w:p>
        </w:tc>
        <w:tc>
          <w:tcPr>
            <w:tcW w:w="10180" w:type="dxa"/>
            <w:vAlign w:val="bottom"/>
            <w:gridSpan w:val="18"/>
          </w:tcPr>
          <w:p>
            <w:pPr>
              <w:spacing w:after="0"/>
              <w:rPr>
                <w:sz w:val="20"/>
                <w:szCs w:val="20"/>
                <w:color w:val="auto"/>
              </w:rPr>
            </w:pPr>
            <w:r>
              <w:rPr>
                <w:rFonts w:ascii="Arial" w:cs="Arial" w:eastAsia="Arial" w:hAnsi="Arial"/>
                <w:sz w:val="16"/>
                <w:szCs w:val="16"/>
                <w:color w:val="auto"/>
              </w:rPr>
              <w:t>XBRL Taxonomy Extension Calculation Linkbase Document</w:t>
            </w:r>
          </w:p>
        </w:tc>
      </w:tr>
      <w:tr>
        <w:trPr>
          <w:trHeight w:val="219"/>
        </w:trPr>
        <w:tc>
          <w:tcPr>
            <w:tcW w:w="1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101.DEF</w:t>
            </w:r>
          </w:p>
        </w:tc>
        <w:tc>
          <w:tcPr>
            <w:tcW w:w="20" w:type="dxa"/>
            <w:vAlign w:val="bottom"/>
            <w:shd w:val="clear" w:color="auto" w:fill="CCEEFF"/>
          </w:tcPr>
          <w:p>
            <w:pPr>
              <w:spacing w:after="0"/>
              <w:rPr>
                <w:sz w:val="19"/>
                <w:szCs w:val="19"/>
                <w:color w:val="auto"/>
              </w:rPr>
            </w:pPr>
          </w:p>
        </w:tc>
        <w:tc>
          <w:tcPr>
            <w:tcW w:w="10180" w:type="dxa"/>
            <w:vAlign w:val="bottom"/>
            <w:gridSpan w:val="18"/>
            <w:shd w:val="clear" w:color="auto" w:fill="CCEEFF"/>
          </w:tcPr>
          <w:p>
            <w:pPr>
              <w:spacing w:after="0"/>
              <w:rPr>
                <w:sz w:val="20"/>
                <w:szCs w:val="20"/>
                <w:color w:val="auto"/>
              </w:rPr>
            </w:pPr>
            <w:r>
              <w:rPr>
                <w:rFonts w:ascii="Arial" w:cs="Arial" w:eastAsia="Arial" w:hAnsi="Arial"/>
                <w:sz w:val="16"/>
                <w:szCs w:val="16"/>
                <w:color w:val="auto"/>
              </w:rPr>
              <w:t>XBRL Taxonomy Extension Definition Linkbase Document</w:t>
            </w:r>
          </w:p>
        </w:tc>
      </w:tr>
      <w:tr>
        <w:trPr>
          <w:trHeight w:val="213"/>
        </w:trPr>
        <w:tc>
          <w:tcPr>
            <w:tcW w:w="1120" w:type="dxa"/>
            <w:vAlign w:val="bottom"/>
            <w:gridSpan w:val="2"/>
          </w:tcPr>
          <w:p>
            <w:pPr>
              <w:ind w:left="20"/>
              <w:spacing w:after="0"/>
              <w:rPr>
                <w:sz w:val="20"/>
                <w:szCs w:val="20"/>
                <w:color w:val="auto"/>
              </w:rPr>
            </w:pPr>
            <w:r>
              <w:rPr>
                <w:rFonts w:ascii="Arial" w:cs="Arial" w:eastAsia="Arial" w:hAnsi="Arial"/>
                <w:sz w:val="16"/>
                <w:szCs w:val="16"/>
                <w:color w:val="auto"/>
              </w:rPr>
              <w:t>101.LAB</w:t>
            </w:r>
          </w:p>
        </w:tc>
        <w:tc>
          <w:tcPr>
            <w:tcW w:w="20" w:type="dxa"/>
            <w:vAlign w:val="bottom"/>
          </w:tcPr>
          <w:p>
            <w:pPr>
              <w:spacing w:after="0"/>
              <w:rPr>
                <w:sz w:val="18"/>
                <w:szCs w:val="18"/>
                <w:color w:val="auto"/>
              </w:rPr>
            </w:pPr>
          </w:p>
        </w:tc>
        <w:tc>
          <w:tcPr>
            <w:tcW w:w="10180" w:type="dxa"/>
            <w:vAlign w:val="bottom"/>
            <w:gridSpan w:val="18"/>
          </w:tcPr>
          <w:p>
            <w:pPr>
              <w:spacing w:after="0"/>
              <w:rPr>
                <w:sz w:val="20"/>
                <w:szCs w:val="20"/>
                <w:color w:val="auto"/>
              </w:rPr>
            </w:pPr>
            <w:r>
              <w:rPr>
                <w:rFonts w:ascii="Arial" w:cs="Arial" w:eastAsia="Arial" w:hAnsi="Arial"/>
                <w:sz w:val="16"/>
                <w:szCs w:val="16"/>
                <w:color w:val="auto"/>
              </w:rPr>
              <w:t>XBRL Taxonomy Extension Label Linkbase Document</w:t>
            </w:r>
          </w:p>
        </w:tc>
      </w:tr>
      <w:tr>
        <w:trPr>
          <w:trHeight w:val="219"/>
        </w:trPr>
        <w:tc>
          <w:tcPr>
            <w:tcW w:w="1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101.PRE</w:t>
            </w:r>
          </w:p>
        </w:tc>
        <w:tc>
          <w:tcPr>
            <w:tcW w:w="20" w:type="dxa"/>
            <w:vAlign w:val="bottom"/>
            <w:shd w:val="clear" w:color="auto" w:fill="CCEEFF"/>
          </w:tcPr>
          <w:p>
            <w:pPr>
              <w:spacing w:after="0"/>
              <w:rPr>
                <w:sz w:val="19"/>
                <w:szCs w:val="19"/>
                <w:color w:val="auto"/>
              </w:rPr>
            </w:pPr>
          </w:p>
        </w:tc>
        <w:tc>
          <w:tcPr>
            <w:tcW w:w="10180" w:type="dxa"/>
            <w:vAlign w:val="bottom"/>
            <w:gridSpan w:val="18"/>
            <w:shd w:val="clear" w:color="auto" w:fill="CCEEFF"/>
          </w:tcPr>
          <w:p>
            <w:pPr>
              <w:spacing w:after="0"/>
              <w:rPr>
                <w:sz w:val="20"/>
                <w:szCs w:val="20"/>
                <w:color w:val="auto"/>
              </w:rPr>
            </w:pPr>
            <w:r>
              <w:rPr>
                <w:rFonts w:ascii="Arial" w:cs="Arial" w:eastAsia="Arial" w:hAnsi="Arial"/>
                <w:sz w:val="16"/>
                <w:szCs w:val="16"/>
                <w:color w:val="auto"/>
              </w:rPr>
              <w:t>XBRL Taxonomy Extension Presentation Linkbase Document</w:t>
            </w:r>
          </w:p>
        </w:tc>
      </w:tr>
    </w:tbl>
    <w:p>
      <w:pPr>
        <w:spacing w:after="0" w:line="4" w:lineRule="exact"/>
        <w:rPr>
          <w:sz w:val="20"/>
          <w:szCs w:val="20"/>
          <w:color w:val="auto"/>
        </w:rPr>
      </w:pPr>
    </w:p>
    <w:p>
      <w:pPr>
        <w:ind w:left="1140" w:hanging="1114"/>
        <w:spacing w:after="0"/>
        <w:tabs>
          <w:tab w:leader="none" w:pos="11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Cover Page Interactive Data File (embedded within the Inline XBRL document and contained in Exhibit 101).</w:t>
      </w:r>
    </w:p>
    <w:p>
      <w:pPr>
        <w:spacing w:after="0" w:line="9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b w:val="1"/>
          <w:bCs w:val="1"/>
          <w:color w:val="auto"/>
        </w:rPr>
        <w:t>____________________</w:t>
      </w:r>
    </w:p>
    <w:p>
      <w:pPr>
        <w:spacing w:after="0" w:line="153" w:lineRule="exact"/>
        <w:rPr>
          <w:sz w:val="20"/>
          <w:szCs w:val="20"/>
          <w:color w:val="auto"/>
        </w:rPr>
      </w:pPr>
    </w:p>
    <w:p>
      <w:pPr>
        <w:ind w:left="360" w:hanging="334"/>
        <w:spacing w:after="0"/>
        <w:tabs>
          <w:tab w:leader="none" w:pos="3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Indicates a management contract or compensatory plan.</w:t>
      </w:r>
    </w:p>
    <w:p>
      <w:pPr>
        <w:spacing w:after="0" w:line="32" w:lineRule="exact"/>
        <w:rPr>
          <w:sz w:val="20"/>
          <w:szCs w:val="20"/>
          <w:color w:val="auto"/>
        </w:rPr>
      </w:pPr>
    </w:p>
    <w:p>
      <w:pPr>
        <w:ind w:left="360" w:right="440" w:hanging="334"/>
        <w:spacing w:after="0"/>
        <w:tabs>
          <w:tab w:leader="none" w:pos="3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Certain schedules and exhibits to this agreement have been omitted in accordance with Item 601(b)(2) of Regulation S-K. A copy of any omitted schedule and/or exhibit will be furnished to the Securities and Exchange Commission upon request.</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0" w:name="page91"/>
    <w:bookmarkEnd w:id="90"/>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1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220"/>
        <w:spacing w:after="0"/>
        <w:rPr>
          <w:sz w:val="20"/>
          <w:szCs w:val="20"/>
          <w:color w:val="auto"/>
        </w:rPr>
      </w:pPr>
      <w:r>
        <w:rPr>
          <w:rFonts w:ascii="Arial" w:cs="Arial" w:eastAsia="Arial" w:hAnsi="Arial"/>
          <w:sz w:val="16"/>
          <w:szCs w:val="16"/>
          <w:b w:val="1"/>
          <w:bCs w:val="1"/>
          <w:color w:val="auto"/>
        </w:rPr>
        <w:t>THE SIMPLY GOOD FOODS COMPANY</w:t>
      </w:r>
    </w:p>
    <w:p>
      <w:pPr>
        <w:spacing w:after="0" w:line="200" w:lineRule="exact"/>
        <w:rPr>
          <w:sz w:val="20"/>
          <w:szCs w:val="20"/>
          <w:color w:val="auto"/>
        </w:rPr>
      </w:pPr>
    </w:p>
    <w:p>
      <w:pPr>
        <w:spacing w:after="0" w:line="241" w:lineRule="exact"/>
        <w:rPr>
          <w:sz w:val="20"/>
          <w:szCs w:val="20"/>
          <w:color w:val="auto"/>
        </w:rPr>
      </w:pPr>
    </w:p>
    <w:tbl>
      <w:tblPr>
        <w:tblLayout w:type="fixed"/>
        <w:tblInd w:w="1660" w:type="dxa"/>
        <w:tblCellMar>
          <w:top w:w="0" w:type="dxa"/>
          <w:left w:w="0" w:type="dxa"/>
          <w:bottom w:w="0" w:type="dxa"/>
          <w:right w:w="0" w:type="dxa"/>
        </w:tblCellMar>
      </w:tblPr>
      <w:tr>
        <w:trPr>
          <w:trHeight w:val="206"/>
        </w:trPr>
        <w:tc>
          <w:tcPr>
            <w:tcW w:w="4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5540" w:type="dxa"/>
            <w:vAlign w:val="bottom"/>
            <w:gridSpan w:val="2"/>
          </w:tcPr>
          <w:p>
            <w:pPr>
              <w:ind w:left="880"/>
              <w:spacing w:after="0"/>
              <w:rPr>
                <w:sz w:val="20"/>
                <w:szCs w:val="20"/>
                <w:color w:val="auto"/>
              </w:rPr>
            </w:pPr>
            <w:r>
              <w:rPr>
                <w:rFonts w:ascii="Arial" w:cs="Arial" w:eastAsia="Arial" w:hAnsi="Arial"/>
                <w:sz w:val="16"/>
                <w:szCs w:val="16"/>
                <w:color w:val="auto"/>
              </w:rPr>
              <w:t>By: /s/ Joseph E. Scalzo</w:t>
            </w:r>
          </w:p>
        </w:tc>
        <w:tc>
          <w:tcPr>
            <w:tcW w:w="0" w:type="dxa"/>
            <w:vAlign w:val="bottom"/>
          </w:tcPr>
          <w:p>
            <w:pPr>
              <w:spacing w:after="0"/>
              <w:rPr>
                <w:sz w:val="1"/>
                <w:szCs w:val="1"/>
                <w:color w:val="auto"/>
              </w:rPr>
            </w:pPr>
          </w:p>
        </w:tc>
      </w:tr>
      <w:tr>
        <w:trPr>
          <w:trHeight w:val="20"/>
        </w:trPr>
        <w:tc>
          <w:tcPr>
            <w:tcW w:w="480" w:type="dxa"/>
            <w:vAlign w:val="bottom"/>
            <w:vMerge w:val="restart"/>
          </w:tcPr>
          <w:p>
            <w:pPr>
              <w:spacing w:after="0"/>
              <w:rPr>
                <w:sz w:val="20"/>
                <w:szCs w:val="20"/>
                <w:color w:val="auto"/>
              </w:rPr>
            </w:pPr>
            <w:r>
              <w:rPr>
                <w:rFonts w:ascii="Arial" w:cs="Arial" w:eastAsia="Arial" w:hAnsi="Arial"/>
                <w:sz w:val="16"/>
                <w:szCs w:val="16"/>
                <w:color w:val="auto"/>
              </w:rPr>
              <w:t>Date:</w:t>
            </w:r>
          </w:p>
        </w:tc>
        <w:tc>
          <w:tcPr>
            <w:tcW w:w="1920" w:type="dxa"/>
            <w:vAlign w:val="bottom"/>
            <w:vMerge w:val="restart"/>
          </w:tcPr>
          <w:p>
            <w:pPr>
              <w:ind w:left="120"/>
              <w:spacing w:after="0"/>
              <w:rPr>
                <w:sz w:val="20"/>
                <w:szCs w:val="20"/>
                <w:color w:val="auto"/>
              </w:rPr>
            </w:pPr>
            <w:r>
              <w:rPr>
                <w:rFonts w:ascii="Arial" w:cs="Arial" w:eastAsia="Arial" w:hAnsi="Arial"/>
                <w:sz w:val="16"/>
                <w:szCs w:val="16"/>
                <w:color w:val="auto"/>
              </w:rPr>
              <w:t>October 26, 2021</w:t>
            </w:r>
          </w:p>
        </w:tc>
        <w:tc>
          <w:tcPr>
            <w:tcW w:w="1140" w:type="dxa"/>
            <w:vAlign w:val="bottom"/>
          </w:tcPr>
          <w:p>
            <w:pPr>
              <w:spacing w:after="0" w:line="20" w:lineRule="exact"/>
              <w:rPr>
                <w:sz w:val="1"/>
                <w:szCs w:val="1"/>
                <w:color w:val="auto"/>
              </w:rPr>
            </w:pPr>
          </w:p>
        </w:tc>
        <w:tc>
          <w:tcPr>
            <w:tcW w:w="4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8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5540" w:type="dxa"/>
            <w:vAlign w:val="bottom"/>
            <w:gridSpan w:val="2"/>
            <w:vMerge w:val="restart"/>
          </w:tcPr>
          <w:p>
            <w:pPr>
              <w:ind w:left="680"/>
              <w:spacing w:after="0"/>
              <w:rPr>
                <w:sz w:val="20"/>
                <w:szCs w:val="20"/>
                <w:color w:val="auto"/>
              </w:rPr>
            </w:pPr>
            <w:r>
              <w:rPr>
                <w:rFonts w:ascii="Arial" w:cs="Arial" w:eastAsia="Arial" w:hAnsi="Arial"/>
                <w:sz w:val="16"/>
                <w:szCs w:val="16"/>
                <w:color w:val="auto"/>
              </w:rPr>
              <w:t>Name: Joseph E. Scalzo</w:t>
            </w:r>
          </w:p>
        </w:tc>
        <w:tc>
          <w:tcPr>
            <w:tcW w:w="0" w:type="dxa"/>
            <w:vAlign w:val="bottom"/>
          </w:tcPr>
          <w:p>
            <w:pPr>
              <w:spacing w:after="0"/>
              <w:rPr>
                <w:sz w:val="1"/>
                <w:szCs w:val="1"/>
                <w:color w:val="auto"/>
              </w:rPr>
            </w:pPr>
          </w:p>
        </w:tc>
      </w:tr>
      <w:tr>
        <w:trPr>
          <w:trHeight w:val="81"/>
        </w:trPr>
        <w:tc>
          <w:tcPr>
            <w:tcW w:w="480" w:type="dxa"/>
            <w:vAlign w:val="bottom"/>
          </w:tcPr>
          <w:p>
            <w:pPr>
              <w:spacing w:after="0"/>
              <w:rPr>
                <w:sz w:val="7"/>
                <w:szCs w:val="7"/>
                <w:color w:val="auto"/>
              </w:rPr>
            </w:pPr>
          </w:p>
        </w:tc>
        <w:tc>
          <w:tcPr>
            <w:tcW w:w="1920" w:type="dxa"/>
            <w:vAlign w:val="bottom"/>
          </w:tcPr>
          <w:p>
            <w:pPr>
              <w:spacing w:after="0"/>
              <w:rPr>
                <w:sz w:val="7"/>
                <w:szCs w:val="7"/>
                <w:color w:val="auto"/>
              </w:rPr>
            </w:pPr>
          </w:p>
        </w:tc>
        <w:tc>
          <w:tcPr>
            <w:tcW w:w="55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24"/>
        </w:trPr>
        <w:tc>
          <w:tcPr>
            <w:tcW w:w="4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540" w:type="dxa"/>
            <w:vAlign w:val="bottom"/>
            <w:gridSpan w:val="2"/>
          </w:tcPr>
          <w:p>
            <w:pPr>
              <w:ind w:left="760"/>
              <w:spacing w:after="0"/>
              <w:rPr>
                <w:sz w:val="20"/>
                <w:szCs w:val="20"/>
                <w:color w:val="auto"/>
              </w:rPr>
            </w:pPr>
            <w:r>
              <w:rPr>
                <w:rFonts w:ascii="Arial" w:cs="Arial" w:eastAsia="Arial" w:hAnsi="Arial"/>
                <w:sz w:val="16"/>
                <w:szCs w:val="16"/>
                <w:color w:val="auto"/>
              </w:rPr>
              <w:t>Title: President and Chief Executive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688" w:right="459" w:bottom="1440" w:gutter="0" w:footer="0" w:header="0"/>
        </w:sectPr>
      </w:pPr>
    </w:p>
    <w:bookmarkStart w:id="91" w:name="page92"/>
    <w:bookmarkEnd w:id="91"/>
    <w:p>
      <w:pPr>
        <w:ind w:firstLine="267"/>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692" w:right="339" w:bottom="1440" w:gutter="0" w:footer="0" w:header="0"/>
        </w:sectPr>
      </w:pPr>
    </w:p>
    <w:p>
      <w:pPr>
        <w:spacing w:after="0" w:line="373" w:lineRule="exact"/>
        <w:rPr>
          <w:sz w:val="20"/>
          <w:szCs w:val="20"/>
          <w:color w:val="auto"/>
        </w:rPr>
      </w:pPr>
    </w:p>
    <w:tbl>
      <w:tblPr>
        <w:tblLayout w:type="fixed"/>
        <w:tblInd w:w="1620" w:type="dxa"/>
        <w:tblCellMar>
          <w:top w:w="0" w:type="dxa"/>
          <w:left w:w="0" w:type="dxa"/>
          <w:bottom w:w="0" w:type="dxa"/>
          <w:right w:w="0" w:type="dxa"/>
        </w:tblCellMar>
      </w:tblPr>
      <w:tr>
        <w:trPr>
          <w:trHeight w:val="210"/>
        </w:trPr>
        <w:tc>
          <w:tcPr>
            <w:tcW w:w="2320" w:type="dxa"/>
            <w:vAlign w:val="bottom"/>
          </w:tcPr>
          <w:p>
            <w:pPr>
              <w:ind w:left="820"/>
              <w:spacing w:after="0"/>
              <w:rPr>
                <w:sz w:val="20"/>
                <w:szCs w:val="20"/>
                <w:color w:val="auto"/>
              </w:rPr>
            </w:pPr>
            <w:r>
              <w:rPr>
                <w:rFonts w:ascii="Arial" w:cs="Arial" w:eastAsia="Arial" w:hAnsi="Arial"/>
                <w:sz w:val="16"/>
                <w:szCs w:val="16"/>
                <w:b w:val="1"/>
                <w:bCs w:val="1"/>
                <w:color w:val="auto"/>
              </w:rPr>
              <w:t>Signature</w:t>
            </w:r>
          </w:p>
        </w:tc>
        <w:tc>
          <w:tcPr>
            <w:tcW w:w="3820" w:type="dxa"/>
            <w:vAlign w:val="bottom"/>
          </w:tcPr>
          <w:p>
            <w:pPr>
              <w:ind w:left="2040"/>
              <w:spacing w:after="0"/>
              <w:rPr>
                <w:sz w:val="20"/>
                <w:szCs w:val="20"/>
                <w:color w:val="auto"/>
              </w:rPr>
            </w:pPr>
            <w:r>
              <w:rPr>
                <w:rFonts w:ascii="Arial" w:cs="Arial" w:eastAsia="Arial" w:hAnsi="Arial"/>
                <w:sz w:val="16"/>
                <w:szCs w:val="16"/>
                <w:b w:val="1"/>
                <w:bCs w:val="1"/>
                <w:color w:val="auto"/>
              </w:rPr>
              <w:t>Title</w:t>
            </w:r>
          </w:p>
        </w:tc>
      </w:tr>
      <w:tr>
        <w:trPr>
          <w:trHeight w:val="516"/>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Joseph E. Scalzo</w:t>
            </w:r>
          </w:p>
        </w:tc>
        <w:tc>
          <w:tcPr>
            <w:tcW w:w="3820" w:type="dxa"/>
            <w:vAlign w:val="bottom"/>
          </w:tcPr>
          <w:p>
            <w:pPr>
              <w:ind w:left="140"/>
              <w:spacing w:after="0"/>
              <w:rPr>
                <w:sz w:val="20"/>
                <w:szCs w:val="20"/>
                <w:color w:val="auto"/>
              </w:rPr>
            </w:pPr>
            <w:r>
              <w:rPr>
                <w:rFonts w:ascii="Arial" w:cs="Arial" w:eastAsia="Arial" w:hAnsi="Arial"/>
                <w:sz w:val="16"/>
                <w:szCs w:val="16"/>
                <w:color w:val="auto"/>
              </w:rPr>
              <w:t>President, Chief Executive Officer and Director</w:t>
            </w:r>
          </w:p>
        </w:tc>
      </w:tr>
      <w:tr>
        <w:trPr>
          <w:trHeight w:val="233"/>
        </w:trPr>
        <w:tc>
          <w:tcPr>
            <w:tcW w:w="2320" w:type="dxa"/>
            <w:vAlign w:val="bottom"/>
          </w:tcPr>
          <w:p>
            <w:pPr>
              <w:ind w:left="20"/>
              <w:spacing w:after="0"/>
              <w:rPr>
                <w:sz w:val="20"/>
                <w:szCs w:val="20"/>
                <w:color w:val="auto"/>
              </w:rPr>
            </w:pPr>
            <w:r>
              <w:rPr>
                <w:rFonts w:ascii="Arial" w:cs="Arial" w:eastAsia="Arial" w:hAnsi="Arial"/>
                <w:sz w:val="16"/>
                <w:szCs w:val="16"/>
                <w:color w:val="auto"/>
              </w:rPr>
              <w:t>Joseph E. Scalzo</w:t>
            </w:r>
          </w:p>
        </w:tc>
        <w:tc>
          <w:tcPr>
            <w:tcW w:w="3820" w:type="dxa"/>
            <w:vAlign w:val="bottom"/>
          </w:tcPr>
          <w:p>
            <w:pPr>
              <w:ind w:left="140"/>
              <w:spacing w:after="0"/>
              <w:rPr>
                <w:sz w:val="20"/>
                <w:szCs w:val="20"/>
                <w:color w:val="auto"/>
              </w:rPr>
            </w:pPr>
            <w:r>
              <w:rPr>
                <w:rFonts w:ascii="Arial" w:cs="Arial" w:eastAsia="Arial" w:hAnsi="Arial"/>
                <w:sz w:val="16"/>
                <w:szCs w:val="16"/>
                <w:color w:val="auto"/>
              </w:rPr>
              <w:t>(Principal Executive Officer)</w:t>
            </w:r>
          </w:p>
        </w:tc>
      </w:tr>
      <w:tr>
        <w:trPr>
          <w:trHeight w:val="516"/>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Todd E. Cunfer</w:t>
            </w:r>
          </w:p>
        </w:tc>
        <w:tc>
          <w:tcPr>
            <w:tcW w:w="3820" w:type="dxa"/>
            <w:vAlign w:val="bottom"/>
          </w:tcPr>
          <w:p>
            <w:pPr>
              <w:ind w:left="140"/>
              <w:spacing w:after="0"/>
              <w:rPr>
                <w:sz w:val="20"/>
                <w:szCs w:val="20"/>
                <w:color w:val="auto"/>
              </w:rPr>
            </w:pPr>
            <w:r>
              <w:rPr>
                <w:rFonts w:ascii="Arial" w:cs="Arial" w:eastAsia="Arial" w:hAnsi="Arial"/>
                <w:sz w:val="16"/>
                <w:szCs w:val="16"/>
                <w:color w:val="auto"/>
              </w:rPr>
              <w:t>Chief Financial Officer</w:t>
            </w:r>
          </w:p>
        </w:tc>
      </w:tr>
      <w:tr>
        <w:trPr>
          <w:trHeight w:val="233"/>
        </w:trPr>
        <w:tc>
          <w:tcPr>
            <w:tcW w:w="2320" w:type="dxa"/>
            <w:vAlign w:val="bottom"/>
          </w:tcPr>
          <w:p>
            <w:pPr>
              <w:ind w:left="20"/>
              <w:spacing w:after="0"/>
              <w:rPr>
                <w:sz w:val="20"/>
                <w:szCs w:val="20"/>
                <w:color w:val="auto"/>
              </w:rPr>
            </w:pPr>
            <w:r>
              <w:rPr>
                <w:rFonts w:ascii="Arial" w:cs="Arial" w:eastAsia="Arial" w:hAnsi="Arial"/>
                <w:sz w:val="16"/>
                <w:szCs w:val="16"/>
                <w:color w:val="auto"/>
              </w:rPr>
              <w:t>Todd E. Cunfer</w:t>
            </w:r>
          </w:p>
        </w:tc>
        <w:tc>
          <w:tcPr>
            <w:tcW w:w="3820" w:type="dxa"/>
            <w:vAlign w:val="bottom"/>
          </w:tcPr>
          <w:p>
            <w:pPr>
              <w:ind w:left="140"/>
              <w:spacing w:after="0"/>
              <w:rPr>
                <w:sz w:val="20"/>
                <w:szCs w:val="20"/>
                <w:color w:val="auto"/>
              </w:rPr>
            </w:pPr>
            <w:r>
              <w:rPr>
                <w:rFonts w:ascii="Arial" w:cs="Arial" w:eastAsia="Arial" w:hAnsi="Arial"/>
                <w:sz w:val="16"/>
                <w:szCs w:val="16"/>
                <w:color w:val="auto"/>
              </w:rPr>
              <w:t>(Principal Financial Officer)</w:t>
            </w:r>
          </w:p>
        </w:tc>
      </w:tr>
      <w:tr>
        <w:trPr>
          <w:trHeight w:val="516"/>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Timothy A. Matthews</w:t>
            </w:r>
          </w:p>
        </w:tc>
        <w:tc>
          <w:tcPr>
            <w:tcW w:w="3820" w:type="dxa"/>
            <w:vAlign w:val="bottom"/>
          </w:tcPr>
          <w:p>
            <w:pPr>
              <w:ind w:left="140"/>
              <w:spacing w:after="0"/>
              <w:rPr>
                <w:sz w:val="20"/>
                <w:szCs w:val="20"/>
                <w:color w:val="auto"/>
              </w:rPr>
            </w:pPr>
            <w:r>
              <w:rPr>
                <w:rFonts w:ascii="Arial" w:cs="Arial" w:eastAsia="Arial" w:hAnsi="Arial"/>
                <w:sz w:val="16"/>
                <w:szCs w:val="16"/>
                <w:color w:val="auto"/>
                <w:w w:val="93"/>
              </w:rPr>
              <w:t>Vice President, Controller and Chief Accounting Officer</w:t>
            </w:r>
          </w:p>
        </w:tc>
      </w:tr>
      <w:tr>
        <w:trPr>
          <w:trHeight w:val="233"/>
        </w:trPr>
        <w:tc>
          <w:tcPr>
            <w:tcW w:w="2320" w:type="dxa"/>
            <w:vAlign w:val="bottom"/>
          </w:tcPr>
          <w:p>
            <w:pPr>
              <w:ind w:left="20"/>
              <w:spacing w:after="0"/>
              <w:rPr>
                <w:sz w:val="20"/>
                <w:szCs w:val="20"/>
                <w:color w:val="auto"/>
              </w:rPr>
            </w:pPr>
            <w:r>
              <w:rPr>
                <w:rFonts w:ascii="Arial" w:cs="Arial" w:eastAsia="Arial" w:hAnsi="Arial"/>
                <w:sz w:val="16"/>
                <w:szCs w:val="16"/>
                <w:color w:val="auto"/>
              </w:rPr>
              <w:t>Timothy A. Matthews</w:t>
            </w:r>
          </w:p>
        </w:tc>
        <w:tc>
          <w:tcPr>
            <w:tcW w:w="3820" w:type="dxa"/>
            <w:vAlign w:val="bottom"/>
          </w:tcPr>
          <w:p>
            <w:pPr>
              <w:ind w:left="140"/>
              <w:spacing w:after="0"/>
              <w:rPr>
                <w:sz w:val="20"/>
                <w:szCs w:val="20"/>
                <w:color w:val="auto"/>
              </w:rPr>
            </w:pPr>
            <w:r>
              <w:rPr>
                <w:rFonts w:ascii="Arial" w:cs="Arial" w:eastAsia="Arial" w:hAnsi="Arial"/>
                <w:sz w:val="16"/>
                <w:szCs w:val="16"/>
                <w:color w:val="auto"/>
              </w:rPr>
              <w:t>(Principal Accounting Officer)</w:t>
            </w:r>
          </w:p>
        </w:tc>
      </w:tr>
      <w:tr>
        <w:trPr>
          <w:trHeight w:val="516"/>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James M. Kilts</w:t>
            </w:r>
          </w:p>
        </w:tc>
        <w:tc>
          <w:tcPr>
            <w:tcW w:w="3820" w:type="dxa"/>
            <w:vAlign w:val="bottom"/>
          </w:tcPr>
          <w:p>
            <w:pPr>
              <w:ind w:left="140"/>
              <w:spacing w:after="0"/>
              <w:rPr>
                <w:sz w:val="20"/>
                <w:szCs w:val="20"/>
                <w:color w:val="auto"/>
              </w:rPr>
            </w:pPr>
            <w:r>
              <w:rPr>
                <w:rFonts w:ascii="Arial" w:cs="Arial" w:eastAsia="Arial" w:hAnsi="Arial"/>
                <w:sz w:val="16"/>
                <w:szCs w:val="16"/>
                <w:color w:val="auto"/>
              </w:rPr>
              <w:t>Chairman of the Board of Directors</w:t>
            </w:r>
          </w:p>
        </w:tc>
      </w:tr>
      <w:tr>
        <w:trPr>
          <w:trHeight w:val="233"/>
        </w:trPr>
        <w:tc>
          <w:tcPr>
            <w:tcW w:w="2320" w:type="dxa"/>
            <w:vAlign w:val="bottom"/>
          </w:tcPr>
          <w:p>
            <w:pPr>
              <w:ind w:left="20"/>
              <w:spacing w:after="0"/>
              <w:rPr>
                <w:sz w:val="20"/>
                <w:szCs w:val="20"/>
                <w:color w:val="auto"/>
              </w:rPr>
            </w:pPr>
            <w:r>
              <w:rPr>
                <w:rFonts w:ascii="Arial" w:cs="Arial" w:eastAsia="Arial" w:hAnsi="Arial"/>
                <w:sz w:val="16"/>
                <w:szCs w:val="16"/>
                <w:color w:val="auto"/>
              </w:rPr>
              <w:t>James M. Kilts</w:t>
            </w:r>
          </w:p>
        </w:tc>
        <w:tc>
          <w:tcPr>
            <w:tcW w:w="3820" w:type="dxa"/>
            <w:vAlign w:val="bottom"/>
          </w:tcPr>
          <w:p>
            <w:pPr>
              <w:spacing w:after="0"/>
              <w:rPr>
                <w:sz w:val="20"/>
                <w:szCs w:val="20"/>
                <w:color w:val="auto"/>
              </w:rPr>
            </w:pPr>
          </w:p>
        </w:tc>
      </w:tr>
      <w:tr>
        <w:trPr>
          <w:trHeight w:val="516"/>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Clayton C. Daley, Jr.</w:t>
            </w:r>
          </w:p>
        </w:tc>
        <w:tc>
          <w:tcPr>
            <w:tcW w:w="3820" w:type="dxa"/>
            <w:vAlign w:val="bottom"/>
          </w:tcPr>
          <w:p>
            <w:pPr>
              <w:ind w:left="140"/>
              <w:spacing w:after="0"/>
              <w:rPr>
                <w:sz w:val="20"/>
                <w:szCs w:val="20"/>
                <w:color w:val="auto"/>
              </w:rPr>
            </w:pPr>
            <w:r>
              <w:rPr>
                <w:rFonts w:ascii="Arial" w:cs="Arial" w:eastAsia="Arial" w:hAnsi="Arial"/>
                <w:sz w:val="16"/>
                <w:szCs w:val="16"/>
                <w:color w:val="auto"/>
              </w:rPr>
              <w:t>Director</w:t>
            </w:r>
          </w:p>
        </w:tc>
      </w:tr>
      <w:tr>
        <w:trPr>
          <w:trHeight w:val="234"/>
        </w:trPr>
        <w:tc>
          <w:tcPr>
            <w:tcW w:w="2320" w:type="dxa"/>
            <w:vAlign w:val="bottom"/>
          </w:tcPr>
          <w:p>
            <w:pPr>
              <w:ind w:left="20"/>
              <w:spacing w:after="0"/>
              <w:rPr>
                <w:sz w:val="20"/>
                <w:szCs w:val="20"/>
                <w:color w:val="auto"/>
              </w:rPr>
            </w:pPr>
            <w:r>
              <w:rPr>
                <w:rFonts w:ascii="Arial" w:cs="Arial" w:eastAsia="Arial" w:hAnsi="Arial"/>
                <w:sz w:val="16"/>
                <w:szCs w:val="16"/>
                <w:color w:val="auto"/>
              </w:rPr>
              <w:t>Clayton C. Daley, Jr.</w:t>
            </w:r>
          </w:p>
        </w:tc>
        <w:tc>
          <w:tcPr>
            <w:tcW w:w="3820" w:type="dxa"/>
            <w:vAlign w:val="bottom"/>
          </w:tcPr>
          <w:p>
            <w:pPr>
              <w:spacing w:after="0"/>
              <w:rPr>
                <w:sz w:val="20"/>
                <w:szCs w:val="20"/>
                <w:color w:val="auto"/>
              </w:rPr>
            </w:pPr>
          </w:p>
        </w:tc>
      </w:tr>
      <w:tr>
        <w:trPr>
          <w:trHeight w:val="516"/>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Nomi P. Ghez</w:t>
            </w:r>
          </w:p>
        </w:tc>
        <w:tc>
          <w:tcPr>
            <w:tcW w:w="3820" w:type="dxa"/>
            <w:vAlign w:val="bottom"/>
          </w:tcPr>
          <w:p>
            <w:pPr>
              <w:ind w:left="140"/>
              <w:spacing w:after="0"/>
              <w:rPr>
                <w:sz w:val="20"/>
                <w:szCs w:val="20"/>
                <w:color w:val="auto"/>
              </w:rPr>
            </w:pPr>
            <w:r>
              <w:rPr>
                <w:rFonts w:ascii="Arial" w:cs="Arial" w:eastAsia="Arial" w:hAnsi="Arial"/>
                <w:sz w:val="16"/>
                <w:szCs w:val="16"/>
                <w:color w:val="auto"/>
              </w:rPr>
              <w:t>Director</w:t>
            </w:r>
          </w:p>
        </w:tc>
      </w:tr>
      <w:tr>
        <w:trPr>
          <w:trHeight w:val="234"/>
        </w:trPr>
        <w:tc>
          <w:tcPr>
            <w:tcW w:w="2320" w:type="dxa"/>
            <w:vAlign w:val="bottom"/>
          </w:tcPr>
          <w:p>
            <w:pPr>
              <w:ind w:left="20"/>
              <w:spacing w:after="0"/>
              <w:rPr>
                <w:sz w:val="20"/>
                <w:szCs w:val="20"/>
                <w:color w:val="auto"/>
              </w:rPr>
            </w:pPr>
            <w:r>
              <w:rPr>
                <w:rFonts w:ascii="Arial" w:cs="Arial" w:eastAsia="Arial" w:hAnsi="Arial"/>
                <w:sz w:val="16"/>
                <w:szCs w:val="16"/>
                <w:color w:val="auto"/>
              </w:rPr>
              <w:t>Nomi P. Ghez</w:t>
            </w:r>
          </w:p>
        </w:tc>
        <w:tc>
          <w:tcPr>
            <w:tcW w:w="3820" w:type="dxa"/>
            <w:vAlign w:val="bottom"/>
          </w:tcPr>
          <w:p>
            <w:pPr>
              <w:spacing w:after="0"/>
              <w:rPr>
                <w:sz w:val="20"/>
                <w:szCs w:val="20"/>
                <w:color w:val="auto"/>
              </w:rPr>
            </w:pPr>
          </w:p>
        </w:tc>
      </w:tr>
      <w:tr>
        <w:trPr>
          <w:trHeight w:val="516"/>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Michelle P. Goolsby</w:t>
            </w:r>
          </w:p>
        </w:tc>
        <w:tc>
          <w:tcPr>
            <w:tcW w:w="3820" w:type="dxa"/>
            <w:vAlign w:val="bottom"/>
          </w:tcPr>
          <w:p>
            <w:pPr>
              <w:ind w:left="140"/>
              <w:spacing w:after="0"/>
              <w:rPr>
                <w:sz w:val="20"/>
                <w:szCs w:val="20"/>
                <w:color w:val="auto"/>
              </w:rPr>
            </w:pPr>
            <w:r>
              <w:rPr>
                <w:rFonts w:ascii="Arial" w:cs="Arial" w:eastAsia="Arial" w:hAnsi="Arial"/>
                <w:sz w:val="16"/>
                <w:szCs w:val="16"/>
                <w:color w:val="auto"/>
              </w:rPr>
              <w:t>Director</w:t>
            </w:r>
          </w:p>
        </w:tc>
      </w:tr>
      <w:tr>
        <w:trPr>
          <w:trHeight w:val="233"/>
        </w:trPr>
        <w:tc>
          <w:tcPr>
            <w:tcW w:w="2320" w:type="dxa"/>
            <w:vAlign w:val="bottom"/>
          </w:tcPr>
          <w:p>
            <w:pPr>
              <w:ind w:left="20"/>
              <w:spacing w:after="0"/>
              <w:rPr>
                <w:sz w:val="20"/>
                <w:szCs w:val="20"/>
                <w:color w:val="auto"/>
              </w:rPr>
            </w:pPr>
            <w:r>
              <w:rPr>
                <w:rFonts w:ascii="Arial" w:cs="Arial" w:eastAsia="Arial" w:hAnsi="Arial"/>
                <w:sz w:val="16"/>
                <w:szCs w:val="16"/>
                <w:color w:val="auto"/>
              </w:rPr>
              <w:t>Michelle P. Goolsby</w:t>
            </w:r>
          </w:p>
        </w:tc>
        <w:tc>
          <w:tcPr>
            <w:tcW w:w="3820" w:type="dxa"/>
            <w:vAlign w:val="bottom"/>
          </w:tcPr>
          <w:p>
            <w:pPr>
              <w:spacing w:after="0"/>
              <w:rPr>
                <w:sz w:val="20"/>
                <w:szCs w:val="20"/>
                <w:color w:val="auto"/>
              </w:rPr>
            </w:pPr>
          </w:p>
        </w:tc>
      </w:tr>
      <w:tr>
        <w:trPr>
          <w:trHeight w:val="516"/>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James E. Healey</w:t>
            </w:r>
          </w:p>
        </w:tc>
        <w:tc>
          <w:tcPr>
            <w:tcW w:w="3820" w:type="dxa"/>
            <w:vAlign w:val="bottom"/>
          </w:tcPr>
          <w:p>
            <w:pPr>
              <w:ind w:left="140"/>
              <w:spacing w:after="0"/>
              <w:rPr>
                <w:sz w:val="20"/>
                <w:szCs w:val="20"/>
                <w:color w:val="auto"/>
              </w:rPr>
            </w:pPr>
            <w:r>
              <w:rPr>
                <w:rFonts w:ascii="Arial" w:cs="Arial" w:eastAsia="Arial" w:hAnsi="Arial"/>
                <w:sz w:val="16"/>
                <w:szCs w:val="16"/>
                <w:color w:val="auto"/>
              </w:rPr>
              <w:t>Director</w:t>
            </w:r>
          </w:p>
        </w:tc>
      </w:tr>
      <w:tr>
        <w:trPr>
          <w:trHeight w:val="233"/>
        </w:trPr>
        <w:tc>
          <w:tcPr>
            <w:tcW w:w="2320" w:type="dxa"/>
            <w:vAlign w:val="bottom"/>
          </w:tcPr>
          <w:p>
            <w:pPr>
              <w:ind w:left="20"/>
              <w:spacing w:after="0"/>
              <w:rPr>
                <w:sz w:val="20"/>
                <w:szCs w:val="20"/>
                <w:color w:val="auto"/>
              </w:rPr>
            </w:pPr>
            <w:r>
              <w:rPr>
                <w:rFonts w:ascii="Arial" w:cs="Arial" w:eastAsia="Arial" w:hAnsi="Arial"/>
                <w:sz w:val="16"/>
                <w:szCs w:val="16"/>
                <w:color w:val="auto"/>
              </w:rPr>
              <w:t>James E. Healey</w:t>
            </w:r>
          </w:p>
        </w:tc>
        <w:tc>
          <w:tcPr>
            <w:tcW w:w="3820" w:type="dxa"/>
            <w:vAlign w:val="bottom"/>
          </w:tcPr>
          <w:p>
            <w:pPr>
              <w:spacing w:after="0"/>
              <w:rPr>
                <w:sz w:val="20"/>
                <w:szCs w:val="20"/>
                <w:color w:val="auto"/>
              </w:rPr>
            </w:pPr>
          </w:p>
        </w:tc>
      </w:tr>
      <w:tr>
        <w:trPr>
          <w:trHeight w:val="516"/>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Robert G. Montgomery</w:t>
            </w:r>
          </w:p>
        </w:tc>
        <w:tc>
          <w:tcPr>
            <w:tcW w:w="3820" w:type="dxa"/>
            <w:vAlign w:val="bottom"/>
          </w:tcPr>
          <w:p>
            <w:pPr>
              <w:ind w:left="140"/>
              <w:spacing w:after="0"/>
              <w:rPr>
                <w:sz w:val="20"/>
                <w:szCs w:val="20"/>
                <w:color w:val="auto"/>
              </w:rPr>
            </w:pPr>
            <w:r>
              <w:rPr>
                <w:rFonts w:ascii="Arial" w:cs="Arial" w:eastAsia="Arial" w:hAnsi="Arial"/>
                <w:sz w:val="16"/>
                <w:szCs w:val="16"/>
                <w:color w:val="auto"/>
              </w:rPr>
              <w:t>Director</w:t>
            </w:r>
          </w:p>
        </w:tc>
      </w:tr>
      <w:tr>
        <w:trPr>
          <w:trHeight w:val="234"/>
        </w:trPr>
        <w:tc>
          <w:tcPr>
            <w:tcW w:w="2320" w:type="dxa"/>
            <w:vAlign w:val="bottom"/>
          </w:tcPr>
          <w:p>
            <w:pPr>
              <w:ind w:left="20"/>
              <w:spacing w:after="0"/>
              <w:rPr>
                <w:sz w:val="20"/>
                <w:szCs w:val="20"/>
                <w:color w:val="auto"/>
              </w:rPr>
            </w:pPr>
            <w:r>
              <w:rPr>
                <w:rFonts w:ascii="Arial" w:cs="Arial" w:eastAsia="Arial" w:hAnsi="Arial"/>
                <w:sz w:val="16"/>
                <w:szCs w:val="16"/>
                <w:color w:val="auto"/>
              </w:rPr>
              <w:t>Robert G. Montgomery</w:t>
            </w:r>
          </w:p>
        </w:tc>
        <w:tc>
          <w:tcPr>
            <w:tcW w:w="3820" w:type="dxa"/>
            <w:vAlign w:val="bottom"/>
          </w:tcPr>
          <w:p>
            <w:pPr>
              <w:spacing w:after="0"/>
              <w:rPr>
                <w:sz w:val="20"/>
                <w:szCs w:val="20"/>
                <w:color w:val="auto"/>
              </w:rPr>
            </w:pPr>
          </w:p>
        </w:tc>
      </w:tr>
      <w:tr>
        <w:trPr>
          <w:trHeight w:val="516"/>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Brian K. Ratzan</w:t>
            </w:r>
          </w:p>
        </w:tc>
        <w:tc>
          <w:tcPr>
            <w:tcW w:w="3820" w:type="dxa"/>
            <w:vAlign w:val="bottom"/>
          </w:tcPr>
          <w:p>
            <w:pPr>
              <w:ind w:left="140"/>
              <w:spacing w:after="0"/>
              <w:rPr>
                <w:sz w:val="20"/>
                <w:szCs w:val="20"/>
                <w:color w:val="auto"/>
              </w:rPr>
            </w:pPr>
            <w:r>
              <w:rPr>
                <w:rFonts w:ascii="Arial" w:cs="Arial" w:eastAsia="Arial" w:hAnsi="Arial"/>
                <w:sz w:val="16"/>
                <w:szCs w:val="16"/>
                <w:color w:val="auto"/>
              </w:rPr>
              <w:t>Director</w:t>
            </w:r>
          </w:p>
        </w:tc>
      </w:tr>
      <w:tr>
        <w:trPr>
          <w:trHeight w:val="233"/>
        </w:trPr>
        <w:tc>
          <w:tcPr>
            <w:tcW w:w="2320" w:type="dxa"/>
            <w:vAlign w:val="bottom"/>
          </w:tcPr>
          <w:p>
            <w:pPr>
              <w:ind w:left="20"/>
              <w:spacing w:after="0"/>
              <w:rPr>
                <w:sz w:val="20"/>
                <w:szCs w:val="20"/>
                <w:color w:val="auto"/>
              </w:rPr>
            </w:pPr>
            <w:r>
              <w:rPr>
                <w:rFonts w:ascii="Arial" w:cs="Arial" w:eastAsia="Arial" w:hAnsi="Arial"/>
                <w:sz w:val="16"/>
                <w:szCs w:val="16"/>
                <w:color w:val="auto"/>
              </w:rPr>
              <w:t>Brian K. Ratzan</w:t>
            </w:r>
          </w:p>
        </w:tc>
        <w:tc>
          <w:tcPr>
            <w:tcW w:w="3820" w:type="dxa"/>
            <w:vAlign w:val="bottom"/>
          </w:tcPr>
          <w:p>
            <w:pPr>
              <w:spacing w:after="0"/>
              <w:rPr>
                <w:sz w:val="20"/>
                <w:szCs w:val="20"/>
                <w:color w:val="auto"/>
              </w:rPr>
            </w:pPr>
          </w:p>
        </w:tc>
      </w:tr>
      <w:tr>
        <w:trPr>
          <w:trHeight w:val="516"/>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David W. Ritterbush</w:t>
            </w:r>
          </w:p>
        </w:tc>
        <w:tc>
          <w:tcPr>
            <w:tcW w:w="3820" w:type="dxa"/>
            <w:vAlign w:val="bottom"/>
          </w:tcPr>
          <w:p>
            <w:pPr>
              <w:ind w:left="140"/>
              <w:spacing w:after="0"/>
              <w:rPr>
                <w:sz w:val="20"/>
                <w:szCs w:val="20"/>
                <w:color w:val="auto"/>
              </w:rPr>
            </w:pPr>
            <w:r>
              <w:rPr>
                <w:rFonts w:ascii="Arial" w:cs="Arial" w:eastAsia="Arial" w:hAnsi="Arial"/>
                <w:sz w:val="16"/>
                <w:szCs w:val="16"/>
                <w:color w:val="auto"/>
              </w:rPr>
              <w:t>Director</w:t>
            </w:r>
          </w:p>
        </w:tc>
      </w:tr>
      <w:tr>
        <w:trPr>
          <w:trHeight w:val="233"/>
        </w:trPr>
        <w:tc>
          <w:tcPr>
            <w:tcW w:w="2320" w:type="dxa"/>
            <w:vAlign w:val="bottom"/>
          </w:tcPr>
          <w:p>
            <w:pPr>
              <w:ind w:left="20"/>
              <w:spacing w:after="0"/>
              <w:rPr>
                <w:sz w:val="20"/>
                <w:szCs w:val="20"/>
                <w:color w:val="auto"/>
              </w:rPr>
            </w:pPr>
            <w:r>
              <w:rPr>
                <w:rFonts w:ascii="Arial" w:cs="Arial" w:eastAsia="Arial" w:hAnsi="Arial"/>
                <w:sz w:val="16"/>
                <w:szCs w:val="16"/>
                <w:color w:val="auto"/>
              </w:rPr>
              <w:t>David W. Ritterbush</w:t>
            </w:r>
          </w:p>
        </w:tc>
        <w:tc>
          <w:tcPr>
            <w:tcW w:w="3820" w:type="dxa"/>
            <w:vAlign w:val="bottom"/>
          </w:tcPr>
          <w:p>
            <w:pPr>
              <w:spacing w:after="0"/>
              <w:rPr>
                <w:sz w:val="20"/>
                <w:szCs w:val="20"/>
                <w:color w:val="auto"/>
              </w:rPr>
            </w:pPr>
          </w:p>
        </w:tc>
      </w:tr>
      <w:tr>
        <w:trPr>
          <w:trHeight w:val="516"/>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Joseph J. Schena</w:t>
            </w:r>
          </w:p>
        </w:tc>
        <w:tc>
          <w:tcPr>
            <w:tcW w:w="3820" w:type="dxa"/>
            <w:vAlign w:val="bottom"/>
          </w:tcPr>
          <w:p>
            <w:pPr>
              <w:ind w:left="140"/>
              <w:spacing w:after="0"/>
              <w:rPr>
                <w:sz w:val="20"/>
                <w:szCs w:val="20"/>
                <w:color w:val="auto"/>
              </w:rPr>
            </w:pPr>
            <w:r>
              <w:rPr>
                <w:rFonts w:ascii="Arial" w:cs="Arial" w:eastAsia="Arial" w:hAnsi="Arial"/>
                <w:sz w:val="16"/>
                <w:szCs w:val="16"/>
                <w:color w:val="auto"/>
              </w:rPr>
              <w:t>Director</w:t>
            </w:r>
          </w:p>
        </w:tc>
      </w:tr>
      <w:tr>
        <w:trPr>
          <w:trHeight w:val="234"/>
        </w:trPr>
        <w:tc>
          <w:tcPr>
            <w:tcW w:w="2320" w:type="dxa"/>
            <w:vAlign w:val="bottom"/>
          </w:tcPr>
          <w:p>
            <w:pPr>
              <w:ind w:left="20"/>
              <w:spacing w:after="0"/>
              <w:rPr>
                <w:sz w:val="20"/>
                <w:szCs w:val="20"/>
                <w:color w:val="auto"/>
              </w:rPr>
            </w:pPr>
            <w:r>
              <w:rPr>
                <w:rFonts w:ascii="Arial" w:cs="Arial" w:eastAsia="Arial" w:hAnsi="Arial"/>
                <w:sz w:val="16"/>
                <w:szCs w:val="16"/>
                <w:color w:val="auto"/>
              </w:rPr>
              <w:t>Joseph J. Schena</w:t>
            </w:r>
          </w:p>
        </w:tc>
        <w:tc>
          <w:tcPr>
            <w:tcW w:w="3820" w:type="dxa"/>
            <w:vAlign w:val="bottom"/>
          </w:tcPr>
          <w:p>
            <w:pPr>
              <w:spacing w:after="0"/>
              <w:rPr>
                <w:sz w:val="20"/>
                <w:szCs w:val="20"/>
                <w:color w:val="auto"/>
              </w:rPr>
            </w:pPr>
          </w:p>
        </w:tc>
      </w:tr>
      <w:tr>
        <w:trPr>
          <w:trHeight w:val="516"/>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David J. West</w:t>
            </w:r>
          </w:p>
        </w:tc>
        <w:tc>
          <w:tcPr>
            <w:tcW w:w="3820" w:type="dxa"/>
            <w:vAlign w:val="bottom"/>
          </w:tcPr>
          <w:p>
            <w:pPr>
              <w:ind w:left="140"/>
              <w:spacing w:after="0"/>
              <w:rPr>
                <w:sz w:val="20"/>
                <w:szCs w:val="20"/>
                <w:color w:val="auto"/>
              </w:rPr>
            </w:pPr>
            <w:r>
              <w:rPr>
                <w:rFonts w:ascii="Arial" w:cs="Arial" w:eastAsia="Arial" w:hAnsi="Arial"/>
                <w:sz w:val="16"/>
                <w:szCs w:val="16"/>
                <w:color w:val="auto"/>
              </w:rPr>
              <w:t>Director</w:t>
            </w:r>
          </w:p>
        </w:tc>
      </w:tr>
      <w:tr>
        <w:trPr>
          <w:trHeight w:val="233"/>
        </w:trPr>
        <w:tc>
          <w:tcPr>
            <w:tcW w:w="2320" w:type="dxa"/>
            <w:vAlign w:val="bottom"/>
          </w:tcPr>
          <w:p>
            <w:pPr>
              <w:ind w:left="20"/>
              <w:spacing w:after="0"/>
              <w:rPr>
                <w:sz w:val="20"/>
                <w:szCs w:val="20"/>
                <w:color w:val="auto"/>
              </w:rPr>
            </w:pPr>
            <w:r>
              <w:rPr>
                <w:rFonts w:ascii="Arial" w:cs="Arial" w:eastAsia="Arial" w:hAnsi="Arial"/>
                <w:sz w:val="16"/>
                <w:szCs w:val="16"/>
                <w:color w:val="auto"/>
              </w:rPr>
              <w:t>David J. West</w:t>
            </w:r>
          </w:p>
        </w:tc>
        <w:tc>
          <w:tcPr>
            <w:tcW w:w="3820" w:type="dxa"/>
            <w:vAlign w:val="bottom"/>
          </w:tcPr>
          <w:p>
            <w:pPr>
              <w:spacing w:after="0"/>
              <w:rPr>
                <w:sz w:val="20"/>
                <w:szCs w:val="20"/>
                <w:color w:val="auto"/>
              </w:rPr>
            </w:pPr>
          </w:p>
        </w:tc>
      </w:tr>
      <w:tr>
        <w:trPr>
          <w:trHeight w:val="516"/>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James D. White</w:t>
            </w:r>
          </w:p>
        </w:tc>
        <w:tc>
          <w:tcPr>
            <w:tcW w:w="3820" w:type="dxa"/>
            <w:vAlign w:val="bottom"/>
          </w:tcPr>
          <w:p>
            <w:pPr>
              <w:ind w:left="140"/>
              <w:spacing w:after="0"/>
              <w:rPr>
                <w:sz w:val="20"/>
                <w:szCs w:val="20"/>
                <w:color w:val="auto"/>
              </w:rPr>
            </w:pPr>
            <w:r>
              <w:rPr>
                <w:rFonts w:ascii="Arial" w:cs="Arial" w:eastAsia="Arial" w:hAnsi="Arial"/>
                <w:sz w:val="16"/>
                <w:szCs w:val="16"/>
                <w:color w:val="auto"/>
              </w:rPr>
              <w:t>Director</w:t>
            </w:r>
          </w:p>
        </w:tc>
      </w:tr>
      <w:tr>
        <w:trPr>
          <w:trHeight w:val="233"/>
        </w:trPr>
        <w:tc>
          <w:tcPr>
            <w:tcW w:w="2320" w:type="dxa"/>
            <w:vAlign w:val="bottom"/>
          </w:tcPr>
          <w:p>
            <w:pPr>
              <w:ind w:left="20"/>
              <w:spacing w:after="0"/>
              <w:rPr>
                <w:sz w:val="20"/>
                <w:szCs w:val="20"/>
                <w:color w:val="auto"/>
              </w:rPr>
            </w:pPr>
            <w:r>
              <w:rPr>
                <w:rFonts w:ascii="Arial" w:cs="Arial" w:eastAsia="Arial" w:hAnsi="Arial"/>
                <w:sz w:val="16"/>
                <w:szCs w:val="16"/>
                <w:color w:val="auto"/>
              </w:rPr>
              <w:t>James D. White</w:t>
            </w:r>
          </w:p>
        </w:tc>
        <w:tc>
          <w:tcPr>
            <w:tcW w:w="38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Date</w:t>
      </w:r>
    </w:p>
    <w:p>
      <w:pPr>
        <w:spacing w:after="0" w:line="306" w:lineRule="exact"/>
        <w:rPr>
          <w:sz w:val="20"/>
          <w:szCs w:val="20"/>
          <w:color w:val="auto"/>
        </w:rPr>
      </w:pPr>
    </w:p>
    <w:p>
      <w:pPr>
        <w:spacing w:after="0"/>
        <w:rPr>
          <w:sz w:val="20"/>
          <w:szCs w:val="20"/>
          <w:color w:val="auto"/>
        </w:rPr>
      </w:pPr>
      <w:r>
        <w:rPr>
          <w:rFonts w:ascii="Arial" w:cs="Arial" w:eastAsia="Arial" w:hAnsi="Arial"/>
          <w:sz w:val="14"/>
          <w:szCs w:val="14"/>
          <w:color w:val="auto"/>
        </w:rPr>
        <w:t>October 26, 2021</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October 26, 2021</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October 26, 2021</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October 26, 2021</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October 26, 2021</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October 26, 2021</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October 26, 2021</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October 26, 2021</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October 26, 2021</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October 26, 2021</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October 26, 2021</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October 26, 2021</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October 26, 2021</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October 26, 2021</w:t>
      </w:r>
    </w:p>
    <w:p>
      <w:pPr>
        <w:spacing w:after="0" w:line="501" w:lineRule="exact"/>
        <w:rPr>
          <w:sz w:val="20"/>
          <w:szCs w:val="20"/>
          <w:color w:val="auto"/>
        </w:rPr>
      </w:pPr>
    </w:p>
    <w:p>
      <w:pPr>
        <w:sectPr>
          <w:pgSz w:w="11900" w:h="16838" w:orient="portrait"/>
          <w:cols w:equalWidth="0" w:num="2">
            <w:col w:w="7760" w:space="600"/>
            <w:col w:w="2880"/>
          </w:cols>
          <w:pgMar w:left="320" w:top="692" w:right="339" w:bottom="1440" w:gutter="0" w:footer="0" w:header="0"/>
          <w:type w:val="continuous"/>
        </w:sect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240"/>
          </w:cols>
          <w:pgMar w:left="320" w:top="692" w:right="339" w:bottom="1440" w:gutter="0" w:footer="0" w:header="0"/>
          <w:type w:val="continuous"/>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21.1</w:t>
      </w:r>
    </w:p>
    <w:p>
      <w:pPr>
        <w:spacing w:after="0" w:line="252" w:lineRule="exact"/>
        <w:rPr>
          <w:sz w:val="20"/>
          <w:szCs w:val="20"/>
          <w:color w:val="auto"/>
        </w:rPr>
      </w:pPr>
    </w:p>
    <w:p>
      <w:pPr>
        <w:ind w:left="2680"/>
        <w:spacing w:after="0"/>
        <w:rPr>
          <w:sz w:val="20"/>
          <w:szCs w:val="20"/>
          <w:color w:val="auto"/>
        </w:rPr>
      </w:pPr>
      <w:r>
        <w:rPr>
          <w:rFonts w:ascii="Arial" w:cs="Arial" w:eastAsia="Arial" w:hAnsi="Arial"/>
          <w:sz w:val="18"/>
          <w:szCs w:val="18"/>
          <w:b w:val="1"/>
          <w:bCs w:val="1"/>
          <w:u w:val="single" w:color="auto"/>
          <w:color w:val="auto"/>
        </w:rPr>
        <w:t>Subsidiaries of The Simply Good Foods Company</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ind w:left="20"/>
              <w:spacing w:after="0"/>
              <w:rPr>
                <w:sz w:val="20"/>
                <w:szCs w:val="20"/>
                <w:color w:val="auto"/>
              </w:rPr>
            </w:pPr>
            <w:r>
              <w:rPr>
                <w:rFonts w:ascii="Arial" w:cs="Arial" w:eastAsia="Arial" w:hAnsi="Arial"/>
                <w:sz w:val="18"/>
                <w:szCs w:val="18"/>
                <w:b w:val="1"/>
                <w:bCs w:val="1"/>
                <w:color w:val="auto"/>
              </w:rPr>
              <w:t>Subsidiary</w:t>
            </w:r>
          </w:p>
        </w:tc>
        <w:tc>
          <w:tcPr>
            <w:tcW w:w="4780" w:type="dxa"/>
            <w:vAlign w:val="bottom"/>
          </w:tcPr>
          <w:p>
            <w:pPr>
              <w:jc w:val="center"/>
              <w:ind w:right="570"/>
              <w:spacing w:after="0"/>
              <w:rPr>
                <w:sz w:val="20"/>
                <w:szCs w:val="20"/>
                <w:color w:val="auto"/>
              </w:rPr>
            </w:pPr>
            <w:r>
              <w:rPr>
                <w:rFonts w:ascii="Arial" w:cs="Arial" w:eastAsia="Arial" w:hAnsi="Arial"/>
                <w:sz w:val="18"/>
                <w:szCs w:val="18"/>
                <w:b w:val="1"/>
                <w:bCs w:val="1"/>
                <w:color w:val="auto"/>
                <w:w w:val="90"/>
              </w:rPr>
              <w:t>Jurisdiction</w:t>
            </w:r>
          </w:p>
        </w:tc>
      </w:tr>
      <w:tr>
        <w:trPr>
          <w:trHeight w:val="257"/>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Atkins Intermediate Holdings, LLC</w:t>
            </w:r>
          </w:p>
        </w:tc>
        <w:tc>
          <w:tcPr>
            <w:tcW w:w="4780" w:type="dxa"/>
            <w:vAlign w:val="bottom"/>
            <w:shd w:val="clear" w:color="auto" w:fill="CCEEFF"/>
          </w:tcPr>
          <w:p>
            <w:pPr>
              <w:jc w:val="center"/>
              <w:ind w:right="570"/>
              <w:spacing w:after="0"/>
              <w:rPr>
                <w:sz w:val="20"/>
                <w:szCs w:val="20"/>
                <w:color w:val="auto"/>
              </w:rPr>
            </w:pPr>
            <w:r>
              <w:rPr>
                <w:rFonts w:ascii="Arial" w:cs="Arial" w:eastAsia="Arial" w:hAnsi="Arial"/>
                <w:sz w:val="18"/>
                <w:szCs w:val="18"/>
                <w:color w:val="auto"/>
                <w:w w:val="89"/>
              </w:rPr>
              <w:t>Delaware</w:t>
            </w:r>
          </w:p>
        </w:tc>
      </w:tr>
      <w:tr>
        <w:trPr>
          <w:trHeight w:val="257"/>
        </w:trPr>
        <w:tc>
          <w:tcPr>
            <w:tcW w:w="4420" w:type="dxa"/>
            <w:vAlign w:val="bottom"/>
          </w:tcPr>
          <w:p>
            <w:pPr>
              <w:ind w:left="20"/>
              <w:spacing w:after="0"/>
              <w:rPr>
                <w:sz w:val="20"/>
                <w:szCs w:val="20"/>
                <w:color w:val="auto"/>
              </w:rPr>
            </w:pPr>
            <w:r>
              <w:rPr>
                <w:rFonts w:ascii="Arial" w:cs="Arial" w:eastAsia="Arial" w:hAnsi="Arial"/>
                <w:sz w:val="18"/>
                <w:szCs w:val="18"/>
                <w:color w:val="auto"/>
              </w:rPr>
              <w:t>Conyers Park Acquisition Corp., Inc.</w:t>
            </w:r>
          </w:p>
        </w:tc>
        <w:tc>
          <w:tcPr>
            <w:tcW w:w="4780" w:type="dxa"/>
            <w:vAlign w:val="bottom"/>
          </w:tcPr>
          <w:p>
            <w:pPr>
              <w:jc w:val="center"/>
              <w:ind w:right="570"/>
              <w:spacing w:after="0"/>
              <w:rPr>
                <w:sz w:val="20"/>
                <w:szCs w:val="20"/>
                <w:color w:val="auto"/>
              </w:rPr>
            </w:pPr>
            <w:r>
              <w:rPr>
                <w:rFonts w:ascii="Arial" w:cs="Arial" w:eastAsia="Arial" w:hAnsi="Arial"/>
                <w:sz w:val="18"/>
                <w:szCs w:val="18"/>
                <w:color w:val="auto"/>
                <w:w w:val="89"/>
              </w:rPr>
              <w:t>Delaware</w:t>
            </w:r>
          </w:p>
        </w:tc>
      </w:tr>
      <w:tr>
        <w:trPr>
          <w:trHeight w:val="256"/>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NCP-ATK Holdings, Inc.</w:t>
            </w:r>
          </w:p>
        </w:tc>
        <w:tc>
          <w:tcPr>
            <w:tcW w:w="4780" w:type="dxa"/>
            <w:vAlign w:val="bottom"/>
            <w:shd w:val="clear" w:color="auto" w:fill="CCEEFF"/>
          </w:tcPr>
          <w:p>
            <w:pPr>
              <w:jc w:val="center"/>
              <w:ind w:right="570"/>
              <w:spacing w:after="0"/>
              <w:rPr>
                <w:sz w:val="20"/>
                <w:szCs w:val="20"/>
                <w:color w:val="auto"/>
              </w:rPr>
            </w:pPr>
            <w:r>
              <w:rPr>
                <w:rFonts w:ascii="Arial" w:cs="Arial" w:eastAsia="Arial" w:hAnsi="Arial"/>
                <w:sz w:val="18"/>
                <w:szCs w:val="18"/>
                <w:color w:val="auto"/>
                <w:w w:val="89"/>
              </w:rPr>
              <w:t>Delaware</w:t>
            </w:r>
          </w:p>
        </w:tc>
      </w:tr>
      <w:tr>
        <w:trPr>
          <w:trHeight w:val="257"/>
        </w:trPr>
        <w:tc>
          <w:tcPr>
            <w:tcW w:w="4420" w:type="dxa"/>
            <w:vAlign w:val="bottom"/>
          </w:tcPr>
          <w:p>
            <w:pPr>
              <w:ind w:left="20"/>
              <w:spacing w:after="0"/>
              <w:rPr>
                <w:sz w:val="20"/>
                <w:szCs w:val="20"/>
                <w:color w:val="auto"/>
              </w:rPr>
            </w:pPr>
            <w:r>
              <w:rPr>
                <w:rFonts w:ascii="Arial" w:cs="Arial" w:eastAsia="Arial" w:hAnsi="Arial"/>
                <w:sz w:val="18"/>
                <w:szCs w:val="18"/>
                <w:color w:val="auto"/>
              </w:rPr>
              <w:t>Atkins Nutritional Holdings, Inc.</w:t>
            </w:r>
          </w:p>
        </w:tc>
        <w:tc>
          <w:tcPr>
            <w:tcW w:w="4780" w:type="dxa"/>
            <w:vAlign w:val="bottom"/>
          </w:tcPr>
          <w:p>
            <w:pPr>
              <w:jc w:val="center"/>
              <w:ind w:right="570"/>
              <w:spacing w:after="0"/>
              <w:rPr>
                <w:sz w:val="20"/>
                <w:szCs w:val="20"/>
                <w:color w:val="auto"/>
              </w:rPr>
            </w:pPr>
            <w:r>
              <w:rPr>
                <w:rFonts w:ascii="Arial" w:cs="Arial" w:eastAsia="Arial" w:hAnsi="Arial"/>
                <w:sz w:val="18"/>
                <w:szCs w:val="18"/>
                <w:color w:val="auto"/>
                <w:w w:val="89"/>
              </w:rPr>
              <w:t>Delaware</w:t>
            </w:r>
          </w:p>
        </w:tc>
      </w:tr>
      <w:tr>
        <w:trPr>
          <w:trHeight w:val="257"/>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Atkins Nutritional Holdings II, Inc.</w:t>
            </w:r>
          </w:p>
        </w:tc>
        <w:tc>
          <w:tcPr>
            <w:tcW w:w="4780" w:type="dxa"/>
            <w:vAlign w:val="bottom"/>
            <w:shd w:val="clear" w:color="auto" w:fill="CCEEFF"/>
          </w:tcPr>
          <w:p>
            <w:pPr>
              <w:jc w:val="center"/>
              <w:ind w:right="570"/>
              <w:spacing w:after="0"/>
              <w:rPr>
                <w:sz w:val="20"/>
                <w:szCs w:val="20"/>
                <w:color w:val="auto"/>
              </w:rPr>
            </w:pPr>
            <w:r>
              <w:rPr>
                <w:rFonts w:ascii="Arial" w:cs="Arial" w:eastAsia="Arial" w:hAnsi="Arial"/>
                <w:sz w:val="18"/>
                <w:szCs w:val="18"/>
                <w:color w:val="auto"/>
                <w:w w:val="89"/>
              </w:rPr>
              <w:t>Delaware</w:t>
            </w:r>
          </w:p>
        </w:tc>
      </w:tr>
      <w:tr>
        <w:trPr>
          <w:trHeight w:val="257"/>
        </w:trPr>
        <w:tc>
          <w:tcPr>
            <w:tcW w:w="4420" w:type="dxa"/>
            <w:vAlign w:val="bottom"/>
          </w:tcPr>
          <w:p>
            <w:pPr>
              <w:ind w:left="20"/>
              <w:spacing w:after="0"/>
              <w:rPr>
                <w:sz w:val="20"/>
                <w:szCs w:val="20"/>
                <w:color w:val="auto"/>
              </w:rPr>
            </w:pPr>
            <w:r>
              <w:rPr>
                <w:rFonts w:ascii="Arial" w:cs="Arial" w:eastAsia="Arial" w:hAnsi="Arial"/>
                <w:sz w:val="18"/>
                <w:szCs w:val="18"/>
                <w:color w:val="auto"/>
              </w:rPr>
              <w:t>Simply Good Foods USA, Inc.</w:t>
            </w:r>
          </w:p>
        </w:tc>
        <w:tc>
          <w:tcPr>
            <w:tcW w:w="4780" w:type="dxa"/>
            <w:vAlign w:val="bottom"/>
          </w:tcPr>
          <w:p>
            <w:pPr>
              <w:jc w:val="center"/>
              <w:ind w:right="570"/>
              <w:spacing w:after="0"/>
              <w:rPr>
                <w:sz w:val="20"/>
                <w:szCs w:val="20"/>
                <w:color w:val="auto"/>
              </w:rPr>
            </w:pPr>
            <w:r>
              <w:rPr>
                <w:rFonts w:ascii="Arial" w:cs="Arial" w:eastAsia="Arial" w:hAnsi="Arial"/>
                <w:sz w:val="18"/>
                <w:szCs w:val="18"/>
                <w:color w:val="auto"/>
                <w:w w:val="92"/>
              </w:rPr>
              <w:t>New York</w:t>
            </w:r>
          </w:p>
        </w:tc>
      </w:tr>
      <w:tr>
        <w:trPr>
          <w:trHeight w:val="256"/>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Simply Good Foods Canada Inc.</w:t>
            </w:r>
          </w:p>
        </w:tc>
        <w:tc>
          <w:tcPr>
            <w:tcW w:w="4780" w:type="dxa"/>
            <w:vAlign w:val="bottom"/>
            <w:shd w:val="clear" w:color="auto" w:fill="CCEEFF"/>
          </w:tcPr>
          <w:p>
            <w:pPr>
              <w:jc w:val="center"/>
              <w:ind w:right="550"/>
              <w:spacing w:after="0"/>
              <w:rPr>
                <w:sz w:val="20"/>
                <w:szCs w:val="20"/>
                <w:color w:val="auto"/>
              </w:rPr>
            </w:pPr>
            <w:r>
              <w:rPr>
                <w:rFonts w:ascii="Arial" w:cs="Arial" w:eastAsia="Arial" w:hAnsi="Arial"/>
                <w:sz w:val="18"/>
                <w:szCs w:val="18"/>
                <w:color w:val="auto"/>
                <w:w w:val="89"/>
              </w:rPr>
              <w:t>Ontario, Canada</w:t>
            </w:r>
          </w:p>
        </w:tc>
      </w:tr>
      <w:tr>
        <w:trPr>
          <w:trHeight w:val="257"/>
        </w:trPr>
        <w:tc>
          <w:tcPr>
            <w:tcW w:w="4420" w:type="dxa"/>
            <w:vAlign w:val="bottom"/>
          </w:tcPr>
          <w:p>
            <w:pPr>
              <w:ind w:left="20"/>
              <w:spacing w:after="0"/>
              <w:rPr>
                <w:sz w:val="20"/>
                <w:szCs w:val="20"/>
                <w:color w:val="auto"/>
              </w:rPr>
            </w:pPr>
            <w:r>
              <w:rPr>
                <w:rFonts w:ascii="Arial" w:cs="Arial" w:eastAsia="Arial" w:hAnsi="Arial"/>
                <w:sz w:val="18"/>
                <w:szCs w:val="18"/>
                <w:color w:val="auto"/>
              </w:rPr>
              <w:t>Simply Good Foods International B.V.</w:t>
            </w:r>
          </w:p>
        </w:tc>
        <w:tc>
          <w:tcPr>
            <w:tcW w:w="4780" w:type="dxa"/>
            <w:vAlign w:val="bottom"/>
          </w:tcPr>
          <w:p>
            <w:pPr>
              <w:jc w:val="center"/>
              <w:ind w:right="570"/>
              <w:spacing w:after="0"/>
              <w:rPr>
                <w:sz w:val="20"/>
                <w:szCs w:val="20"/>
                <w:color w:val="auto"/>
              </w:rPr>
            </w:pPr>
            <w:r>
              <w:rPr>
                <w:rFonts w:ascii="Arial" w:cs="Arial" w:eastAsia="Arial" w:hAnsi="Arial"/>
                <w:sz w:val="18"/>
                <w:szCs w:val="18"/>
                <w:color w:val="auto"/>
                <w:w w:val="90"/>
              </w:rPr>
              <w:t>Netherlands</w:t>
            </w:r>
          </w:p>
        </w:tc>
      </w:tr>
      <w:tr>
        <w:trPr>
          <w:trHeight w:val="257"/>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Simply Good Foods Australia PTY LTD</w:t>
            </w:r>
          </w:p>
        </w:tc>
        <w:tc>
          <w:tcPr>
            <w:tcW w:w="4780" w:type="dxa"/>
            <w:vAlign w:val="bottom"/>
            <w:shd w:val="clear" w:color="auto" w:fill="CCEEFF"/>
          </w:tcPr>
          <w:p>
            <w:pPr>
              <w:jc w:val="center"/>
              <w:ind w:right="550"/>
              <w:spacing w:after="0"/>
              <w:rPr>
                <w:sz w:val="20"/>
                <w:szCs w:val="20"/>
                <w:color w:val="auto"/>
              </w:rPr>
            </w:pPr>
            <w:r>
              <w:rPr>
                <w:rFonts w:ascii="Arial" w:cs="Arial" w:eastAsia="Arial" w:hAnsi="Arial"/>
                <w:sz w:val="18"/>
                <w:szCs w:val="18"/>
                <w:color w:val="auto"/>
                <w:w w:val="94"/>
              </w:rPr>
              <w:t>Australia</w:t>
            </w:r>
          </w:p>
        </w:tc>
      </w:tr>
      <w:tr>
        <w:trPr>
          <w:trHeight w:val="257"/>
        </w:trPr>
        <w:tc>
          <w:tcPr>
            <w:tcW w:w="4420" w:type="dxa"/>
            <w:vAlign w:val="bottom"/>
          </w:tcPr>
          <w:p>
            <w:pPr>
              <w:ind w:left="20"/>
              <w:spacing w:after="0"/>
              <w:rPr>
                <w:sz w:val="20"/>
                <w:szCs w:val="20"/>
                <w:color w:val="auto"/>
              </w:rPr>
            </w:pPr>
            <w:r>
              <w:rPr>
                <w:rFonts w:ascii="Arial" w:cs="Arial" w:eastAsia="Arial" w:hAnsi="Arial"/>
                <w:sz w:val="18"/>
                <w:szCs w:val="18"/>
                <w:color w:val="auto"/>
              </w:rPr>
              <w:t>Simply Good Foods NZ Limited</w:t>
            </w:r>
          </w:p>
        </w:tc>
        <w:tc>
          <w:tcPr>
            <w:tcW w:w="4780" w:type="dxa"/>
            <w:vAlign w:val="bottom"/>
          </w:tcPr>
          <w:p>
            <w:pPr>
              <w:jc w:val="center"/>
              <w:ind w:right="570"/>
              <w:spacing w:after="0"/>
              <w:rPr>
                <w:sz w:val="20"/>
                <w:szCs w:val="20"/>
                <w:color w:val="auto"/>
              </w:rPr>
            </w:pPr>
            <w:r>
              <w:rPr>
                <w:rFonts w:ascii="Arial" w:cs="Arial" w:eastAsia="Arial" w:hAnsi="Arial"/>
                <w:sz w:val="18"/>
                <w:szCs w:val="18"/>
                <w:color w:val="auto"/>
                <w:w w:val="90"/>
              </w:rPr>
              <w:t>New Zealand</w:t>
            </w:r>
          </w:p>
        </w:tc>
      </w:tr>
      <w:tr>
        <w:trPr>
          <w:trHeight w:val="256"/>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VMG Quest Blocker, Inc.</w:t>
            </w:r>
          </w:p>
        </w:tc>
        <w:tc>
          <w:tcPr>
            <w:tcW w:w="4780" w:type="dxa"/>
            <w:vAlign w:val="bottom"/>
            <w:shd w:val="clear" w:color="auto" w:fill="CCEEFF"/>
          </w:tcPr>
          <w:p>
            <w:pPr>
              <w:jc w:val="center"/>
              <w:ind w:right="570"/>
              <w:spacing w:after="0"/>
              <w:rPr>
                <w:sz w:val="20"/>
                <w:szCs w:val="20"/>
                <w:color w:val="auto"/>
              </w:rPr>
            </w:pPr>
            <w:r>
              <w:rPr>
                <w:rFonts w:ascii="Arial" w:cs="Arial" w:eastAsia="Arial" w:hAnsi="Arial"/>
                <w:sz w:val="18"/>
                <w:szCs w:val="18"/>
                <w:color w:val="auto"/>
                <w:w w:val="89"/>
              </w:rPr>
              <w:t>Delaware</w:t>
            </w:r>
          </w:p>
        </w:tc>
      </w:tr>
      <w:tr>
        <w:trPr>
          <w:trHeight w:val="257"/>
        </w:trPr>
        <w:tc>
          <w:tcPr>
            <w:tcW w:w="4420" w:type="dxa"/>
            <w:vAlign w:val="bottom"/>
          </w:tcPr>
          <w:p>
            <w:pPr>
              <w:ind w:left="20"/>
              <w:spacing w:after="0"/>
              <w:rPr>
                <w:sz w:val="20"/>
                <w:szCs w:val="20"/>
                <w:color w:val="auto"/>
              </w:rPr>
            </w:pPr>
            <w:r>
              <w:rPr>
                <w:rFonts w:ascii="Arial" w:cs="Arial" w:eastAsia="Arial" w:hAnsi="Arial"/>
                <w:sz w:val="18"/>
                <w:szCs w:val="18"/>
                <w:color w:val="auto"/>
              </w:rPr>
              <w:t>Voyage Holdings, LLC</w:t>
            </w:r>
          </w:p>
        </w:tc>
        <w:tc>
          <w:tcPr>
            <w:tcW w:w="4780" w:type="dxa"/>
            <w:vAlign w:val="bottom"/>
          </w:tcPr>
          <w:p>
            <w:pPr>
              <w:jc w:val="center"/>
              <w:ind w:right="570"/>
              <w:spacing w:after="0"/>
              <w:rPr>
                <w:sz w:val="20"/>
                <w:szCs w:val="20"/>
                <w:color w:val="auto"/>
              </w:rPr>
            </w:pPr>
            <w:r>
              <w:rPr>
                <w:rFonts w:ascii="Arial" w:cs="Arial" w:eastAsia="Arial" w:hAnsi="Arial"/>
                <w:sz w:val="18"/>
                <w:szCs w:val="18"/>
                <w:color w:val="auto"/>
                <w:w w:val="89"/>
              </w:rPr>
              <w:t>Delaware</w:t>
            </w:r>
          </w:p>
        </w:tc>
      </w:tr>
      <w:tr>
        <w:trPr>
          <w:trHeight w:val="257"/>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Quest Nutrition, LLC</w:t>
            </w:r>
          </w:p>
        </w:tc>
        <w:tc>
          <w:tcPr>
            <w:tcW w:w="4780" w:type="dxa"/>
            <w:vAlign w:val="bottom"/>
            <w:shd w:val="clear" w:color="auto" w:fill="CCEEFF"/>
          </w:tcPr>
          <w:p>
            <w:pPr>
              <w:jc w:val="center"/>
              <w:ind w:right="570"/>
              <w:spacing w:after="0"/>
              <w:rPr>
                <w:sz w:val="20"/>
                <w:szCs w:val="20"/>
                <w:color w:val="auto"/>
              </w:rPr>
            </w:pPr>
            <w:r>
              <w:rPr>
                <w:rFonts w:ascii="Arial" w:cs="Arial" w:eastAsia="Arial" w:hAnsi="Arial"/>
                <w:sz w:val="18"/>
                <w:szCs w:val="18"/>
                <w:color w:val="auto"/>
                <w:w w:val="89"/>
              </w:rPr>
              <w:t>Delaware</w:t>
            </w:r>
          </w:p>
        </w:tc>
      </w:tr>
    </w:tbl>
    <w:p>
      <w:pPr>
        <w:sectPr>
          <w:pgSz w:w="11900" w:h="16838" w:orient="portrait"/>
          <w:cols w:equalWidth="0" w:num="1">
            <w:col w:w="10220"/>
          </w:cols>
          <w:pgMar w:left="1340" w:top="891"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color w:val="auto"/>
        </w:rPr>
        <w:t>Exhibit 23.1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 333-220776 on Form S-8 and Nos. 333-228696 and 333-234004 on Form S-3 of our reports dated October 26, 2021, relating to the financial statements of The Simply Good Foods Company and subsidiaries and the effectiveness of The Simply Good Foods Company and subsidiaries’ internal control over financial reporting appearing in this Annual Report on Form 10-K of The Simply Good Foods Company for the fifty-two weeks ended August 28, 2021.</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26, 2021</w:t>
      </w:r>
    </w:p>
    <w:p>
      <w:pPr>
        <w:sectPr>
          <w:pgSz w:w="11900" w:h="16838" w:orient="portrait"/>
          <w:cols w:equalWidth="0" w:num="1">
            <w:col w:w="11240"/>
          </w:cols>
          <w:pgMar w:left="320" w:top="895"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U.S.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Joseph E. Scalzo, certify that:</w:t>
      </w:r>
    </w:p>
    <w:p>
      <w:pPr>
        <w:spacing w:after="0" w:line="225" w:lineRule="exact"/>
        <w:rPr>
          <w:sz w:val="20"/>
          <w:szCs w:val="20"/>
          <w:color w:val="auto"/>
        </w:rPr>
      </w:pPr>
    </w:p>
    <w:p>
      <w:pPr>
        <w:ind w:left="420" w:hanging="232"/>
        <w:spacing w:after="0"/>
        <w:tabs>
          <w:tab w:leader="none" w:pos="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Simply Good Foods Company (the "registrant");</w:t>
      </w:r>
    </w:p>
    <w:p>
      <w:pPr>
        <w:spacing w:after="0" w:line="225" w:lineRule="exact"/>
        <w:rPr>
          <w:rFonts w:ascii="Arial" w:cs="Arial" w:eastAsia="Arial" w:hAnsi="Arial"/>
          <w:sz w:val="18"/>
          <w:szCs w:val="18"/>
          <w:color w:val="auto"/>
        </w:rPr>
      </w:pPr>
    </w:p>
    <w:p>
      <w:pPr>
        <w:ind w:firstLine="232"/>
        <w:spacing w:after="0" w:line="342" w:lineRule="auto"/>
        <w:tabs>
          <w:tab w:leader="none" w:pos="471" w:val="left"/>
        </w:tabs>
        <w:numPr>
          <w:ilvl w:val="1"/>
          <w:numId w:val="3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236"/>
        <w:spacing w:after="0" w:line="277" w:lineRule="auto"/>
        <w:tabs>
          <w:tab w:leader="none" w:pos="477" w:val="left"/>
        </w:tabs>
        <w:numPr>
          <w:ilvl w:val="2"/>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276"/>
        <w:spacing w:after="0" w:line="263" w:lineRule="auto"/>
        <w:tabs>
          <w:tab w:leader="none" w:pos="534" w:val="left"/>
        </w:tabs>
        <w:numPr>
          <w:ilvl w:val="3"/>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firstLine="4"/>
        <w:spacing w:after="0" w:line="286" w:lineRule="auto"/>
        <w:tabs>
          <w:tab w:leader="none" w:pos="1873" w:val="left"/>
        </w:tabs>
        <w:numPr>
          <w:ilvl w:val="4"/>
          <w:numId w:val="3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jc w:val="both"/>
        <w:ind w:left="1300" w:firstLine="4"/>
        <w:spacing w:after="0" w:line="263" w:lineRule="auto"/>
        <w:tabs>
          <w:tab w:leader="none" w:pos="1727" w:val="left"/>
        </w:tabs>
        <w:numPr>
          <w:ilvl w:val="4"/>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00" w:firstLine="4"/>
        <w:spacing w:after="0" w:line="263" w:lineRule="auto"/>
        <w:tabs>
          <w:tab w:leader="none" w:pos="1774" w:val="left"/>
        </w:tabs>
        <w:numPr>
          <w:ilvl w:val="4"/>
          <w:numId w:val="3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1300" w:firstLine="4"/>
        <w:spacing w:after="0" w:line="263" w:lineRule="auto"/>
        <w:tabs>
          <w:tab w:leader="none" w:pos="1774" w:val="left"/>
        </w:tabs>
        <w:numPr>
          <w:ilvl w:val="4"/>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223"/>
        <w:spacing w:after="0" w:line="308" w:lineRule="auto"/>
        <w:tabs>
          <w:tab w:leader="none" w:pos="454" w:val="left"/>
        </w:tabs>
        <w:numPr>
          <w:ilvl w:val="2"/>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firstLine="4"/>
        <w:spacing w:after="0" w:line="308" w:lineRule="auto"/>
        <w:tabs>
          <w:tab w:leader="none" w:pos="1766" w:val="left"/>
        </w:tabs>
        <w:numPr>
          <w:ilvl w:val="4"/>
          <w:numId w:val="3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firstLine="4"/>
        <w:spacing w:after="0" w:line="277" w:lineRule="auto"/>
        <w:tabs>
          <w:tab w:leader="none" w:pos="1807" w:val="left"/>
        </w:tabs>
        <w:numPr>
          <w:ilvl w:val="4"/>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tbl>
      <w:tblPr>
        <w:tblLayout w:type="fixed"/>
        <w:tblInd w:w="220" w:type="dxa"/>
        <w:tblCellMar>
          <w:top w:w="0" w:type="dxa"/>
          <w:left w:w="0" w:type="dxa"/>
          <w:bottom w:w="0" w:type="dxa"/>
          <w:right w:w="0" w:type="dxa"/>
        </w:tblCellMar>
      </w:tblPr>
      <w:tr>
        <w:trPr>
          <w:trHeight w:val="220"/>
        </w:trPr>
        <w:tc>
          <w:tcPr>
            <w:tcW w:w="2320" w:type="dxa"/>
            <w:vAlign w:val="bottom"/>
          </w:tcPr>
          <w:p>
            <w:pPr>
              <w:spacing w:after="0"/>
              <w:rPr>
                <w:sz w:val="20"/>
                <w:szCs w:val="20"/>
                <w:color w:val="auto"/>
              </w:rPr>
            </w:pPr>
            <w:r>
              <w:rPr>
                <w:rFonts w:ascii="Arial" w:cs="Arial" w:eastAsia="Arial" w:hAnsi="Arial"/>
                <w:sz w:val="16"/>
                <w:szCs w:val="16"/>
                <w:color w:val="auto"/>
              </w:rPr>
              <w:t>Date: October 26, 2021  By:</w:t>
            </w:r>
          </w:p>
        </w:tc>
        <w:tc>
          <w:tcPr>
            <w:tcW w:w="3480" w:type="dxa"/>
            <w:vAlign w:val="bottom"/>
          </w:tcPr>
          <w:p>
            <w:pPr>
              <w:ind w:left="20"/>
              <w:spacing w:after="0"/>
              <w:rPr>
                <w:sz w:val="20"/>
                <w:szCs w:val="20"/>
                <w:color w:val="auto"/>
              </w:rPr>
            </w:pPr>
            <w:r>
              <w:rPr>
                <w:rFonts w:ascii="Arial" w:cs="Arial" w:eastAsia="Arial" w:hAnsi="Arial"/>
                <w:sz w:val="16"/>
                <w:szCs w:val="16"/>
                <w:color w:val="auto"/>
              </w:rPr>
              <w:t>/s/ Joseph E. Scalzo</w:t>
            </w:r>
          </w:p>
        </w:tc>
        <w:tc>
          <w:tcPr>
            <w:tcW w:w="0" w:type="dxa"/>
            <w:vAlign w:val="bottom"/>
          </w:tcPr>
          <w:p>
            <w:pPr>
              <w:spacing w:after="0"/>
              <w:rPr>
                <w:sz w:val="1"/>
                <w:szCs w:val="1"/>
                <w:color w:val="auto"/>
              </w:rPr>
            </w:pPr>
          </w:p>
        </w:tc>
      </w:tr>
      <w:tr>
        <w:trPr>
          <w:trHeight w:val="47"/>
        </w:trPr>
        <w:tc>
          <w:tcPr>
            <w:tcW w:w="2320" w:type="dxa"/>
            <w:vAlign w:val="bottom"/>
            <w:vMerge w:val="restart"/>
          </w:tcPr>
          <w:p>
            <w:pPr>
              <w:ind w:left="1660"/>
              <w:spacing w:after="0"/>
              <w:rPr>
                <w:sz w:val="20"/>
                <w:szCs w:val="20"/>
                <w:color w:val="auto"/>
              </w:rPr>
            </w:pPr>
            <w:r>
              <w:rPr>
                <w:rFonts w:ascii="Arial" w:cs="Arial" w:eastAsia="Arial" w:hAnsi="Arial"/>
                <w:sz w:val="16"/>
                <w:szCs w:val="16"/>
                <w:color w:val="auto"/>
              </w:rPr>
              <w:t>Name:</w:t>
            </w:r>
          </w:p>
        </w:tc>
        <w:tc>
          <w:tcPr>
            <w:tcW w:w="34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320" w:type="dxa"/>
            <w:vAlign w:val="bottom"/>
            <w:vMerge w:val="continue"/>
          </w:tcPr>
          <w:p>
            <w:pPr>
              <w:spacing w:after="0"/>
              <w:rPr>
                <w:sz w:val="17"/>
                <w:szCs w:val="17"/>
                <w:color w:val="auto"/>
              </w:rPr>
            </w:pPr>
          </w:p>
        </w:tc>
        <w:tc>
          <w:tcPr>
            <w:tcW w:w="3480" w:type="dxa"/>
            <w:vAlign w:val="bottom"/>
          </w:tcPr>
          <w:p>
            <w:pPr>
              <w:ind w:left="20"/>
              <w:spacing w:after="0"/>
              <w:rPr>
                <w:sz w:val="20"/>
                <w:szCs w:val="20"/>
                <w:color w:val="auto"/>
              </w:rPr>
            </w:pPr>
            <w:r>
              <w:rPr>
                <w:rFonts w:ascii="Arial" w:cs="Arial" w:eastAsia="Arial" w:hAnsi="Arial"/>
                <w:sz w:val="16"/>
                <w:szCs w:val="16"/>
                <w:color w:val="auto"/>
              </w:rPr>
              <w:t>Joseph E. Scalzo</w:t>
            </w:r>
          </w:p>
        </w:tc>
        <w:tc>
          <w:tcPr>
            <w:tcW w:w="0" w:type="dxa"/>
            <w:vAlign w:val="bottom"/>
          </w:tcPr>
          <w:p>
            <w:pPr>
              <w:spacing w:after="0"/>
              <w:rPr>
                <w:sz w:val="1"/>
                <w:szCs w:val="1"/>
                <w:color w:val="auto"/>
              </w:rPr>
            </w:pPr>
          </w:p>
        </w:tc>
      </w:tr>
      <w:tr>
        <w:trPr>
          <w:trHeight w:val="257"/>
        </w:trPr>
        <w:tc>
          <w:tcPr>
            <w:tcW w:w="2320" w:type="dxa"/>
            <w:vAlign w:val="bottom"/>
          </w:tcPr>
          <w:p>
            <w:pPr>
              <w:ind w:left="1660"/>
              <w:spacing w:after="0"/>
              <w:rPr>
                <w:sz w:val="20"/>
                <w:szCs w:val="20"/>
                <w:color w:val="auto"/>
              </w:rPr>
            </w:pPr>
            <w:r>
              <w:rPr>
                <w:rFonts w:ascii="Arial" w:cs="Arial" w:eastAsia="Arial" w:hAnsi="Arial"/>
                <w:sz w:val="16"/>
                <w:szCs w:val="16"/>
                <w:color w:val="auto"/>
              </w:rPr>
              <w:t>Title:</w:t>
            </w:r>
          </w:p>
        </w:tc>
        <w:tc>
          <w:tcPr>
            <w:tcW w:w="3480" w:type="dxa"/>
            <w:vAlign w:val="bottom"/>
          </w:tcPr>
          <w:p>
            <w:pPr>
              <w:ind w:left="20"/>
              <w:spacing w:after="0"/>
              <w:rPr>
                <w:sz w:val="20"/>
                <w:szCs w:val="20"/>
                <w:color w:val="auto"/>
              </w:rPr>
            </w:pPr>
            <w:r>
              <w:rPr>
                <w:rFonts w:ascii="Arial" w:cs="Arial" w:eastAsia="Arial" w:hAnsi="Arial"/>
                <w:sz w:val="16"/>
                <w:szCs w:val="16"/>
                <w:color w:val="auto"/>
              </w:rPr>
              <w:t>Chief Executive Officer, President and Director</w:t>
            </w:r>
          </w:p>
        </w:tc>
        <w:tc>
          <w:tcPr>
            <w:tcW w:w="0" w:type="dxa"/>
            <w:vAlign w:val="bottom"/>
          </w:tcPr>
          <w:p>
            <w:pPr>
              <w:spacing w:after="0"/>
              <w:rPr>
                <w:sz w:val="1"/>
                <w:szCs w:val="1"/>
                <w:color w:val="auto"/>
              </w:rPr>
            </w:pPr>
          </w:p>
        </w:tc>
      </w:tr>
      <w:tr>
        <w:trPr>
          <w:trHeight w:val="270"/>
        </w:trPr>
        <w:tc>
          <w:tcPr>
            <w:tcW w:w="2320" w:type="dxa"/>
            <w:vAlign w:val="bottom"/>
          </w:tcPr>
          <w:p>
            <w:pPr>
              <w:spacing w:after="0"/>
              <w:rPr>
                <w:sz w:val="23"/>
                <w:szCs w:val="23"/>
                <w:color w:val="auto"/>
              </w:rPr>
            </w:pPr>
          </w:p>
        </w:tc>
        <w:tc>
          <w:tcPr>
            <w:tcW w:w="3480" w:type="dxa"/>
            <w:vAlign w:val="bottom"/>
          </w:tcPr>
          <w:p>
            <w:pPr>
              <w:ind w:left="20"/>
              <w:spacing w:after="0"/>
              <w:rPr>
                <w:sz w:val="20"/>
                <w:szCs w:val="20"/>
                <w:color w:val="auto"/>
              </w:rPr>
            </w:pPr>
            <w:r>
              <w:rPr>
                <w:rFonts w:ascii="Arial" w:cs="Arial" w:eastAsia="Arial" w:hAnsi="Arial"/>
                <w:sz w:val="16"/>
                <w:szCs w:val="16"/>
                <w:i w:val="1"/>
                <w:iCs w:val="1"/>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891"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U.S.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Todd E. Cunfer, certify that:</w:t>
      </w:r>
    </w:p>
    <w:p>
      <w:pPr>
        <w:spacing w:after="0" w:line="225" w:lineRule="exact"/>
        <w:rPr>
          <w:sz w:val="20"/>
          <w:szCs w:val="20"/>
          <w:color w:val="auto"/>
        </w:rPr>
      </w:pPr>
    </w:p>
    <w:p>
      <w:pPr>
        <w:ind w:left="420" w:hanging="232"/>
        <w:spacing w:after="0"/>
        <w:tabs>
          <w:tab w:leader="none" w:pos="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Simply Good Foods Company (the "registrant");</w:t>
      </w:r>
    </w:p>
    <w:p>
      <w:pPr>
        <w:spacing w:after="0" w:line="225" w:lineRule="exact"/>
        <w:rPr>
          <w:rFonts w:ascii="Arial" w:cs="Arial" w:eastAsia="Arial" w:hAnsi="Arial"/>
          <w:sz w:val="18"/>
          <w:szCs w:val="18"/>
          <w:color w:val="auto"/>
        </w:rPr>
      </w:pPr>
    </w:p>
    <w:p>
      <w:pPr>
        <w:ind w:firstLine="232"/>
        <w:spacing w:after="0" w:line="342" w:lineRule="auto"/>
        <w:tabs>
          <w:tab w:leader="none" w:pos="471" w:val="left"/>
        </w:tabs>
        <w:numPr>
          <w:ilvl w:val="1"/>
          <w:numId w:val="3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236"/>
        <w:spacing w:after="0" w:line="277" w:lineRule="auto"/>
        <w:tabs>
          <w:tab w:leader="none" w:pos="477" w:val="left"/>
        </w:tabs>
        <w:numPr>
          <w:ilvl w:val="2"/>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276"/>
        <w:spacing w:after="0" w:line="263" w:lineRule="auto"/>
        <w:tabs>
          <w:tab w:leader="none" w:pos="534" w:val="left"/>
        </w:tabs>
        <w:numPr>
          <w:ilvl w:val="3"/>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firstLine="4"/>
        <w:spacing w:after="0" w:line="286" w:lineRule="auto"/>
        <w:tabs>
          <w:tab w:leader="none" w:pos="1873" w:val="left"/>
        </w:tabs>
        <w:numPr>
          <w:ilvl w:val="4"/>
          <w:numId w:val="3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jc w:val="both"/>
        <w:ind w:left="1300" w:firstLine="4"/>
        <w:spacing w:after="0" w:line="263" w:lineRule="auto"/>
        <w:tabs>
          <w:tab w:leader="none" w:pos="1727" w:val="left"/>
        </w:tabs>
        <w:numPr>
          <w:ilvl w:val="4"/>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00" w:firstLine="4"/>
        <w:spacing w:after="0" w:line="263" w:lineRule="auto"/>
        <w:tabs>
          <w:tab w:leader="none" w:pos="1774" w:val="left"/>
        </w:tabs>
        <w:numPr>
          <w:ilvl w:val="4"/>
          <w:numId w:val="3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1300" w:firstLine="4"/>
        <w:spacing w:after="0" w:line="263" w:lineRule="auto"/>
        <w:tabs>
          <w:tab w:leader="none" w:pos="1774" w:val="left"/>
        </w:tabs>
        <w:numPr>
          <w:ilvl w:val="4"/>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223"/>
        <w:spacing w:after="0" w:line="308" w:lineRule="auto"/>
        <w:tabs>
          <w:tab w:leader="none" w:pos="454" w:val="left"/>
        </w:tabs>
        <w:numPr>
          <w:ilvl w:val="2"/>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firstLine="4"/>
        <w:spacing w:after="0" w:line="308" w:lineRule="auto"/>
        <w:tabs>
          <w:tab w:leader="none" w:pos="1766" w:val="left"/>
        </w:tabs>
        <w:numPr>
          <w:ilvl w:val="4"/>
          <w:numId w:val="3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firstLine="4"/>
        <w:spacing w:after="0" w:line="277" w:lineRule="auto"/>
        <w:tabs>
          <w:tab w:leader="none" w:pos="1807" w:val="left"/>
        </w:tabs>
        <w:numPr>
          <w:ilvl w:val="4"/>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tbl>
      <w:tblPr>
        <w:tblLayout w:type="fixed"/>
        <w:tblInd w:w="220" w:type="dxa"/>
        <w:tblCellMar>
          <w:top w:w="0" w:type="dxa"/>
          <w:left w:w="0" w:type="dxa"/>
          <w:bottom w:w="0" w:type="dxa"/>
          <w:right w:w="0" w:type="dxa"/>
        </w:tblCellMar>
      </w:tblPr>
      <w:tr>
        <w:trPr>
          <w:trHeight w:val="206"/>
        </w:trPr>
        <w:tc>
          <w:tcPr>
            <w:tcW w:w="2320" w:type="dxa"/>
            <w:vAlign w:val="bottom"/>
          </w:tcPr>
          <w:p>
            <w:pPr>
              <w:spacing w:after="0"/>
              <w:rPr>
                <w:sz w:val="20"/>
                <w:szCs w:val="20"/>
                <w:color w:val="auto"/>
              </w:rPr>
            </w:pPr>
            <w:r>
              <w:rPr>
                <w:rFonts w:ascii="Arial" w:cs="Arial" w:eastAsia="Arial" w:hAnsi="Arial"/>
                <w:sz w:val="16"/>
                <w:szCs w:val="16"/>
                <w:color w:val="auto"/>
              </w:rPr>
              <w:t>Date: October 26, 2021  By:</w:t>
            </w:r>
          </w:p>
        </w:tc>
        <w:tc>
          <w:tcPr>
            <w:tcW w:w="3480" w:type="dxa"/>
            <w:vAlign w:val="bottom"/>
            <w:vMerge w:val="restart"/>
          </w:tcPr>
          <w:p>
            <w:pPr>
              <w:ind w:left="20"/>
              <w:spacing w:after="0"/>
              <w:rPr>
                <w:sz w:val="20"/>
                <w:szCs w:val="20"/>
                <w:color w:val="auto"/>
              </w:rPr>
            </w:pPr>
            <w:r>
              <w:rPr>
                <w:rFonts w:ascii="Arial" w:cs="Arial" w:eastAsia="Arial" w:hAnsi="Arial"/>
                <w:sz w:val="16"/>
                <w:szCs w:val="16"/>
                <w:color w:val="auto"/>
              </w:rPr>
              <w:t>/s/ Todd E. Cunfer</w:t>
            </w:r>
          </w:p>
        </w:tc>
        <w:tc>
          <w:tcPr>
            <w:tcW w:w="0" w:type="dxa"/>
            <w:vAlign w:val="bottom"/>
          </w:tcPr>
          <w:p>
            <w:pPr>
              <w:spacing w:after="0"/>
              <w:rPr>
                <w:sz w:val="1"/>
                <w:szCs w:val="1"/>
                <w:color w:val="auto"/>
              </w:rPr>
            </w:pPr>
          </w:p>
        </w:tc>
      </w:tr>
      <w:tr>
        <w:trPr>
          <w:trHeight w:val="59"/>
        </w:trPr>
        <w:tc>
          <w:tcPr>
            <w:tcW w:w="2320" w:type="dxa"/>
            <w:vAlign w:val="bottom"/>
          </w:tcPr>
          <w:p>
            <w:pPr>
              <w:spacing w:after="0"/>
              <w:rPr>
                <w:sz w:val="4"/>
                <w:szCs w:val="4"/>
                <w:color w:val="auto"/>
              </w:rPr>
            </w:pPr>
          </w:p>
        </w:tc>
        <w:tc>
          <w:tcPr>
            <w:tcW w:w="348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320" w:type="dxa"/>
            <w:vAlign w:val="bottom"/>
          </w:tcPr>
          <w:p>
            <w:pPr>
              <w:ind w:left="1660"/>
              <w:spacing w:after="0"/>
              <w:rPr>
                <w:sz w:val="20"/>
                <w:szCs w:val="20"/>
                <w:color w:val="auto"/>
              </w:rPr>
            </w:pPr>
            <w:r>
              <w:rPr>
                <w:rFonts w:ascii="Arial" w:cs="Arial" w:eastAsia="Arial" w:hAnsi="Arial"/>
                <w:sz w:val="16"/>
                <w:szCs w:val="16"/>
                <w:color w:val="auto"/>
              </w:rPr>
              <w:t>Name:</w:t>
            </w:r>
          </w:p>
        </w:tc>
        <w:tc>
          <w:tcPr>
            <w:tcW w:w="3480" w:type="dxa"/>
            <w:vAlign w:val="bottom"/>
            <w:vMerge w:val="restart"/>
          </w:tcPr>
          <w:p>
            <w:pPr>
              <w:ind w:left="20"/>
              <w:spacing w:after="0"/>
              <w:rPr>
                <w:sz w:val="20"/>
                <w:szCs w:val="20"/>
                <w:color w:val="auto"/>
              </w:rPr>
            </w:pPr>
            <w:r>
              <w:rPr>
                <w:rFonts w:ascii="Arial" w:cs="Arial" w:eastAsia="Arial" w:hAnsi="Arial"/>
                <w:sz w:val="16"/>
                <w:szCs w:val="16"/>
                <w:color w:val="auto"/>
              </w:rPr>
              <w:t>Todd E. Cunfer</w:t>
            </w:r>
          </w:p>
        </w:tc>
        <w:tc>
          <w:tcPr>
            <w:tcW w:w="0" w:type="dxa"/>
            <w:vAlign w:val="bottom"/>
          </w:tcPr>
          <w:p>
            <w:pPr>
              <w:spacing w:after="0"/>
              <w:rPr>
                <w:sz w:val="1"/>
                <w:szCs w:val="1"/>
                <w:color w:val="auto"/>
              </w:rPr>
            </w:pPr>
          </w:p>
        </w:tc>
      </w:tr>
      <w:tr>
        <w:trPr>
          <w:trHeight w:val="54"/>
        </w:trPr>
        <w:tc>
          <w:tcPr>
            <w:tcW w:w="2320" w:type="dxa"/>
            <w:vAlign w:val="bottom"/>
          </w:tcPr>
          <w:p>
            <w:pPr>
              <w:spacing w:after="0"/>
              <w:rPr>
                <w:sz w:val="4"/>
                <w:szCs w:val="4"/>
                <w:color w:val="auto"/>
              </w:rPr>
            </w:pPr>
          </w:p>
        </w:tc>
        <w:tc>
          <w:tcPr>
            <w:tcW w:w="3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320" w:type="dxa"/>
            <w:vAlign w:val="bottom"/>
          </w:tcPr>
          <w:p>
            <w:pPr>
              <w:ind w:left="1660"/>
              <w:spacing w:after="0"/>
              <w:rPr>
                <w:sz w:val="20"/>
                <w:szCs w:val="20"/>
                <w:color w:val="auto"/>
              </w:rPr>
            </w:pPr>
            <w:r>
              <w:rPr>
                <w:rFonts w:ascii="Arial" w:cs="Arial" w:eastAsia="Arial" w:hAnsi="Arial"/>
                <w:sz w:val="16"/>
                <w:szCs w:val="16"/>
                <w:color w:val="auto"/>
              </w:rPr>
              <w:t>Title:</w:t>
            </w:r>
          </w:p>
        </w:tc>
        <w:tc>
          <w:tcPr>
            <w:tcW w:w="3480" w:type="dxa"/>
            <w:vAlign w:val="bottom"/>
          </w:tcPr>
          <w:p>
            <w:pPr>
              <w:ind w:left="20"/>
              <w:spacing w:after="0"/>
              <w:rPr>
                <w:sz w:val="20"/>
                <w:szCs w:val="20"/>
                <w:color w:val="auto"/>
              </w:rPr>
            </w:pPr>
            <w:r>
              <w:rPr>
                <w:rFonts w:ascii="Arial" w:cs="Arial" w:eastAsia="Arial" w:hAnsi="Arial"/>
                <w:sz w:val="16"/>
                <w:szCs w:val="16"/>
                <w:color w:val="auto"/>
              </w:rPr>
              <w:t>Chief Financial Officer</w:t>
            </w:r>
          </w:p>
        </w:tc>
        <w:tc>
          <w:tcPr>
            <w:tcW w:w="0" w:type="dxa"/>
            <w:vAlign w:val="bottom"/>
          </w:tcPr>
          <w:p>
            <w:pPr>
              <w:spacing w:after="0"/>
              <w:rPr>
                <w:sz w:val="1"/>
                <w:szCs w:val="1"/>
                <w:color w:val="auto"/>
              </w:rPr>
            </w:pPr>
          </w:p>
        </w:tc>
      </w:tr>
      <w:tr>
        <w:trPr>
          <w:trHeight w:val="270"/>
        </w:trPr>
        <w:tc>
          <w:tcPr>
            <w:tcW w:w="2320" w:type="dxa"/>
            <w:vAlign w:val="bottom"/>
          </w:tcPr>
          <w:p>
            <w:pPr>
              <w:spacing w:after="0"/>
              <w:rPr>
                <w:sz w:val="23"/>
                <w:szCs w:val="23"/>
                <w:color w:val="auto"/>
              </w:rPr>
            </w:pPr>
          </w:p>
        </w:tc>
        <w:tc>
          <w:tcPr>
            <w:tcW w:w="3480" w:type="dxa"/>
            <w:vAlign w:val="bottom"/>
          </w:tcPr>
          <w:p>
            <w:pPr>
              <w:ind w:left="20"/>
              <w:spacing w:after="0"/>
              <w:rPr>
                <w:sz w:val="20"/>
                <w:szCs w:val="20"/>
                <w:color w:val="auto"/>
              </w:rPr>
            </w:pPr>
            <w:r>
              <w:rPr>
                <w:rFonts w:ascii="Arial" w:cs="Arial" w:eastAsia="Arial" w:hAnsi="Arial"/>
                <w:sz w:val="16"/>
                <w:szCs w:val="16"/>
                <w:i w:val="1"/>
                <w:iCs w:val="1"/>
                <w:color w:val="auto"/>
              </w:rPr>
              <w:t>(Principal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891"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81" w:lineRule="exact"/>
        <w:rPr>
          <w:sz w:val="20"/>
          <w:szCs w:val="20"/>
          <w:color w:val="auto"/>
        </w:rPr>
      </w:pPr>
    </w:p>
    <w:p>
      <w:pPr>
        <w:jc w:val="both"/>
        <w:ind w:firstLine="180"/>
        <w:spacing w:after="0" w:line="286" w:lineRule="auto"/>
        <w:rPr>
          <w:sz w:val="20"/>
          <w:szCs w:val="20"/>
          <w:color w:val="auto"/>
        </w:rPr>
      </w:pPr>
      <w:r>
        <w:rPr>
          <w:rFonts w:ascii="Arial" w:cs="Arial" w:eastAsia="Arial" w:hAnsi="Arial"/>
          <w:sz w:val="17"/>
          <w:szCs w:val="17"/>
          <w:color w:val="auto"/>
        </w:rPr>
        <w:t>In connection with the Annual Report of The Simply Good Foods Company (the “Company”) on Form 10-K for the fiscal year ended August 28, 2021 as filed with the Securities and Exchange Commission on the date hereof (the “Report”), each of the undersigned officers of the Company hereby certifies, pursuant to 18 U.S.C. § 1350, as adopted pursuant to § 906 of the Sarbanes-Oxley Act of 2002, that, to such officer's knowledge:</w:t>
      </w:r>
    </w:p>
    <w:p>
      <w:pPr>
        <w:spacing w:after="0" w:line="192" w:lineRule="exact"/>
        <w:rPr>
          <w:sz w:val="20"/>
          <w:szCs w:val="20"/>
          <w:color w:val="auto"/>
        </w:rPr>
      </w:pPr>
    </w:p>
    <w:p>
      <w:pPr>
        <w:ind w:left="360" w:hanging="172"/>
        <w:spacing w:after="0"/>
        <w:tabs>
          <w:tab w:leader="none" w:pos="3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firstLine="259"/>
        <w:spacing w:after="0" w:line="277" w:lineRule="auto"/>
        <w:tabs>
          <w:tab w:leader="none" w:pos="448"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covered by the Report.</w:t>
      </w:r>
    </w:p>
    <w:p>
      <w:pPr>
        <w:spacing w:after="0" w:line="200" w:lineRule="exact"/>
        <w:rPr>
          <w:sz w:val="20"/>
          <w:szCs w:val="20"/>
          <w:color w:val="auto"/>
        </w:rPr>
      </w:pPr>
    </w:p>
    <w:p>
      <w:pPr>
        <w:spacing w:after="0" w:line="240" w:lineRule="exact"/>
        <w:rPr>
          <w:sz w:val="20"/>
          <w:szCs w:val="20"/>
          <w:color w:val="auto"/>
        </w:rPr>
      </w:pPr>
    </w:p>
    <w:p>
      <w:pPr>
        <w:ind w:firstLine="178"/>
        <w:spacing w:after="0" w:line="277" w:lineRule="auto"/>
        <w:rPr>
          <w:sz w:val="20"/>
          <w:szCs w:val="20"/>
          <w:color w:val="auto"/>
        </w:rPr>
      </w:pPr>
      <w:r>
        <w:rPr>
          <w:rFonts w:ascii="Arial" w:cs="Arial" w:eastAsia="Arial" w:hAnsi="Arial"/>
          <w:sz w:val="18"/>
          <w:szCs w:val="18"/>
          <w:color w:val="auto"/>
        </w:rPr>
        <w:t>This certificate is being furnished solely for the purposes of 18 U.S.C. Section 1350 and is not being filed as part of the Report or as a separate disclosure document.</w:t>
      </w:r>
    </w:p>
    <w:p>
      <w:pPr>
        <w:spacing w:after="0" w:line="337" w:lineRule="exact"/>
        <w:rPr>
          <w:sz w:val="20"/>
          <w:szCs w:val="20"/>
          <w:color w:val="auto"/>
        </w:rPr>
      </w:pPr>
    </w:p>
    <w:tbl>
      <w:tblPr>
        <w:tblLayout w:type="fixed"/>
        <w:tblInd w:w="220" w:type="dxa"/>
        <w:tblCellMar>
          <w:top w:w="0" w:type="dxa"/>
          <w:left w:w="0" w:type="dxa"/>
          <w:bottom w:w="0" w:type="dxa"/>
          <w:right w:w="0" w:type="dxa"/>
        </w:tblCellMar>
      </w:tblPr>
      <w:tr>
        <w:trPr>
          <w:trHeight w:val="220"/>
        </w:trPr>
        <w:tc>
          <w:tcPr>
            <w:tcW w:w="1580" w:type="dxa"/>
            <w:vAlign w:val="bottom"/>
          </w:tcPr>
          <w:p>
            <w:pPr>
              <w:spacing w:after="0"/>
              <w:rPr>
                <w:sz w:val="20"/>
                <w:szCs w:val="20"/>
                <w:color w:val="auto"/>
              </w:rPr>
            </w:pPr>
            <w:r>
              <w:rPr>
                <w:rFonts w:ascii="Arial" w:cs="Arial" w:eastAsia="Arial" w:hAnsi="Arial"/>
                <w:sz w:val="16"/>
                <w:szCs w:val="16"/>
                <w:color w:val="auto"/>
                <w:w w:val="93"/>
              </w:rPr>
              <w:t>Date: October 26, 2021</w:t>
            </w:r>
          </w:p>
        </w:tc>
        <w:tc>
          <w:tcPr>
            <w:tcW w:w="740" w:type="dxa"/>
            <w:vAlign w:val="bottom"/>
          </w:tcPr>
          <w:p>
            <w:pPr>
              <w:ind w:left="80"/>
              <w:spacing w:after="0"/>
              <w:rPr>
                <w:sz w:val="20"/>
                <w:szCs w:val="20"/>
                <w:color w:val="auto"/>
              </w:rPr>
            </w:pPr>
            <w:r>
              <w:rPr>
                <w:rFonts w:ascii="Arial" w:cs="Arial" w:eastAsia="Arial" w:hAnsi="Arial"/>
                <w:sz w:val="16"/>
                <w:szCs w:val="16"/>
                <w:color w:val="auto"/>
              </w:rPr>
              <w:t>By:</w:t>
            </w:r>
          </w:p>
        </w:tc>
        <w:tc>
          <w:tcPr>
            <w:tcW w:w="3480" w:type="dxa"/>
            <w:vAlign w:val="bottom"/>
          </w:tcPr>
          <w:p>
            <w:pPr>
              <w:ind w:left="20"/>
              <w:spacing w:after="0"/>
              <w:rPr>
                <w:sz w:val="20"/>
                <w:szCs w:val="20"/>
                <w:color w:val="auto"/>
              </w:rPr>
            </w:pPr>
            <w:r>
              <w:rPr>
                <w:rFonts w:ascii="Arial" w:cs="Arial" w:eastAsia="Arial" w:hAnsi="Arial"/>
                <w:sz w:val="16"/>
                <w:szCs w:val="16"/>
                <w:color w:val="auto"/>
              </w:rPr>
              <w:t>/s/ Joseph E. Scalzo</w:t>
            </w:r>
          </w:p>
        </w:tc>
        <w:tc>
          <w:tcPr>
            <w:tcW w:w="0" w:type="dxa"/>
            <w:vAlign w:val="bottom"/>
          </w:tcPr>
          <w:p>
            <w:pPr>
              <w:spacing w:after="0"/>
              <w:rPr>
                <w:sz w:val="1"/>
                <w:szCs w:val="1"/>
                <w:color w:val="auto"/>
              </w:rPr>
            </w:pPr>
          </w:p>
        </w:tc>
      </w:tr>
      <w:tr>
        <w:trPr>
          <w:trHeight w:val="33"/>
        </w:trPr>
        <w:tc>
          <w:tcPr>
            <w:tcW w:w="1580" w:type="dxa"/>
            <w:vAlign w:val="bottom"/>
          </w:tcPr>
          <w:p>
            <w:pPr>
              <w:spacing w:after="0"/>
              <w:rPr>
                <w:sz w:val="2"/>
                <w:szCs w:val="2"/>
                <w:color w:val="auto"/>
              </w:rPr>
            </w:pPr>
          </w:p>
        </w:tc>
        <w:tc>
          <w:tcPr>
            <w:tcW w:w="740" w:type="dxa"/>
            <w:vAlign w:val="bottom"/>
            <w:vMerge w:val="restart"/>
          </w:tcPr>
          <w:p>
            <w:pPr>
              <w:ind w:left="80"/>
              <w:spacing w:after="0"/>
              <w:rPr>
                <w:sz w:val="20"/>
                <w:szCs w:val="20"/>
                <w:color w:val="auto"/>
              </w:rPr>
            </w:pPr>
            <w:r>
              <w:rPr>
                <w:rFonts w:ascii="Arial" w:cs="Arial" w:eastAsia="Arial" w:hAnsi="Arial"/>
                <w:sz w:val="16"/>
                <w:szCs w:val="16"/>
                <w:color w:val="auto"/>
              </w:rPr>
              <w:t>Name:</w:t>
            </w:r>
          </w:p>
        </w:tc>
        <w:tc>
          <w:tcPr>
            <w:tcW w:w="3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15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3480" w:type="dxa"/>
            <w:vAlign w:val="bottom"/>
          </w:tcPr>
          <w:p>
            <w:pPr>
              <w:ind w:left="20"/>
              <w:spacing w:after="0"/>
              <w:rPr>
                <w:sz w:val="20"/>
                <w:szCs w:val="20"/>
                <w:color w:val="auto"/>
              </w:rPr>
            </w:pPr>
            <w:r>
              <w:rPr>
                <w:rFonts w:ascii="Arial" w:cs="Arial" w:eastAsia="Arial" w:hAnsi="Arial"/>
                <w:sz w:val="16"/>
                <w:szCs w:val="16"/>
                <w:color w:val="auto"/>
              </w:rPr>
              <w:t>Joseph E. Scalzo</w:t>
            </w:r>
          </w:p>
        </w:tc>
        <w:tc>
          <w:tcPr>
            <w:tcW w:w="0" w:type="dxa"/>
            <w:vAlign w:val="bottom"/>
          </w:tcPr>
          <w:p>
            <w:pPr>
              <w:spacing w:after="0"/>
              <w:rPr>
                <w:sz w:val="1"/>
                <w:szCs w:val="1"/>
                <w:color w:val="auto"/>
              </w:rPr>
            </w:pPr>
          </w:p>
        </w:tc>
      </w:tr>
      <w:tr>
        <w:trPr>
          <w:trHeight w:val="256"/>
        </w:trPr>
        <w:tc>
          <w:tcPr>
            <w:tcW w:w="1580" w:type="dxa"/>
            <w:vAlign w:val="bottom"/>
          </w:tcPr>
          <w:p>
            <w:pPr>
              <w:spacing w:after="0"/>
              <w:rPr>
                <w:sz w:val="22"/>
                <w:szCs w:val="22"/>
                <w:color w:val="auto"/>
              </w:rPr>
            </w:pPr>
          </w:p>
        </w:tc>
        <w:tc>
          <w:tcPr>
            <w:tcW w:w="740" w:type="dxa"/>
            <w:vAlign w:val="bottom"/>
          </w:tcPr>
          <w:p>
            <w:pPr>
              <w:ind w:left="80"/>
              <w:spacing w:after="0"/>
              <w:rPr>
                <w:sz w:val="20"/>
                <w:szCs w:val="20"/>
                <w:color w:val="auto"/>
              </w:rPr>
            </w:pPr>
            <w:r>
              <w:rPr>
                <w:rFonts w:ascii="Arial" w:cs="Arial" w:eastAsia="Arial" w:hAnsi="Arial"/>
                <w:sz w:val="16"/>
                <w:szCs w:val="16"/>
                <w:color w:val="auto"/>
              </w:rPr>
              <w:t>Title:</w:t>
            </w:r>
          </w:p>
        </w:tc>
        <w:tc>
          <w:tcPr>
            <w:tcW w:w="3480" w:type="dxa"/>
            <w:vAlign w:val="bottom"/>
          </w:tcPr>
          <w:p>
            <w:pPr>
              <w:ind w:left="20"/>
              <w:spacing w:after="0"/>
              <w:rPr>
                <w:sz w:val="20"/>
                <w:szCs w:val="20"/>
                <w:color w:val="auto"/>
              </w:rPr>
            </w:pPr>
            <w:r>
              <w:rPr>
                <w:rFonts w:ascii="Arial" w:cs="Arial" w:eastAsia="Arial" w:hAnsi="Arial"/>
                <w:sz w:val="16"/>
                <w:szCs w:val="16"/>
                <w:color w:val="auto"/>
              </w:rPr>
              <w:t>Chief Executive Officer, President and Director</w:t>
            </w:r>
          </w:p>
        </w:tc>
        <w:tc>
          <w:tcPr>
            <w:tcW w:w="0" w:type="dxa"/>
            <w:vAlign w:val="bottom"/>
          </w:tcPr>
          <w:p>
            <w:pPr>
              <w:spacing w:after="0"/>
              <w:rPr>
                <w:sz w:val="1"/>
                <w:szCs w:val="1"/>
                <w:color w:val="auto"/>
              </w:rPr>
            </w:pPr>
          </w:p>
        </w:tc>
      </w:tr>
      <w:tr>
        <w:trPr>
          <w:trHeight w:val="270"/>
        </w:trPr>
        <w:tc>
          <w:tcPr>
            <w:tcW w:w="15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80" w:type="dxa"/>
            <w:vAlign w:val="bottom"/>
          </w:tcPr>
          <w:p>
            <w:pPr>
              <w:ind w:left="20"/>
              <w:spacing w:after="0"/>
              <w:rPr>
                <w:sz w:val="20"/>
                <w:szCs w:val="20"/>
                <w:color w:val="auto"/>
              </w:rPr>
            </w:pPr>
            <w:r>
              <w:rPr>
                <w:rFonts w:ascii="Arial" w:cs="Arial" w:eastAsia="Arial" w:hAnsi="Arial"/>
                <w:sz w:val="16"/>
                <w:szCs w:val="16"/>
                <w:i w:val="1"/>
                <w:iCs w:val="1"/>
                <w:color w:val="auto"/>
              </w:rPr>
              <w:t>(Principal Executive Officer)</w:t>
            </w:r>
          </w:p>
        </w:tc>
        <w:tc>
          <w:tcPr>
            <w:tcW w:w="0" w:type="dxa"/>
            <w:vAlign w:val="bottom"/>
          </w:tcPr>
          <w:p>
            <w:pPr>
              <w:spacing w:after="0"/>
              <w:rPr>
                <w:sz w:val="1"/>
                <w:szCs w:val="1"/>
                <w:color w:val="auto"/>
              </w:rPr>
            </w:pPr>
          </w:p>
        </w:tc>
      </w:tr>
      <w:tr>
        <w:trPr>
          <w:trHeight w:val="580"/>
        </w:trPr>
        <w:tc>
          <w:tcPr>
            <w:tcW w:w="1580" w:type="dxa"/>
            <w:vAlign w:val="bottom"/>
          </w:tcPr>
          <w:p>
            <w:pPr>
              <w:spacing w:after="0"/>
              <w:rPr>
                <w:sz w:val="20"/>
                <w:szCs w:val="20"/>
                <w:color w:val="auto"/>
              </w:rPr>
            </w:pPr>
            <w:r>
              <w:rPr>
                <w:rFonts w:ascii="Arial" w:cs="Arial" w:eastAsia="Arial" w:hAnsi="Arial"/>
                <w:sz w:val="16"/>
                <w:szCs w:val="16"/>
                <w:color w:val="auto"/>
                <w:w w:val="93"/>
              </w:rPr>
              <w:t>Date: October 26, 2021</w:t>
            </w:r>
          </w:p>
        </w:tc>
        <w:tc>
          <w:tcPr>
            <w:tcW w:w="740" w:type="dxa"/>
            <w:vAlign w:val="bottom"/>
          </w:tcPr>
          <w:p>
            <w:pPr>
              <w:ind w:left="80"/>
              <w:spacing w:after="0"/>
              <w:rPr>
                <w:sz w:val="20"/>
                <w:szCs w:val="20"/>
                <w:color w:val="auto"/>
              </w:rPr>
            </w:pPr>
            <w:r>
              <w:rPr>
                <w:rFonts w:ascii="Arial" w:cs="Arial" w:eastAsia="Arial" w:hAnsi="Arial"/>
                <w:sz w:val="16"/>
                <w:szCs w:val="16"/>
                <w:color w:val="auto"/>
              </w:rPr>
              <w:t>By:</w:t>
            </w:r>
          </w:p>
        </w:tc>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Todd E. Cunfer</w:t>
            </w:r>
          </w:p>
        </w:tc>
        <w:tc>
          <w:tcPr>
            <w:tcW w:w="0" w:type="dxa"/>
            <w:vAlign w:val="bottom"/>
          </w:tcPr>
          <w:p>
            <w:pPr>
              <w:spacing w:after="0"/>
              <w:rPr>
                <w:sz w:val="1"/>
                <w:szCs w:val="1"/>
                <w:color w:val="auto"/>
              </w:rPr>
            </w:pPr>
          </w:p>
        </w:tc>
      </w:tr>
      <w:tr>
        <w:trPr>
          <w:trHeight w:val="196"/>
        </w:trPr>
        <w:tc>
          <w:tcPr>
            <w:tcW w:w="1580" w:type="dxa"/>
            <w:vAlign w:val="bottom"/>
          </w:tcPr>
          <w:p>
            <w:pPr>
              <w:spacing w:after="0"/>
              <w:rPr>
                <w:sz w:val="17"/>
                <w:szCs w:val="17"/>
                <w:color w:val="auto"/>
              </w:rPr>
            </w:pPr>
          </w:p>
        </w:tc>
        <w:tc>
          <w:tcPr>
            <w:tcW w:w="740" w:type="dxa"/>
            <w:vAlign w:val="bottom"/>
          </w:tcPr>
          <w:p>
            <w:pPr>
              <w:ind w:left="80"/>
              <w:spacing w:after="0"/>
              <w:rPr>
                <w:sz w:val="20"/>
                <w:szCs w:val="20"/>
                <w:color w:val="auto"/>
              </w:rPr>
            </w:pPr>
            <w:r>
              <w:rPr>
                <w:rFonts w:ascii="Arial" w:cs="Arial" w:eastAsia="Arial" w:hAnsi="Arial"/>
                <w:sz w:val="16"/>
                <w:szCs w:val="16"/>
                <w:color w:val="auto"/>
              </w:rPr>
              <w:t>Name:</w:t>
            </w:r>
          </w:p>
        </w:tc>
        <w:tc>
          <w:tcPr>
            <w:tcW w:w="3480" w:type="dxa"/>
            <w:vAlign w:val="bottom"/>
            <w:vMerge w:val="restart"/>
          </w:tcPr>
          <w:p>
            <w:pPr>
              <w:ind w:left="20"/>
              <w:spacing w:after="0"/>
              <w:rPr>
                <w:sz w:val="20"/>
                <w:szCs w:val="20"/>
                <w:color w:val="auto"/>
              </w:rPr>
            </w:pPr>
            <w:r>
              <w:rPr>
                <w:rFonts w:ascii="Arial" w:cs="Arial" w:eastAsia="Arial" w:hAnsi="Arial"/>
                <w:sz w:val="16"/>
                <w:szCs w:val="16"/>
                <w:color w:val="auto"/>
              </w:rPr>
              <w:t>Todd E. Cunfer</w:t>
            </w:r>
          </w:p>
        </w:tc>
        <w:tc>
          <w:tcPr>
            <w:tcW w:w="0" w:type="dxa"/>
            <w:vAlign w:val="bottom"/>
          </w:tcPr>
          <w:p>
            <w:pPr>
              <w:spacing w:after="0"/>
              <w:rPr>
                <w:sz w:val="1"/>
                <w:szCs w:val="1"/>
                <w:color w:val="auto"/>
              </w:rPr>
            </w:pPr>
          </w:p>
        </w:tc>
      </w:tr>
      <w:tr>
        <w:trPr>
          <w:trHeight w:val="54"/>
        </w:trPr>
        <w:tc>
          <w:tcPr>
            <w:tcW w:w="15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740" w:type="dxa"/>
            <w:vAlign w:val="bottom"/>
          </w:tcPr>
          <w:p>
            <w:pPr>
              <w:ind w:left="80"/>
              <w:spacing w:after="0"/>
              <w:rPr>
                <w:sz w:val="20"/>
                <w:szCs w:val="20"/>
                <w:color w:val="auto"/>
              </w:rPr>
            </w:pPr>
            <w:r>
              <w:rPr>
                <w:rFonts w:ascii="Arial" w:cs="Arial" w:eastAsia="Arial" w:hAnsi="Arial"/>
                <w:sz w:val="16"/>
                <w:szCs w:val="16"/>
                <w:color w:val="auto"/>
              </w:rPr>
              <w:t>Title:</w:t>
            </w:r>
          </w:p>
        </w:tc>
        <w:tc>
          <w:tcPr>
            <w:tcW w:w="3480" w:type="dxa"/>
            <w:vAlign w:val="bottom"/>
          </w:tcPr>
          <w:p>
            <w:pPr>
              <w:ind w:left="20"/>
              <w:spacing w:after="0"/>
              <w:rPr>
                <w:sz w:val="20"/>
                <w:szCs w:val="20"/>
                <w:color w:val="auto"/>
              </w:rPr>
            </w:pPr>
            <w:r>
              <w:rPr>
                <w:rFonts w:ascii="Arial" w:cs="Arial" w:eastAsia="Arial" w:hAnsi="Arial"/>
                <w:sz w:val="16"/>
                <w:szCs w:val="16"/>
                <w:color w:val="auto"/>
              </w:rPr>
              <w:t>Chief Financial Officer</w:t>
            </w:r>
          </w:p>
        </w:tc>
        <w:tc>
          <w:tcPr>
            <w:tcW w:w="0" w:type="dxa"/>
            <w:vAlign w:val="bottom"/>
          </w:tcPr>
          <w:p>
            <w:pPr>
              <w:spacing w:after="0"/>
              <w:rPr>
                <w:sz w:val="1"/>
                <w:szCs w:val="1"/>
                <w:color w:val="auto"/>
              </w:rPr>
            </w:pPr>
          </w:p>
        </w:tc>
      </w:tr>
      <w:tr>
        <w:trPr>
          <w:trHeight w:val="270"/>
        </w:trPr>
        <w:tc>
          <w:tcPr>
            <w:tcW w:w="15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80" w:type="dxa"/>
            <w:vAlign w:val="bottom"/>
          </w:tcPr>
          <w:p>
            <w:pPr>
              <w:ind w:left="20"/>
              <w:spacing w:after="0"/>
              <w:rPr>
                <w:sz w:val="20"/>
                <w:szCs w:val="20"/>
                <w:color w:val="auto"/>
              </w:rPr>
            </w:pPr>
            <w:r>
              <w:rPr>
                <w:rFonts w:ascii="Arial" w:cs="Arial" w:eastAsia="Arial" w:hAnsi="Arial"/>
                <w:sz w:val="16"/>
                <w:szCs w:val="16"/>
                <w:i w:val="1"/>
                <w:iCs w:val="1"/>
                <w:color w:val="auto"/>
              </w:rPr>
              <w:t>(Principal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lvl w:ilvl="1">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1)"/>
      <w:numFmt w:val="decimal"/>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1)"/>
      <w:numFmt w:val="decimal"/>
      <w:start w:val="1"/>
    </w:lvl>
  </w:abstractNum>
  <w:abstractNum w:abstractNumId="18">
    <w:nsid w:val="71F32454"/>
    <w:multiLevelType w:val="hybridMultilevel"/>
    <w:lvl w:ilvl="0">
      <w:lvlJc w:val="left"/>
      <w:lvlText w:val="•"/>
      <w:numFmt w:val="bullet"/>
      <w:start w:val="1"/>
    </w:lvl>
    <w:lvl w:ilvl="1">
      <w:lvlJc w:val="left"/>
      <w:lvlText w:val="◦"/>
      <w:numFmt w:val="bullet"/>
      <w:start w:val="1"/>
    </w:lvl>
  </w:abstractNum>
  <w:abstractNum w:abstractNumId="19">
    <w:nsid w:val="2CA88611"/>
    <w:multiLevelType w:val="hybridMultilevel"/>
    <w:lvl w:ilvl="0">
      <w:lvlJc w:val="left"/>
      <w:lvlText w:val="(%1)"/>
      <w:numFmt w:val="decimal"/>
      <w:start w:val="1"/>
    </w:lvl>
  </w:abstractNum>
  <w:abstractNum w:abstractNumId="20">
    <w:nsid w:val="836C40E"/>
    <w:multiLevelType w:val="hybridMultilevel"/>
    <w:lvl w:ilvl="0">
      <w:lvlJc w:val="left"/>
      <w:lvlText w:val="(%1)"/>
      <w:numFmt w:val="decimal"/>
      <w:start w:val="1"/>
    </w:lvl>
  </w:abstractNum>
  <w:abstractNum w:abstractNumId="21">
    <w:nsid w:val="2901D82"/>
    <w:multiLevelType w:val="hybridMultilevel"/>
    <w:lvl w:ilvl="0">
      <w:lvlJc w:val="left"/>
      <w:lvlText w:val="%1."/>
      <w:numFmt w:val="decimal"/>
      <w:start w:val="4"/>
    </w:lvl>
  </w:abstractNum>
  <w:abstractNum w:abstractNumId="22">
    <w:nsid w:val="3A95F874"/>
    <w:multiLevelType w:val="hybridMultilevel"/>
    <w:lvl w:ilvl="0">
      <w:lvlJc w:val="left"/>
      <w:lvlText w:val="%1."/>
      <w:numFmt w:val="decimal"/>
      <w:start w:val="5"/>
    </w:lvl>
  </w:abstractNum>
  <w:abstractNum w:abstractNumId="23">
    <w:nsid w:val="8138641"/>
    <w:multiLevelType w:val="hybridMultilevel"/>
    <w:lvl w:ilvl="0">
      <w:lvlJc w:val="left"/>
      <w:lvlText w:val="%1."/>
      <w:numFmt w:val="decimal"/>
      <w:start w:val="6"/>
    </w:lvl>
  </w:abstractNum>
  <w:abstractNum w:abstractNumId="24">
    <w:nsid w:val="1E7FF521"/>
    <w:multiLevelType w:val="hybridMultilevel"/>
    <w:lvl w:ilvl="0">
      <w:lvlJc w:val="left"/>
      <w:lvlText w:val="%1."/>
      <w:numFmt w:val="decimal"/>
      <w:start w:val="9"/>
    </w:lvl>
  </w:abstractNum>
  <w:abstractNum w:abstractNumId="25">
    <w:nsid w:val="7C3DBD3D"/>
    <w:multiLevelType w:val="hybridMultilevel"/>
    <w:lvl w:ilvl="0">
      <w:lvlJc w:val="left"/>
      <w:lvlText w:val="(%1)"/>
      <w:numFmt w:val="decimal"/>
      <w:start w:val="1"/>
    </w:lvl>
  </w:abstractNum>
  <w:abstractNum w:abstractNumId="26">
    <w:nsid w:val="737B8DDC"/>
    <w:multiLevelType w:val="hybridMultilevel"/>
    <w:lvl w:ilvl="0">
      <w:lvlJc w:val="left"/>
      <w:lvlText w:val="(%1)"/>
      <w:numFmt w:val="decimal"/>
      <w:start w:val="1"/>
    </w:lvl>
  </w:abstractNum>
  <w:abstractNum w:abstractNumId="27">
    <w:nsid w:val="6CEAF087"/>
    <w:multiLevelType w:val="hybridMultilevel"/>
    <w:lvl w:ilvl="0">
      <w:lvlJc w:val="left"/>
      <w:lvlText w:val="(%1)"/>
      <w:numFmt w:val="decimal"/>
      <w:start w:val="1"/>
    </w:lvl>
  </w:abstractNum>
  <w:abstractNum w:abstractNumId="28">
    <w:nsid w:val="22221A70"/>
    <w:multiLevelType w:val="hybridMultilevel"/>
    <w:lvl w:ilvl="0">
      <w:lvlJc w:val="left"/>
      <w:lvlText w:val="%1"/>
      <w:numFmt w:val="decimal"/>
      <w:start w:val="104"/>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1)"/>
      <w:numFmt w:val="lowerLetter"/>
      <w:start w:val="1"/>
    </w:lvl>
  </w:abstractNum>
  <w:abstractNum w:abstractNumId="31">
    <w:nsid w:val="614FD4A1"/>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lvl w:ilvl="3">
      <w:lvlJc w:val="left"/>
      <w:lvlText w:val="%4."/>
      <w:numFmt w:val="decimal"/>
      <w:start w:val="4"/>
    </w:lvl>
    <w:lvl w:ilvl="4">
      <w:lvlJc w:val="left"/>
      <w:lvlText w:val="%5)"/>
      <w:numFmt w:val="lowerLetter"/>
      <w:start w:val="1"/>
    </w:lvl>
  </w:abstractNum>
  <w:abstractNum w:abstractNumId="32">
    <w:nsid w:val="419AC241"/>
    <w:multiLevelType w:val="hybridMultilevel"/>
    <w:lvl w:ilvl="0">
      <w:lvlJc w:val="left"/>
      <w:lvlText w:val="%1"/>
      <w:numFmt w:val="decimal"/>
      <w:start w:val="1"/>
    </w:lvl>
    <w:lvl w:ilvl="1">
      <w:lvlJc w:val="left"/>
      <w:lvlText w:val="%2"/>
      <w:numFmt w:val="decimal"/>
      <w:start w:val="1"/>
    </w:lvl>
    <w:lvl w:ilvl="2">
      <w:lvlJc w:val="left"/>
      <w:lvlText w:val="%3."/>
      <w:numFmt w:val="decimal"/>
      <w:start w:val="5"/>
    </w:lvl>
    <w:lvl w:ilvl="3">
      <w:lvlJc w:val="left"/>
      <w:lvlText w:val="%4"/>
      <w:numFmt w:val="decimal"/>
      <w:start w:val="1"/>
    </w:lvl>
    <w:lvl w:ilvl="4">
      <w:lvlJc w:val="left"/>
      <w:lvlText w:val="%5)"/>
      <w:numFmt w:val="lowerLetter"/>
      <w:start w:val="1"/>
    </w:lvl>
  </w:abstractNum>
  <w:abstractNum w:abstractNumId="33">
    <w:nsid w:val="5577F8E1"/>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lvl w:ilvl="3">
      <w:lvlJc w:val="left"/>
      <w:lvlText w:val="%4."/>
      <w:numFmt w:val="decimal"/>
      <w:start w:val="4"/>
    </w:lvl>
    <w:lvl w:ilvl="4">
      <w:lvlJc w:val="left"/>
      <w:lvlText w:val="%5)"/>
      <w:numFmt w:val="lowerLetter"/>
      <w:start w:val="1"/>
    </w:lvl>
  </w:abstractNum>
  <w:abstractNum w:abstractNumId="34">
    <w:nsid w:val="440BADFC"/>
    <w:multiLevelType w:val="hybridMultilevel"/>
    <w:lvl w:ilvl="0">
      <w:lvlJc w:val="left"/>
      <w:lvlText w:val="%1"/>
      <w:numFmt w:val="decimal"/>
      <w:start w:val="1"/>
    </w:lvl>
    <w:lvl w:ilvl="1">
      <w:lvlJc w:val="left"/>
      <w:lvlText w:val="%2"/>
      <w:numFmt w:val="decimal"/>
      <w:start w:val="1"/>
    </w:lvl>
    <w:lvl w:ilvl="2">
      <w:lvlJc w:val="left"/>
      <w:lvlText w:val="%3."/>
      <w:numFmt w:val="decimal"/>
      <w:start w:val="5"/>
    </w:lvl>
    <w:lvl w:ilvl="3">
      <w:lvlJc w:val="left"/>
      <w:lvlText w:val="%4"/>
      <w:numFmt w:val="decimal"/>
      <w:start w:val="1"/>
    </w:lvl>
    <w:lvl w:ilvl="4">
      <w:lvlJc w:val="left"/>
      <w:lvlText w:val="%5)"/>
      <w:numFmt w:val="lowerLetter"/>
      <w:start w:val="1"/>
    </w:lvl>
  </w:abstractNum>
  <w:abstractNum w:abstractNumId="35">
    <w:nsid w:val="5072367"/>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119" Type="http://schemas.openxmlformats.org/officeDocument/2006/relationships/image" Target="media/image91.png"/><Relationship Id="rId126" Type="http://schemas.openxmlformats.org/officeDocument/2006/relationships/image" Target="media/image92.png"/><Relationship Id="rId127" Type="http://schemas.openxmlformats.org/officeDocument/2006/relationships/image" Target="media/image93.png"/><Relationship Id="rId98" Type="http://schemas.openxmlformats.org/officeDocument/2006/relationships/hyperlink" Target="http://www.sec.gov/Archives/edgar/data/1672985/000121390017003619/fs42017_simplygoodfood.htm" TargetMode="External"/><Relationship Id="rId99" Type="http://schemas.openxmlformats.org/officeDocument/2006/relationships/hyperlink" Target="http://www.sec.gov/Archives/edgar/data/1702744/000110465919046862/a19-17478_1ex2d1.htm" TargetMode="External"/><Relationship Id="rId100" Type="http://schemas.openxmlformats.org/officeDocument/2006/relationships/hyperlink" Target="https://www.sec.gov/Archives/edgar/data/1702744/000170274420000011/secondamendedandrestat.htm" TargetMode="External"/><Relationship Id="rId101" Type="http://schemas.openxmlformats.org/officeDocument/2006/relationships/hyperlink" Target="https://www.sec.gov/Archives/edgar/data/1702744/000170274419000048/exhibit32-10k19.htm" TargetMode="External"/><Relationship Id="rId102" Type="http://schemas.openxmlformats.org/officeDocument/2006/relationships/hyperlink" Target="http://www.sec.gov/Archives/edgar/data/1672985/000121390017006350/fs42017ex4i_simplygood.htm" TargetMode="External"/><Relationship Id="rId103" Type="http://schemas.openxmlformats.org/officeDocument/2006/relationships/hyperlink" Target="http://www.sec.gov/Archives/edgar/data/1672985/000121390016015123/f8k071416ex4i_conyerspark.htm" TargetMode="External"/><Relationship Id="rId104" Type="http://schemas.openxmlformats.org/officeDocument/2006/relationships/hyperlink" Target="http://www.sec.gov/Archives/edgar/data/1702744/000121390017007546/f8k070717ex4i_simplygood.htm" TargetMode="External"/><Relationship Id="rId105" Type="http://schemas.openxmlformats.org/officeDocument/2006/relationships/hyperlink" Target="https://www.sec.gov/Archives/edgar/data/1702744/000170274420000100/exhibit44-10k2020.htm" TargetMode="External"/><Relationship Id="rId106" Type="http://schemas.openxmlformats.org/officeDocument/2006/relationships/hyperlink" Target="https://www.sec.gov/Archives/edgar/data/1702744/000121390017007546/f8k070717ex10iii_simplygood.htm" TargetMode="External"/><Relationship Id="rId107" Type="http://schemas.openxmlformats.org/officeDocument/2006/relationships/hyperlink" Target="http://www.sec.gov/Archives/edgar/data/1672985/000121390017006350/fs42017ex10iii_simplygood.htm" TargetMode="External"/><Relationship Id="rId108" Type="http://schemas.openxmlformats.org/officeDocument/2006/relationships/hyperlink" Target="http://www.sec.gov/Archives/edgar/data/1702744/000121390017005264/fs42017a1ex10vii_simplygood.htm" TargetMode="External"/><Relationship Id="rId109" Type="http://schemas.openxmlformats.org/officeDocument/2006/relationships/hyperlink" Target="http://www.sec.gov/Archives/edgar/data/1672985/000121390017006350/fs42017ex10viii_simplygood.htm" TargetMode="External"/><Relationship Id="rId110" Type="http://schemas.openxmlformats.org/officeDocument/2006/relationships/hyperlink" Target="http://www.sec.gov/Archives/edgar/data/1702744/000121390017007546/f8k070717ex10i_simplygood.htm" TargetMode="External"/><Relationship Id="rId111" Type="http://schemas.openxmlformats.org/officeDocument/2006/relationships/hyperlink" Target="https://www.sec.gov/Archives/edgar/data/1702744/000110465919060856/a19-22146_1ex10d1.htm" TargetMode="External"/><Relationship Id="rId112" Type="http://schemas.openxmlformats.org/officeDocument/2006/relationships/hyperlink" Target="http://www.sec.gov/Archives/edgar/data/1702744/000121390017007546/f8k070717ex10vii_simplygood.htm" TargetMode="External"/><Relationship Id="rId113" Type="http://schemas.openxmlformats.org/officeDocument/2006/relationships/hyperlink" Target="http://www.sec.gov/Archives/edgar/data/1702744/000121390017007546/f8k070717ex10viii_simplygood.htm" TargetMode="External"/><Relationship Id="rId114" Type="http://schemas.openxmlformats.org/officeDocument/2006/relationships/hyperlink" Target="http://www.sec.gov/Archives/edgar/data/1702744/000121390017007546/f8k070717ex10vi_simplygood.htm" TargetMode="External"/><Relationship Id="rId115" Type="http://schemas.openxmlformats.org/officeDocument/2006/relationships/hyperlink" Target="http://www.sec.gov/Archives/edgar/data/1702744/000170274418000072/traterminationagreement.htm" TargetMode="External"/><Relationship Id="rId116" Type="http://schemas.openxmlformats.org/officeDocument/2006/relationships/hyperlink" Target="http://www.sec.gov/Archives/edgar/data/1702744/000170274417000006/exhibit101.htm" TargetMode="External"/><Relationship Id="rId117" Type="http://schemas.openxmlformats.org/officeDocument/2006/relationships/hyperlink" Target="http://www.sec.gov/Archives/edgar/data/1702744/000170274417000009/exhibit102_8ka.htm" TargetMode="External"/><Relationship Id="rId118" Type="http://schemas.openxmlformats.org/officeDocument/2006/relationships/hyperlink" Target="http://www.sec.gov/Archives/edgar/data/1702744/000121390018003172/f8k032018_simplygoodfood.htm" TargetMode="External"/><Relationship Id="rId120" Type="http://schemas.openxmlformats.org/officeDocument/2006/relationships/hyperlink" Target="http://www.sec.gov/Archives/edgar/data/1702744/000170274418000057/smpl_072718x8kxex101.htm" TargetMode="External"/><Relationship Id="rId121" Type="http://schemas.openxmlformats.org/officeDocument/2006/relationships/hyperlink" Target="http://www.sec.gov/Archives/edgar/data/1702744/000170274418000057/smpl_072718x8kxex102.htm" TargetMode="External"/><Relationship Id="rId122" Type="http://schemas.openxmlformats.org/officeDocument/2006/relationships/hyperlink" Target="http://www.sec.gov/Archives/edgar/data/1702744/000170274419000044/smpl_exhibitx101.htm" TargetMode="External"/><Relationship Id="rId123" Type="http://schemas.openxmlformats.org/officeDocument/2006/relationships/hyperlink" Target="https://www.sec.gov/Archives/edgar/data/1702744/000110465919060856/a19-22146_1ex10d2.htm" TargetMode="External"/><Relationship Id="rId124" Type="http://schemas.openxmlformats.org/officeDocument/2006/relationships/hyperlink" Target="https://www.sec.gov/Archives/edgar/data/1702744/000170274420000100/exhibit1018-10k2020.htm" TargetMode="External"/><Relationship Id="rId125" Type="http://schemas.openxmlformats.org/officeDocument/2006/relationships/hyperlink" Target="https://www.sec.gov/Archives/edgar/data/1702744/000170274421000077/a101_q4x2021xemploymentxl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2021-10-26T15:44:10Z</dcterms:created>
  <dcterms:modified xsi:type="dcterms:W3CDTF">2021-10-26T15:44:10Z</dcterms:modified>
</cp:coreProperties>
</file>