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1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14"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280"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April 9, 2026</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54"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001-38115</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82-1038121</w:t>
            </w:r>
          </w:p>
        </w:tc>
      </w:tr>
      <w:tr>
        <w:trPr>
          <w:trHeight w:val="27"/>
        </w:trPr>
        <w:tc>
          <w:tcPr>
            <w:tcW w:w="2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2"/>
        </w:trPr>
        <w:tc>
          <w:tcPr>
            <w:tcW w:w="29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34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633-2840</w:t>
      </w:r>
    </w:p>
    <w:p>
      <w:pPr>
        <w:spacing w:after="0" w:line="200" w:lineRule="exact"/>
        <w:rPr>
          <w:sz w:val="24"/>
          <w:szCs w:val="24"/>
          <w:color w:val="auto"/>
        </w:rPr>
      </w:pPr>
    </w:p>
    <w:p>
      <w:pPr>
        <w:spacing w:after="0" w:line="2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24"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51"/>
        </w:trPr>
        <w:tc>
          <w:tcPr>
            <w:tcW w:w="1020" w:type="dxa"/>
            <w:vAlign w:val="bottom"/>
          </w:tcPr>
          <w:p>
            <w:pPr>
              <w:spacing w:after="0"/>
              <w:rPr>
                <w:sz w:val="24"/>
                <w:szCs w:val="24"/>
                <w:color w:val="auto"/>
              </w:rPr>
            </w:pPr>
          </w:p>
        </w:tc>
        <w:tc>
          <w:tcPr>
            <w:tcW w:w="3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102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4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SMPL</w:t>
            </w:r>
          </w:p>
        </w:tc>
        <w:tc>
          <w:tcPr>
            <w:tcW w:w="120" w:type="dxa"/>
            <w:vAlign w:val="bottom"/>
          </w:tcPr>
          <w:p>
            <w:pPr>
              <w:spacing w:after="0"/>
              <w:rPr>
                <w:sz w:val="19"/>
                <w:szCs w:val="19"/>
                <w:color w:val="auto"/>
              </w:rPr>
            </w:pPr>
          </w:p>
        </w:tc>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0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31" w:right="499" w:bottom="1440" w:gutter="0" w:footer="0" w:header="0"/>
        </w:sectPr>
      </w:pPr>
    </w:p>
    <w:bookmarkStart w:id="2" w:name="page3"/>
    <w:bookmarkEnd w:id="2"/>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65" w:lineRule="exact"/>
        <w:rPr>
          <w:sz w:val="20"/>
          <w:szCs w:val="20"/>
          <w:color w:val="auto"/>
        </w:rPr>
      </w:pPr>
    </w:p>
    <w:p>
      <w:pPr>
        <w:jc w:val="both"/>
        <w:ind w:firstLine="211"/>
        <w:spacing w:after="0" w:line="266" w:lineRule="auto"/>
        <w:rPr>
          <w:sz w:val="20"/>
          <w:szCs w:val="20"/>
          <w:color w:val="auto"/>
        </w:rPr>
      </w:pPr>
      <w:r>
        <w:rPr>
          <w:rFonts w:ascii="Times New Roman" w:cs="Times New Roman" w:eastAsia="Times New Roman" w:hAnsi="Times New Roman"/>
          <w:sz w:val="18"/>
          <w:szCs w:val="18"/>
          <w:color w:val="auto"/>
        </w:rPr>
        <w:t>On April 9, 2026, The Simply Good Foods Company, a Delaware corporation (the “Company”), reported its results for the fiscal second quarter ended February 28, 2026. The results are discussed in detail in the press release attached hereto as Exhibit 99.1. In addition, the Company has posted an investor presentation at www.thesimplygoodfoodscompany.com.</w:t>
      </w:r>
    </w:p>
    <w:p>
      <w:pPr>
        <w:spacing w:after="0" w:line="203" w:lineRule="exact"/>
        <w:rPr>
          <w:sz w:val="20"/>
          <w:szCs w:val="20"/>
          <w:color w:val="auto"/>
        </w:rPr>
      </w:pPr>
    </w:p>
    <w:p>
      <w:pPr>
        <w:jc w:val="both"/>
        <w:ind w:firstLine="209"/>
        <w:spacing w:after="0" w:line="282" w:lineRule="auto"/>
        <w:rPr>
          <w:sz w:val="20"/>
          <w:szCs w:val="20"/>
          <w:color w:val="auto"/>
        </w:rPr>
      </w:pPr>
      <w:r>
        <w:rPr>
          <w:rFonts w:ascii="Times New Roman" w:cs="Times New Roman" w:eastAsia="Times New Roman" w:hAnsi="Times New Roman"/>
          <w:sz w:val="18"/>
          <w:szCs w:val="18"/>
          <w:color w:val="auto"/>
        </w:rPr>
        <w:t>The information in this item, including Exhibit 99.1, is being furnished, not filed. Accordingly, the information in this item will not be incorporated by reference into any registration statement unless specifically identified therein as being incorporated by reference therein.</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Certain statements made in Exhibit 99.1 are not historical facts but are forward-looking statements for purposes of the safe harbor provisions under The Private Securities Litigation Reform Act of 1995. Forward-looking statements generally are accompanied by or include words such as “will”, “expect”, “intends” or other similar words, phrases or expressions.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operations being dependent on changes in consumer preferences and purchasing habits regarding our products, a global supply chain and effects of supply chain constraints, inflationary pressure and tariffs on us and our contract manufacturers, our ability to continue to operate at a profit or to maintain our margins,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due to tariffs or other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effect pandemics or other global disruptions on our business, financial condition and results of operations, the loss of one or more members of our management team, potential for increased costs, the harm to our business resulting from unauthorized access of the information technology systems we use in our business, and other risks and uncertainties indicated in the Company’s Form 10-K, Form 10-Q, and Form 8-K reports (including all amendments to those reports) filed with the U.S. Securities and Exchange Commission from time to time. In addition, forward-looking statements provide the Company’s expectations, plans or forecasts of future events and views as of the date of this communication. Except as required by law, the Company undertakes no obligation to update such statements to reflect events or circumstances arising after such date and cautions investors not to place undue reliance on any such forward-looking statements. These forward-looking statements should not be relied upon as representing the Company’s assessments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240" w:type="dxa"/>
            <w:vAlign w:val="bottom"/>
          </w:tcPr>
          <w:p>
            <w:pPr>
              <w:spacing w:after="0"/>
              <w:rPr>
                <w:sz w:val="23"/>
                <w:szCs w:val="23"/>
                <w:color w:val="auto"/>
              </w:rPr>
            </w:pPr>
          </w:p>
        </w:tc>
        <w:tc>
          <w:tcPr>
            <w:tcW w:w="9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00" w:type="dxa"/>
            <w:vAlign w:val="bottom"/>
          </w:tcPr>
          <w:p>
            <w:pPr>
              <w:spacing w:after="0"/>
              <w:rPr>
                <w:sz w:val="23"/>
                <w:szCs w:val="23"/>
                <w:color w:val="auto"/>
              </w:rPr>
            </w:pPr>
          </w:p>
        </w:tc>
      </w:tr>
      <w:tr>
        <w:trPr>
          <w:trHeight w:val="443"/>
        </w:trPr>
        <w:tc>
          <w:tcPr>
            <w:tcW w:w="1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4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9, 2026</w:t>
            </w:r>
          </w:p>
        </w:tc>
      </w:tr>
      <w:tr>
        <w:trPr>
          <w:trHeight w:val="20"/>
        </w:trPr>
        <w:tc>
          <w:tcPr>
            <w:tcW w:w="4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r>
      <w:tr>
        <w:trPr>
          <w:trHeight w:val="250"/>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9, 2026</w:t>
            </w: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Bealer</w:t>
            </w:r>
          </w:p>
        </w:tc>
      </w:tr>
      <w:tr>
        <w:trPr>
          <w:trHeight w:val="250"/>
        </w:trPr>
        <w:tc>
          <w:tcPr>
            <w:tcW w:w="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Bealer</w:t>
            </w:r>
          </w:p>
        </w:tc>
      </w:tr>
      <w:tr>
        <w:trPr>
          <w:trHeight w:val="270"/>
        </w:trPr>
        <w:tc>
          <w:tcPr>
            <w:tcW w:w="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5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97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397000"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Simply Good Foods Company Reports Fiscal Second Quarter 2026</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Financial Results and Updates Fiscal Year 2026 Outlook</w:t>
      </w:r>
    </w:p>
    <w:p>
      <w:pPr>
        <w:spacing w:after="0" w:line="3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Denver, CO, April 9, 2026 - The Simply Good Foods Company (Nasdaq: SMPL) (“Simply Good Foods,” or the “Company”), a leader in the Nutritional Snacking Category, today reported financial results for the thirteen and twenty-six weeks ended February 28,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Summary:</w:t>
      </w:r>
      <w:r>
        <w:rPr>
          <w:rFonts w:ascii="Times New Roman" w:cs="Times New Roman" w:eastAsia="Times New Roman" w:hAnsi="Times New Roman"/>
          <w:sz w:val="23"/>
          <w:szCs w:val="23"/>
          <w:b w:val="1"/>
          <w:bCs w:val="1"/>
          <w:color w:val="auto"/>
          <w:vertAlign w:val="superscript"/>
        </w:rPr>
        <w:t>(1)</w:t>
      </w: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of $326.0 million versus $359.7 million</w:t>
      </w:r>
    </w:p>
    <w:p>
      <w:pPr>
        <w:spacing w:after="0" w:line="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of $159.7 million versus net income of $36.7 million</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diluted share of $1.73 versus earnings per diluted share of $0.36</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line="197"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Diluted EPS</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 xml:space="preserve"> of $0.45 versus $0.46</w:t>
      </w: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 xml:space="preserve"> of $55.5 million versus $68.0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Updating Fiscal Year 2026</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b w:val="1"/>
          <w:bCs w:val="1"/>
          <w:color w:val="auto"/>
        </w:rPr>
        <w:t xml:space="preserve"> Outlook:</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 expected to range between $1.31 and $1.35 billion, or -10% to -7% year-over-year</w:t>
      </w: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Gross margins expected to decline between 300 and 350 basis points year-over-year</w:t>
      </w:r>
    </w:p>
    <w:p>
      <w:pPr>
        <w:spacing w:after="0" w:line="7" w:lineRule="exact"/>
        <w:rPr>
          <w:rFonts w:ascii="Times New Roman" w:cs="Times New Roman" w:eastAsia="Times New Roman" w:hAnsi="Times New Roman"/>
          <w:sz w:val="18"/>
          <w:szCs w:val="18"/>
          <w:b w:val="1"/>
          <w:bCs w:val="1"/>
          <w:color w:val="auto"/>
        </w:rPr>
      </w:pPr>
    </w:p>
    <w:p>
      <w:pPr>
        <w:ind w:left="660" w:hanging="328"/>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Adjusted EBITDA expected to range between $217 and $225 million, or -22% to -19% year-over-year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want to make it quite clear that we are not satisfied with our current performance,” said Joe Scalzo, President and Chief Executive Officer of Simply Good Foods. "Our recent results have not met our expectations, and we have taken immediate and fundamental actions to turnaround both our financial performance and our in-market performance."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Scalzo continued, “The long-term fundamentals of our category, our portfolio and our company capabilities are compelling, but in the near-term our organization must focus on three priorities, which are strengthening our business model economics by improving our cost structure and margins, ensuring consistency in our strategic choices driving organizational clarity and efficiency, and rebuilding brand investment behind superior marketing execution to drive household penetration."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2026 Results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of $326.0 million decreased 9.4% versus the comparable year ago period, driven by declines for Atkins and OWYN of 26.6% and 16.8%, respectively, and only partially offset by Quest growth of 0.3%. The Company's net sales performance was largely driven by poor retail takeaway relative to what we experienced in the first quarter. Quarter over quarter Quest consumption was affected by slower base velocity in chips and bars. OWYN consumption declined year over year due to lapping the heavy promotional period in the prior year and poor base velocities, including on newly expanded distribution.</w:t>
      </w:r>
    </w:p>
    <w:p>
      <w:pPr>
        <w:spacing w:after="0" w:line="21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Total Simply Good Foods retail takeaway</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decreased about 6.4% driven by a growth for Quest of 2.4% and a decline for OWYN of 2.4%, while Atkins declined 23.4%, which was largely as expected for the brand.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of $103.0 million decreased 20.8% versus the comparable year ago period, driven by inflationary costs, most notably cocoa, and tariffs. Gross margin was 31.6%, a decline of 460 basis points versus prior year, largely reflecting higher input costs and some one-time effects from actions taken to mitigate OWYN product quality issues. Excluding $3.9 million of one-time OWYN integration expenses in the current year period and a $0.4 million non-cash inventory purchase accounting step-up adjustment expense related to the OWYN acquisition that occurred in the comparable prior year period, gross margin was 32.8%, a 350 basis point decline versus the comparable year ago period.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of $28.2 million decreased 19.7% versus the comparable year ago period driven by planned declines for Atkins, which more than offset increases to support growth for Quest and OWYN.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of $34.9 million decreased 3.2% versus the comparable year ago period. Excluding for the current period $4.5 million in restructuring costs, integration expenses of $0.8 million, and term loan transaction fees of $0.2 million and for the prior year period integration expenses of $2.0 million and term loan transaction fees of $0.7 million, G&amp;A declined 12.0% to $29.3 million.</w:t>
      </w:r>
    </w:p>
    <w:p>
      <w:pPr>
        <w:sectPr>
          <w:pgSz w:w="11900" w:h="16838" w:orient="portrait"/>
          <w:cols w:equalWidth="0" w:num="1">
            <w:col w:w="11240"/>
          </w:cols>
          <w:pgMar w:left="320" w:top="1440"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process to evaluate the carrying value of our brands, we recognized an aggregate $249.0 million non-cash, impairment charge related to the Atkins brand and OWYN brand intangible assets. The impairment is largely the result of a challenging fiscal year 2026 and updated projections of future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of $5.0 million reflected a 12.1% decrease versus the comparable year ago period due to lower interest rates.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26.8%.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of $159.7 million compared to net income of $36.7 million for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of $55.5 million decreased 18.4% versus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loss per diluted share was $1.73 versus reported earnings per diluted share of $0.36 in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diluted EPS was $0.45 versus $0.46 in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diluted shares outstanding of 92.3 million declined modestly versus the comparable year ago period, reflecting share repurchases.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Second Quarter Fiscal Year 2026 Highlights vs. Year-to-date Second Quarter 2025</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of $666.2 million decreased 5.0% versus the comparable year ago period, driven by declines for Atkins and OWYN of 21.6% and 10.2%, respectively, and offset by Quest growth of 4.7%. Atkins declines were largely as expected. OWYN's net sales decline was the result of a product quality issue, lapping the heavy promotional period in the prior year and poor base velocities, including on newly expanded distribution.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Simply Good Foods retail takeaway decreased about 2.6% driven by growth for Quest and OWYN of 6.9% and 6.3%, respectively, while Atkins declined 21.3%, largely as expected.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of $212.9 million decreased 18.3% versus the comparable year ago period, driven by elevated input inflation, including the higher tariff expenses. Productivity was a modest offset. Gross margin was 32.0%, a 520 basis point decline versus the comparable year ago period, driven by elevated input costs which were only partially offset by productivity and mix. Excluding $6.5 million of one-time OWYN integration expenses in the current year period and a $1.4 million non-cash inventory purchase accounting step-up adjustment expense related to the OWYN acquisition that occurred in the comparable prior year period, gross margin was 32.9%, a 450 basis point decline versus the comparable year ago period.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of $57.8 million decreased 15.0% versus the comparable year ago period driven by planned marketing declines for Atkins, which more than offset increases to support growth for Quest and OWYN.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G&amp;A expenses of $72.9 million decreased 1.6% versus the comparable year ago period. Excluding in the current year period restructuring costs of $4.5 million, integration expenses of $4.1 million, and term loan transaction fees of $3.0 million and in the prior year period integration expenses of $6.9 million and term loan transaction fees of $0.7 million, G&amp;A declined 7.9% to $61.2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of $8.7 million reflected a 31.3% decrease versus the comparable year ago period due to lower interest rates.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process to evaluate the carrying value of our brands, we recognized an aggregate $249.0 million non-cash, impairment charge related to the Atkins brand and OWYN brand intangible assets. The impairment is largely the result of a challenging fiscal year 2026 and updated projections of future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was 27.0%.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of $134.4 million compared to net income of $74.9 million versus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of $111.1 million decreased 19.5% versus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loss per diluted share was $1.41 versus reported earnings per share of $0.74 in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Diluted EPS was $0.84 versus $0.95 in the comparable year ago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diluted shares outstanding of 95.5 million declined modestly versus the comparable year ago period, reflecting share repurchases.</w:t>
      </w:r>
    </w:p>
    <w:p>
      <w:pPr>
        <w:sectPr>
          <w:pgSz w:w="11900" w:h="16838" w:orient="portrait"/>
          <w:cols w:equalWidth="0" w:num="1">
            <w:col w:w="11240"/>
          </w:cols>
          <w:pgMar w:left="320" w:top="688"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68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Balance Sheet and Cash Flow</w:t>
      </w:r>
    </w:p>
    <w:p>
      <w:pPr>
        <w:spacing w:after="0" w:line="2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the end of the second quarter of fiscal year 2026, the Company had cash of $107.4 million and an outstanding principal balance on its term loan of $400.0 million, bringing the Company's quarter-end trailing twelve-month Net Debt to Adjusted EBITDA ratio to 1.2x</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Higher cash and debt balances reflect the Company's strategic decision to borrow an additional $150.0 million concurrently with a three-year extension of the Company's existing credit facilities, which closed in November 2025. Year-to-date cash flow from operations was about $58.2 million versus $63.3 million in the comparable year ago period. Capital expenditures were approximately $7.6 million.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the Company repurchased approximately 4.6 million shares of its common stock for approximately $89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updating its previously provided outlook for fiscal year 2026:</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expected to range between $1.31 to $1.35 billion, or -10% to -7%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Margins expected to decline between 300 and 350 basis points year-over-year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expected to range between $217 to $225 million, or -22% to -19% year-over-year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continues to expect net interest expense in the range of $19 to $21 million and an effective tax rate of approximately 25%. Finally, given the impact of year-to-date share repurchases, the company now expects a weighted average diluted share count of approximately 92 million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year 2026:</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Net Sales to range between $329 to $338 million, or -14% to -11% year-over-year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expected to range from $46 to $50 million, or -38% to -32% year-over-year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outlook assumes current economic conditions, consumer purchasing behavior and prevailing tariff rates remain generally consistent across the Company's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ind w:left="160" w:hanging="152"/>
        <w:spacing w:after="0" w:line="222" w:lineRule="auto"/>
        <w:tabs>
          <w:tab w:leader="none" w:pos="160"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All comparisons for the second quarter ended February 28, 2026, versus the comparable year-ago period ended March 1, 2025.</w:t>
      </w:r>
    </w:p>
    <w:p>
      <w:pPr>
        <w:spacing w:after="0" w:line="3" w:lineRule="exact"/>
        <w:rPr>
          <w:rFonts w:ascii="Times New Roman" w:cs="Times New Roman" w:eastAsia="Times New Roman" w:hAnsi="Times New Roman"/>
          <w:sz w:val="19"/>
          <w:szCs w:val="19"/>
          <w:i w:val="1"/>
          <w:iCs w:val="1"/>
          <w:color w:val="auto"/>
          <w:vertAlign w:val="superscript"/>
        </w:rPr>
      </w:pPr>
    </w:p>
    <w:p>
      <w:pPr>
        <w:jc w:val="both"/>
        <w:ind w:left="180" w:hanging="172"/>
        <w:spacing w:after="0" w:line="226" w:lineRule="auto"/>
        <w:tabs>
          <w:tab w:leader="none" w:pos="170"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Adjusted Diluted Earnings Per Share is a non-GAAP financial measure. The Company excludes restructuring costs, acquisition-related costs, such as Business Transaction costs, integration expense and depreciation and amortization expense in calculating Adjusted Diluted Earnings Per Share. Please refer to "Reconciliation of Adjusted Diluted Earnings Per Share" in this press release for an explanation and reconciliation of this non-GAAP financial measure.</w:t>
      </w:r>
    </w:p>
    <w:p>
      <w:pPr>
        <w:ind w:left="180" w:hanging="172"/>
        <w:spacing w:after="0" w:line="221" w:lineRule="auto"/>
        <w:tabs>
          <w:tab w:leader="none" w:pos="164"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Adjusted Earnings Before Interest, Taxes, Depreciation and Amortization ("EBITDA") is a non-GAAP financial measure. Please refer to the "Reconciliation of EBITDA and Adjusted EBITDA" in this press release for an explanation and reconciliation of this non-GAAP financial measure.</w:t>
      </w:r>
    </w:p>
    <w:p>
      <w:pPr>
        <w:spacing w:after="0" w:line="1" w:lineRule="exact"/>
        <w:rPr>
          <w:rFonts w:ascii="Times New Roman" w:cs="Times New Roman" w:eastAsia="Times New Roman" w:hAnsi="Times New Roman"/>
          <w:sz w:val="19"/>
          <w:szCs w:val="19"/>
          <w:i w:val="1"/>
          <w:iCs w:val="1"/>
          <w:color w:val="auto"/>
          <w:vertAlign w:val="superscript"/>
        </w:rPr>
      </w:pPr>
    </w:p>
    <w:p>
      <w:pPr>
        <w:jc w:val="both"/>
        <w:ind w:left="180" w:hanging="172"/>
        <w:spacing w:after="0" w:line="235" w:lineRule="auto"/>
        <w:tabs>
          <w:tab w:leader="none" w:pos="163"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Company does not provide a forward-looking reconciliation of expected Fiscal Year 2026 Adjusted EBITDA to Net Income, the most directly comparable GAAP financial measure, because we are unable to provide such a reconciliation without unreasonable effort due to the unavailability of reliable estimates for certain components of consolidated net income and the respective reconciliations, and the inherent difficulty of predicting what the changes in these components will be throughout the fiscal year. As these items may vary greatly between periods, we are unable to address the probable significance of the unavailable information, which could significantly affect our future financial results.</w:t>
      </w:r>
    </w:p>
    <w:p>
      <w:pPr>
        <w:spacing w:after="0" w:line="1" w:lineRule="exact"/>
        <w:rPr>
          <w:rFonts w:ascii="Times New Roman" w:cs="Times New Roman" w:eastAsia="Times New Roman" w:hAnsi="Times New Roman"/>
          <w:sz w:val="19"/>
          <w:szCs w:val="19"/>
          <w:i w:val="1"/>
          <w:iCs w:val="1"/>
          <w:color w:val="auto"/>
          <w:vertAlign w:val="superscript"/>
        </w:rPr>
      </w:pPr>
    </w:p>
    <w:p>
      <w:pPr>
        <w:ind w:left="160" w:hanging="152"/>
        <w:spacing w:after="0" w:line="192" w:lineRule="auto"/>
        <w:tabs>
          <w:tab w:leader="none" w:pos="160"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Combined Quest, Atkins, and OWYN Circana MULO++C and Company unmeasured channel estimate for the 13-weeks ending March 1, 2026, vs. the comparable 13-week year ago period.</w:t>
      </w:r>
    </w:p>
    <w:p>
      <w:pPr>
        <w:spacing w:after="0" w:line="3" w:lineRule="exact"/>
        <w:rPr>
          <w:rFonts w:ascii="Times New Roman" w:cs="Times New Roman" w:eastAsia="Times New Roman" w:hAnsi="Times New Roman"/>
          <w:sz w:val="19"/>
          <w:szCs w:val="19"/>
          <w:i w:val="1"/>
          <w:iCs w:val="1"/>
          <w:color w:val="auto"/>
          <w:vertAlign w:val="superscript"/>
        </w:rPr>
      </w:pPr>
    </w:p>
    <w:p>
      <w:pPr>
        <w:jc w:val="both"/>
        <w:ind w:left="180" w:hanging="172"/>
        <w:spacing w:after="0" w:line="246" w:lineRule="auto"/>
        <w:tabs>
          <w:tab w:leader="none" w:pos="150" w:val="left"/>
        </w:tabs>
        <w:numPr>
          <w:ilvl w:val="0"/>
          <w:numId w:val="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Net Debt to Adjusted EBITDA is a non-GAAP financial measure which Simply Good Foods defines as the total debt outstanding under our credit agreement with Barclays Bank PLC and other parties ("Credit Agreement"), reduced by cash and cash equivalents, and divided by the Company's trailing twelve month Adjusted EBITDA, as previously defined. The Company does not provide a forward-looking reconciliation of Net Debt to Adjusted EBITDA to Net Debt to Consolidated Net Income, the most directly comparable GAAP financial measures, expected for Fiscal Year 2026, because we are unable to provide such a reconciliation without unreasonable effort due to the unavailability of reliable estimates for certain components of consolidated net income and the respective reconciliations, and the inherent difficulty of predicting what the changes in these components will be throughout the fiscal year. As these items may vary greatly between periods, we are unable to address the probable significance of the unavailable information, which could significantly affect our future financial results.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68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host a conference call with members of the executive management team to discuss these results today, Thursday, April 9, 2026, at 6:30 a.m. Mountain time (8:30 a.m. Eastern time). Investors interested in participating in the live call can dial 877-407-0792 from the U.S. or 201-689-8263 from international locations. A live webcast will be available via the "Investors" section of the Company's website at </w:t>
      </w:r>
      <w:r>
        <w:rPr>
          <w:rFonts w:ascii="Times New Roman" w:cs="Times New Roman" w:eastAsia="Times New Roman" w:hAnsi="Times New Roman"/>
          <w:sz w:val="18"/>
          <w:szCs w:val="18"/>
          <w:u w:val="single" w:color="auto"/>
          <w:color w:val="0563C1"/>
        </w:rPr>
        <w:t>www.thesimplygoodfoodscompany.com</w:t>
      </w:r>
      <w:r>
        <w:rPr>
          <w:rFonts w:ascii="Times New Roman" w:cs="Times New Roman" w:eastAsia="Times New Roman" w:hAnsi="Times New Roman"/>
          <w:sz w:val="18"/>
          <w:szCs w:val="18"/>
          <w:color w:val="000000"/>
        </w:rPr>
        <w:t>. A telephone replay will be available approximately two hours after the call concludes and will remain accessible</w:t>
      </w:r>
      <w:r>
        <w:rPr>
          <w:rFonts w:ascii="Times New Roman" w:cs="Times New Roman" w:eastAsia="Times New Roman" w:hAnsi="Times New Roman"/>
          <w:sz w:val="18"/>
          <w:szCs w:val="18"/>
          <w:color w:val="0563C1"/>
        </w:rPr>
        <w:t xml:space="preserve"> </w:t>
      </w:r>
      <w:r>
        <w:rPr>
          <w:rFonts w:ascii="Times New Roman" w:cs="Times New Roman" w:eastAsia="Times New Roman" w:hAnsi="Times New Roman"/>
          <w:sz w:val="18"/>
          <w:szCs w:val="18"/>
          <w:color w:val="000000"/>
        </w:rPr>
        <w:t>through April 16, 2026, by dialing 844-512-2921 from the U.S., or 412-317-6671 from international locations, and entering confirmation code 13758838.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Simply Good Foods Company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Simply Good Foods Company (Nasdaq: SMPL),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 To learn more, visit </w:t>
      </w:r>
      <w:r>
        <w:rPr>
          <w:rFonts w:ascii="Times New Roman" w:cs="Times New Roman" w:eastAsia="Times New Roman" w:hAnsi="Times New Roman"/>
          <w:sz w:val="18"/>
          <w:szCs w:val="18"/>
          <w:u w:val="single" w:color="auto"/>
          <w:color w:val="0563C1"/>
        </w:rPr>
        <w:t>www.thesimplygoodfoodscompany.com</w:t>
      </w:r>
      <w:r>
        <w:rPr>
          <w:rFonts w:ascii="Times New Roman" w:cs="Times New Roman" w:eastAsia="Times New Roman" w:hAnsi="Times New Roman"/>
          <w:sz w:val="18"/>
          <w:szCs w:val="18"/>
          <w:color w:val="000000"/>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Siler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Simply Good Foods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msiler@simplygoodfoodsco.com</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made herein are not historical facts but are forward-looking statements for purposes of the safe harbor provisions under The Private Securities Litigation Reform Act of 1995. Forward-looking statements generally are accompanied by or include words such as “will”, “expect”, “intends” or other similar words, phrases or expressions.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operations being dependent on changes in consumer preferences and purchasing habits regarding our products, a global supply chain and effects of supply chain constraints, inflationary pressure and tariffs on us and our contract manufacturers, our ability to continue to operate at a profit or to maintain our margins,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due to tariffs or other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effect pandemics or other global disruptions on our business, financial condition and results of operations, the loss of one or more members of our management team, potential for increased costs, the harm to our business resulting from unauthorized access of the information technology systems we use in our business, and other risks and uncertainties indicated in the Company’s Form 10-K, Form 10-Q, and Form 8-K reports (including all amendments to those reports) filed with the U.S. Securities and Exchange Commission from time to time. In addition, forward-looking statements provide the Company’s expectations, plans or forecasts of future events and views as of the date of this communication. Except as required by law, the Company undertakes no obligation to update such statements to reflect events or circumstances arising after such date and cautions investors not to place undue reliance on any such forward-looking statements. These forward-looking statements should not be relied upon as representing the Company’s assessments as of any date subsequent to the date of this communication.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684"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6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23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0" w:type="dxa"/>
            <w:vAlign w:val="bottom"/>
          </w:tcPr>
          <w:p>
            <w:pPr>
              <w:spacing w:after="0"/>
              <w:rPr>
                <w:sz w:val="1"/>
                <w:szCs w:val="1"/>
                <w:color w:val="auto"/>
              </w:rPr>
            </w:pP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123,517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164,978</w:t>
            </w:r>
          </w:p>
        </w:tc>
        <w:tc>
          <w:tcPr>
            <w:tcW w:w="0" w:type="dxa"/>
            <w:vAlign w:val="bottom"/>
          </w:tcPr>
          <w:p>
            <w:pPr>
              <w:spacing w:after="0"/>
              <w:rPr>
                <w:sz w:val="1"/>
                <w:szCs w:val="1"/>
                <w:color w:val="auto"/>
              </w:rPr>
            </w:pP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189,780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167,217</w:t>
            </w:r>
          </w:p>
        </w:tc>
        <w:tc>
          <w:tcPr>
            <w:tcW w:w="0" w:type="dxa"/>
            <w:vAlign w:val="bottom"/>
          </w:tcPr>
          <w:p>
            <w:pPr>
              <w:spacing w:after="0"/>
              <w:rPr>
                <w:sz w:val="1"/>
                <w:szCs w:val="1"/>
                <w:color w:val="auto"/>
              </w:rPr>
            </w:pP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0" w:type="dxa"/>
            <w:vAlign w:val="bottom"/>
          </w:tcPr>
          <w:p>
            <w:pPr>
              <w:spacing w:after="0"/>
              <w:rPr>
                <w:sz w:val="1"/>
                <w:szCs w:val="1"/>
                <w:color w:val="auto"/>
              </w:rPr>
            </w:pPr>
          </w:p>
        </w:tc>
      </w:tr>
      <w:tr>
        <w:trPr>
          <w:trHeight w:val="237"/>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453,684</w:t>
            </w: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39,738</w:t>
            </w:r>
          </w:p>
        </w:tc>
        <w:tc>
          <w:tcPr>
            <w:tcW w:w="0" w:type="dxa"/>
            <w:vAlign w:val="bottom"/>
          </w:tcPr>
          <w:p>
            <w:pPr>
              <w:spacing w:after="0"/>
              <w:rPr>
                <w:sz w:val="1"/>
                <w:szCs w:val="1"/>
                <w:color w:val="auto"/>
              </w:rPr>
            </w:pP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1,004,763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0" w:type="dxa"/>
            <w:vAlign w:val="bottom"/>
          </w:tcPr>
          <w:p>
            <w:pPr>
              <w:spacing w:after="0"/>
              <w:rPr>
                <w:sz w:val="1"/>
                <w:szCs w:val="1"/>
                <w:color w:val="auto"/>
              </w:rPr>
            </w:pPr>
          </w:p>
        </w:tc>
      </w:tr>
      <w:tr>
        <w:trPr>
          <w:trHeight w:val="253"/>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48,930</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51,046</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2,125,704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78,298</w:t>
            </w:r>
          </w:p>
        </w:tc>
        <w:tc>
          <w:tcPr>
            <w:tcW w:w="0" w:type="dxa"/>
            <w:vAlign w:val="bottom"/>
          </w:tcPr>
          <w:p>
            <w:pPr>
              <w:spacing w:after="0"/>
              <w:rPr>
                <w:sz w:val="1"/>
                <w:szCs w:val="1"/>
                <w:color w:val="auto"/>
              </w:rPr>
            </w:pP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w:t>
            </w:r>
          </w:p>
        </w:tc>
        <w:tc>
          <w:tcPr>
            <w:tcW w:w="1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0" w:type="dxa"/>
            <w:vAlign w:val="bottom"/>
          </w:tcPr>
          <w:p>
            <w:pPr>
              <w:spacing w:after="0"/>
              <w:rPr>
                <w:sz w:val="1"/>
                <w:szCs w:val="1"/>
                <w:color w:val="auto"/>
              </w:rPr>
            </w:pPr>
          </w:p>
        </w:tc>
      </w:tr>
      <w:tr>
        <w:trPr>
          <w:trHeight w:val="23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124,561</w:t>
            </w:r>
          </w:p>
        </w:tc>
        <w:tc>
          <w:tcPr>
            <w:tcW w:w="0" w:type="dxa"/>
            <w:vAlign w:val="bottom"/>
          </w:tcPr>
          <w:p>
            <w:pPr>
              <w:spacing w:after="0"/>
              <w:rPr>
                <w:sz w:val="1"/>
                <w:szCs w:val="1"/>
                <w:color w:val="auto"/>
              </w:rPr>
            </w:pPr>
          </w:p>
        </w:tc>
      </w:tr>
      <w:tr>
        <w:trPr>
          <w:trHeight w:val="260"/>
        </w:trPr>
        <w:tc>
          <w:tcPr>
            <w:tcW w:w="6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396,866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c>
          <w:tcPr>
            <w:tcW w:w="0" w:type="dxa"/>
            <w:vAlign w:val="bottom"/>
          </w:tcPr>
          <w:p>
            <w:pPr>
              <w:spacing w:after="0"/>
              <w:rPr>
                <w:sz w:val="1"/>
                <w:szCs w:val="1"/>
                <w:color w:val="auto"/>
              </w:rPr>
            </w:pP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106,629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166,091</w:t>
            </w:r>
          </w:p>
        </w:tc>
        <w:tc>
          <w:tcPr>
            <w:tcW w:w="0" w:type="dxa"/>
            <w:vAlign w:val="bottom"/>
          </w:tcPr>
          <w:p>
            <w:pPr>
              <w:spacing w:after="0"/>
              <w:rPr>
                <w:sz w:val="1"/>
                <w:szCs w:val="1"/>
                <w:color w:val="auto"/>
              </w:rPr>
            </w:pP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45,506</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49,494</w:t>
            </w:r>
          </w:p>
        </w:tc>
        <w:tc>
          <w:tcPr>
            <w:tcW w:w="0" w:type="dxa"/>
            <w:vAlign w:val="bottom"/>
          </w:tcPr>
          <w:p>
            <w:pPr>
              <w:spacing w:after="0"/>
              <w:rPr>
                <w:sz w:val="1"/>
                <w:szCs w:val="1"/>
                <w:color w:val="auto"/>
              </w:rPr>
            </w:pPr>
          </w:p>
        </w:tc>
      </w:tr>
      <w:tr>
        <w:trPr>
          <w:trHeight w:val="23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589,212</w:t>
            </w:r>
          </w:p>
        </w:tc>
        <w:tc>
          <w:tcPr>
            <w:tcW w:w="0" w:type="dxa"/>
            <w:vAlign w:val="bottom"/>
          </w:tcPr>
          <w:p>
            <w:pPr>
              <w:spacing w:after="0"/>
              <w:rPr>
                <w:sz w:val="1"/>
                <w:szCs w:val="1"/>
                <w:color w:val="auto"/>
              </w:rPr>
            </w:pPr>
          </w:p>
        </w:tc>
      </w:tr>
      <w:tr>
        <w:trPr>
          <w:trHeight w:val="26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104,033,175 and 103,688,071</w:t>
            </w:r>
          </w:p>
        </w:tc>
        <w:tc>
          <w:tcPr>
            <w:tcW w:w="14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February 28, 2026, and August 30, 2025, respectively</w:t>
            </w: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13,548,075 shares and 3,957,571 shares at cost at February 28, 2026, and August</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(319,397)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(129,337)</w:t>
            </w:r>
          </w:p>
        </w:tc>
        <w:tc>
          <w:tcPr>
            <w:tcW w:w="0" w:type="dxa"/>
            <w:vAlign w:val="bottom"/>
          </w:tcPr>
          <w:p>
            <w:pPr>
              <w:spacing w:after="0"/>
              <w:rPr>
                <w:sz w:val="1"/>
                <w:szCs w:val="1"/>
                <w:color w:val="auto"/>
              </w:rPr>
            </w:pPr>
          </w:p>
        </w:tc>
      </w:tr>
      <w:tr>
        <w:trPr>
          <w:trHeight w:val="21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 2025, respectively</w:t>
            </w:r>
          </w:p>
        </w:tc>
        <w:tc>
          <w:tcPr>
            <w:tcW w:w="1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1,353,320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0" w:type="dxa"/>
            <w:vAlign w:val="bottom"/>
          </w:tcPr>
          <w:p>
            <w:pPr>
              <w:spacing w:after="0"/>
              <w:rPr>
                <w:sz w:val="1"/>
                <w:szCs w:val="1"/>
                <w:color w:val="auto"/>
              </w:rPr>
            </w:pPr>
          </w:p>
        </w:tc>
      </w:tr>
      <w:tr>
        <w:trPr>
          <w:trHeight w:val="253"/>
        </w:trPr>
        <w:tc>
          <w:tcPr>
            <w:tcW w:w="6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456,450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1,489,825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2,125,704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80"/>
          </w:cols>
          <w:pgMar w:left="960" w:top="684" w:right="9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both"/>
        <w:ind w:left="2480" w:right="2440" w:hanging="37"/>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Income and Comprehensive Income </w:t>
      </w:r>
      <w:r>
        <w:rPr>
          <w:rFonts w:ascii="Times New Roman" w:cs="Times New Roman" w:eastAsia="Times New Roman" w:hAnsi="Times New Roman"/>
          <w:sz w:val="18"/>
          <w:szCs w:val="18"/>
          <w:i w:val="1"/>
          <w:iCs w:val="1"/>
          <w:color w:val="auto"/>
        </w:rPr>
        <w:t>(Unaudited, dollars in thousands, except share and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20"/>
                <w:szCs w:val="20"/>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0" w:type="dxa"/>
            <w:vAlign w:val="bottom"/>
          </w:tcPr>
          <w:p>
            <w:pPr>
              <w:spacing w:after="0"/>
              <w:rPr>
                <w:sz w:val="1"/>
                <w:szCs w:val="1"/>
                <w:color w:val="auto"/>
              </w:rPr>
            </w:pPr>
          </w:p>
        </w:tc>
      </w:tr>
      <w:tr>
        <w:trPr>
          <w:trHeight w:val="23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326,013</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666,211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c>
          <w:tcPr>
            <w:tcW w:w="0" w:type="dxa"/>
            <w:vAlign w:val="bottom"/>
          </w:tcPr>
          <w:p>
            <w:pPr>
              <w:spacing w:after="0"/>
              <w:rPr>
                <w:sz w:val="1"/>
                <w:szCs w:val="1"/>
                <w:color w:val="auto"/>
              </w:rPr>
            </w:pPr>
          </w:p>
        </w:tc>
      </w:tr>
      <w:tr>
        <w:trPr>
          <w:trHeight w:val="254"/>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453,278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440,300</w:t>
            </w:r>
          </w:p>
        </w:tc>
        <w:tc>
          <w:tcPr>
            <w:tcW w:w="0" w:type="dxa"/>
            <w:vAlign w:val="bottom"/>
          </w:tcPr>
          <w:p>
            <w:pPr>
              <w:spacing w:after="0"/>
              <w:rPr>
                <w:sz w:val="1"/>
                <w:szCs w:val="1"/>
                <w:color w:val="auto"/>
              </w:rPr>
            </w:pPr>
          </w:p>
        </w:tc>
      </w:tr>
      <w:tr>
        <w:trPr>
          <w:trHeight w:val="23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212,933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260,623</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68,072</w:t>
            </w:r>
          </w:p>
        </w:tc>
        <w:tc>
          <w:tcPr>
            <w:tcW w:w="0" w:type="dxa"/>
            <w:vAlign w:val="bottom"/>
          </w:tcPr>
          <w:p>
            <w:pPr>
              <w:spacing w:after="0"/>
              <w:rPr>
                <w:sz w:val="1"/>
                <w:szCs w:val="1"/>
                <w:color w:val="auto"/>
              </w:rPr>
            </w:pPr>
          </w:p>
        </w:tc>
      </w:tr>
      <w:tr>
        <w:trPr>
          <w:trHeight w:val="26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0" w:type="dxa"/>
            <w:vAlign w:val="bottom"/>
          </w:tcPr>
          <w:p>
            <w:pPr>
              <w:spacing w:after="0"/>
              <w:rPr>
                <w:sz w:val="1"/>
                <w:szCs w:val="1"/>
                <w:color w:val="auto"/>
              </w:rPr>
            </w:pPr>
          </w:p>
        </w:tc>
      </w:tr>
      <w:tr>
        <w:trPr>
          <w:trHeight w:val="25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0" w:type="dxa"/>
            <w:vAlign w:val="bottom"/>
          </w:tcPr>
          <w:p>
            <w:pPr>
              <w:spacing w:after="0"/>
              <w:rPr>
                <w:sz w:val="1"/>
                <w:szCs w:val="1"/>
                <w:color w:val="auto"/>
              </w:rPr>
            </w:pPr>
          </w:p>
        </w:tc>
      </w:tr>
      <w:tr>
        <w:trPr>
          <w:trHeight w:val="25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54"/>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316,351</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388,667</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151,277</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(175,734)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109,346</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5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0" w:type="dxa"/>
            <w:vAlign w:val="bottom"/>
          </w:tcPr>
          <w:p>
            <w:pPr>
              <w:spacing w:after="0"/>
              <w:rPr>
                <w:sz w:val="1"/>
                <w:szCs w:val="1"/>
                <w:color w:val="auto"/>
              </w:rPr>
            </w:pPr>
          </w:p>
        </w:tc>
      </w:tr>
      <w:tr>
        <w:trPr>
          <w:trHeight w:val="254"/>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0" w:type="dxa"/>
            <w:vAlign w:val="bottom"/>
          </w:tcPr>
          <w:p>
            <w:pPr>
              <w:spacing w:after="0"/>
              <w:rPr>
                <w:sz w:val="1"/>
                <w:szCs w:val="1"/>
                <w:color w:val="auto"/>
              </w:rPr>
            </w:pPr>
          </w:p>
        </w:tc>
      </w:tr>
      <w:tr>
        <w:trPr>
          <w:trHeight w:val="260"/>
        </w:trPr>
        <w:tc>
          <w:tcPr>
            <w:tcW w:w="3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(184,205)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0" w:type="dxa"/>
            <w:vAlign w:val="bottom"/>
          </w:tcPr>
          <w:p>
            <w:pPr>
              <w:spacing w:after="0"/>
              <w:rPr>
                <w:sz w:val="1"/>
                <w:szCs w:val="1"/>
                <w:color w:val="auto"/>
              </w:rPr>
            </w:pPr>
          </w:p>
        </w:tc>
      </w:tr>
      <w:tr>
        <w:trPr>
          <w:trHeight w:val="25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0" w:type="dxa"/>
            <w:vAlign w:val="bottom"/>
          </w:tcPr>
          <w:p>
            <w:pPr>
              <w:spacing w:after="0"/>
              <w:rPr>
                <w:sz w:val="1"/>
                <w:szCs w:val="1"/>
                <w:color w:val="auto"/>
              </w:rPr>
            </w:pPr>
          </w:p>
        </w:tc>
      </w:tr>
      <w:tr>
        <w:trPr>
          <w:trHeight w:val="260"/>
        </w:trPr>
        <w:tc>
          <w:tcPr>
            <w:tcW w:w="3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5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 net of</w:t>
            </w: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(158,631)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(133,584)</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74,056</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per share from net (loss) income:</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53"/>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95,546,361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100,724,155</w:t>
            </w:r>
          </w:p>
        </w:tc>
        <w:tc>
          <w:tcPr>
            <w:tcW w:w="0" w:type="dxa"/>
            <w:vAlign w:val="bottom"/>
          </w:tcPr>
          <w:p>
            <w:pPr>
              <w:spacing w:after="0"/>
              <w:rPr>
                <w:sz w:val="1"/>
                <w:szCs w:val="1"/>
                <w:color w:val="auto"/>
              </w:rPr>
            </w:pPr>
          </w:p>
        </w:tc>
      </w:tr>
      <w:tr>
        <w:trPr>
          <w:trHeight w:val="259"/>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101,821,229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95,546,361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101,674,934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00"/>
          </w:cols>
          <w:pgMar w:left="1040" w:top="684" w:right="10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March 1, 2025</w:t>
            </w:r>
          </w:p>
        </w:tc>
      </w:tr>
      <w:tr>
        <w:trPr>
          <w:trHeight w:val="19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74,869</w:t>
            </w:r>
          </w:p>
        </w:tc>
      </w:tr>
      <w:tr>
        <w:trPr>
          <w:trHeight w:val="21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10,135</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w:t>
            </w:r>
          </w:p>
        </w:tc>
      </w:tr>
      <w:tr>
        <w:trPr>
          <w:trHeight w:val="24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w:t>
            </w: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credit losses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w:t>
            </w:r>
          </w:p>
        </w:tc>
      </w:tr>
      <w:tr>
        <w:trPr>
          <w:trHeight w:val="219"/>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(22,445)</w:t>
            </w:r>
          </w:p>
        </w:tc>
      </w:tr>
      <w:tr>
        <w:trPr>
          <w:trHeight w:val="213"/>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r>
      <w:tr>
        <w:trPr>
          <w:trHeight w:val="219"/>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16,566</w:t>
            </w:r>
          </w:p>
        </w:tc>
      </w:tr>
      <w:tr>
        <w:trPr>
          <w:trHeight w:val="219"/>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65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(19,470)</w:t>
            </w:r>
          </w:p>
        </w:tc>
      </w:tr>
      <w:tr>
        <w:trPr>
          <w:trHeight w:val="219"/>
        </w:trPr>
        <w:tc>
          <w:tcPr>
            <w:tcW w:w="6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07"/>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63,267</w:t>
            </w:r>
          </w:p>
        </w:tc>
      </w:tr>
      <w:tr>
        <w:trPr>
          <w:trHeight w:val="199"/>
        </w:trPr>
        <w:tc>
          <w:tcPr>
            <w:tcW w:w="6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07"/>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10,136</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(92,386)</w:t>
            </w:r>
          </w:p>
        </w:tc>
      </w:tr>
      <w:tr>
        <w:trPr>
          <w:trHeight w:val="216"/>
        </w:trPr>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(29,119)</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132,530</w:t>
            </w:r>
          </w:p>
        </w:tc>
      </w:tr>
      <w:tr>
        <w:trPr>
          <w:trHeight w:val="237"/>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103,682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780"/>
          </w:cols>
          <w:pgMar w:left="1060" w:top="684" w:right="10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and Brands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revenue disaggregated by geographic area and brands:</w:t>
      </w:r>
    </w:p>
    <w:p>
      <w:pPr>
        <w:spacing w:after="0" w:line="108"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7"/>
        </w:trPr>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79,717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169,987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216,818</w:t>
            </w:r>
          </w:p>
        </w:tc>
      </w:tr>
      <w:tr>
        <w:trPr>
          <w:trHeight w:val="273"/>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211,442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402,708</w:t>
            </w:r>
          </w:p>
        </w:tc>
      </w:tr>
      <w:tr>
        <w:trPr>
          <w:trHeight w:val="267"/>
        </w:trPr>
        <w:tc>
          <w:tcPr>
            <w:tcW w:w="35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OWYN</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28,135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33,806</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66,060</w:t>
            </w:r>
          </w:p>
        </w:tc>
      </w:tr>
      <w:tr>
        <w:trPr>
          <w:trHeight w:val="253"/>
        </w:trPr>
        <w:tc>
          <w:tcPr>
            <w:tcW w:w="3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319,294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353,227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685,586</w:t>
            </w:r>
          </w:p>
        </w:tc>
      </w:tr>
      <w:tr>
        <w:trPr>
          <w:trHeight w:val="267"/>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15,337</w:t>
            </w:r>
          </w:p>
        </w:tc>
      </w:tr>
      <w:tr>
        <w:trPr>
          <w:trHeight w:val="251"/>
        </w:trPr>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326,013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820" w:right="40" w:hanging="85"/>
        <w:spacing w:after="0" w:line="210" w:lineRule="auto"/>
        <w:tabs>
          <w:tab w:leader="none" w:pos="902"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320" w:top="684" w:right="10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and Adjusted EBITDA. </w:t>
      </w:r>
      <w:r>
        <w:rPr>
          <w:rFonts w:ascii="Times New Roman" w:cs="Times New Roman" w:eastAsia="Times New Roman" w:hAnsi="Times New Roman"/>
          <w:sz w:val="18"/>
          <w:szCs w:val="18"/>
          <w:color w:val="auto"/>
        </w:rPr>
        <w:t>EBITDA and Adjusted EBITDA are non-GAAP financial measures commonly used in our industry and should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loss on impairment, stock-based compensation expense, business transaction costs, purchase price accounting inventory step-up, integration costs, term loan transaction fees, restructuring,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twenty-six weeks ended February 28, 2026, and March 1, 2025:</w:t>
      </w:r>
    </w:p>
    <w:p>
      <w:pPr>
        <w:spacing w:after="0" w:line="139"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r>
      <w:tr>
        <w:trPr>
          <w:trHeight w:val="26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7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r>
      <w:tr>
        <w:trPr>
          <w:trHeight w:val="26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21,784</w:t>
            </w:r>
          </w:p>
        </w:tc>
      </w:tr>
      <w:tr>
        <w:trPr>
          <w:trHeight w:val="27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10,135</w:t>
            </w:r>
          </w:p>
        </w:tc>
      </w:tr>
      <w:tr>
        <w:trPr>
          <w:trHeight w:val="25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(207,204)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119,510</w:t>
            </w:r>
          </w:p>
        </w:tc>
      </w:tr>
      <w:tr>
        <w:trPr>
          <w:trHeight w:val="273"/>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w:t>
            </w:r>
          </w:p>
        </w:tc>
      </w:tr>
      <w:tr>
        <w:trPr>
          <w:trHeight w:val="273"/>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67"/>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73"/>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Integration expense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r>
      <w:tr>
        <w:trPr>
          <w:trHeight w:val="267"/>
        </w:trPr>
        <w:tc>
          <w:tcPr>
            <w:tcW w:w="3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73"/>
        </w:trPr>
        <w:tc>
          <w:tcPr>
            <w:tcW w:w="3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8"/>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ind w:left="900" w:hanging="166"/>
        <w:spacing w:after="0" w:line="235" w:lineRule="auto"/>
        <w:tabs>
          <w:tab w:leader="none" w:pos="90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one-time effects from actions taken to mitigate OWYN product quality issues.</w:t>
      </w:r>
    </w:p>
    <w:p>
      <w:pPr>
        <w:spacing w:after="0" w:line="24" w:lineRule="exact"/>
        <w:rPr>
          <w:rFonts w:ascii="Times New Roman" w:cs="Times New Roman" w:eastAsia="Times New Roman" w:hAnsi="Times New Roman"/>
          <w:sz w:val="21"/>
          <w:szCs w:val="21"/>
          <w:color w:val="auto"/>
          <w:vertAlign w:val="superscript"/>
        </w:rPr>
      </w:pPr>
    </w:p>
    <w:p>
      <w:pPr>
        <w:ind w:left="880" w:hanging="146"/>
        <w:spacing w:after="0" w:line="223" w:lineRule="auto"/>
        <w:tabs>
          <w:tab w:leader="none" w:pos="8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Diluted Earnings Per Share</w:t>
      </w:r>
    </w:p>
    <w:p>
      <w:pPr>
        <w:spacing w:after="0" w:line="2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Adjusted Diluted Earnings per Share</w:t>
      </w:r>
      <w:r>
        <w:rPr>
          <w:rFonts w:ascii="Times New Roman" w:cs="Times New Roman" w:eastAsia="Times New Roman" w:hAnsi="Times New Roman"/>
          <w:sz w:val="18"/>
          <w:szCs w:val="18"/>
          <w:color w:val="auto"/>
        </w:rPr>
        <w:t>. Adjusted Diluted Earnings per Share is a non-GAAP financial measure commonly used in our industry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should not be construed as an alternative to diluted earnings per share as an indicator of operating performance. Simply Good Foods defines Adjusted Diluted Earnings Per Share as diluted earnings per share before loss on impairment, stock-based compensation expense, business transaction costs, purchase price accounting inventory step-up, integration costs, restructuring, and term loan transaction fees on a theoretical tax effected basis of such adjustments. The tax effect of such adjustments to Adjusted Diluted Earnings Per Share is calculated by applying an overall assumed statutory tax rate to each gross adjustment as shown in the reconciliation to Adjusted EBITDA, as previously defined. The assumed statutory tax rate reflects a normalized effective tax rate estimated based on assumptions regarding the Company's statutory and effective tax rate for each respective reporting period, including the current and deferred tax effects of each adjustment, and is adjusted for the effects of tax reform, if any. The Company consistently applies the overall assumed statutory tax rate to periods throughout each fiscal year and reassesses the overall assumed statutory rate on annual basis. The Company believes that the inclusion of these supplementary adjustments in presenting Adjusted Diluted Earnings per Share, when used in conjunction with diluted earnings per share, are appropriate to provide additional information to investors,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w:t>
      </w:r>
    </w:p>
    <w:p>
      <w:pPr>
        <w:spacing w:after="0" w:line="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analysts, investors and other interested parties in the evaluation of companies in its industry</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Adjusted Diluted Earnings per Share may not be comparable to other similarly titled captions of other companies due to differences in the non-GAAP calculation.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tables below provide a reconciliation of Adjusted Diluted Earnings Per Share to its most directly comparable GAAP measure, which is diluted earnings per share, for the thirteen and twenty-six weeks ended February 28, 2026, and March 1, 2025:</w:t>
      </w:r>
    </w:p>
    <w:p>
      <w:pPr>
        <w:spacing w:after="0" w:line="301"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3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0.74</w:t>
            </w:r>
          </w:p>
        </w:tc>
      </w:tr>
      <w:tr>
        <w:trPr>
          <w:trHeight w:val="239"/>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impairment</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0.09</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 step-up</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Integration expense</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0.07</w:t>
            </w: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4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 effects of adjustments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16"/>
        </w:trPr>
        <w:tc>
          <w:tcPr>
            <w:tcW w:w="34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Rounding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4"/>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0.84</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-141605</wp:posOffset>
            </wp:positionV>
            <wp:extent cx="61290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9020" cy="145415"/>
                    </a:xfrm>
                    <a:prstGeom prst="rect">
                      <a:avLst/>
                    </a:prstGeom>
                    <a:noFill/>
                  </pic:spPr>
                </pic:pic>
              </a:graphicData>
            </a:graphic>
          </wp:anchor>
        </w:drawing>
      </w:r>
    </w:p>
    <w:p>
      <w:pPr>
        <w:jc w:val="both"/>
        <w:ind w:left="820" w:right="800" w:hanging="4"/>
        <w:spacing w:after="0" w:line="210" w:lineRule="auto"/>
        <w:tabs>
          <w:tab w:leader="none" w:pos="966"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line item reflects the aggregate tax effect of all non-tax adjustments reflected in the preceding line items of the table. The tax effect of each adjustment is computed (i) by dividing the gross amount of the adjustment, as shown in the Adjusted EBITDA reconciliation, by the number of diluted weighted average shares outstanding for the applicable fiscal period and (ii) applying an overall assumed statutory tax rate of 25% for the thirteen and twenty-six week periods ended February 28, 2026, as well as the thirteen and twenty-six week periods ended March 1, 2025.</w:t>
      </w:r>
    </w:p>
    <w:p>
      <w:pPr>
        <w:spacing w:after="0" w:line="71" w:lineRule="exact"/>
        <w:rPr>
          <w:rFonts w:ascii="Times New Roman" w:cs="Times New Roman" w:eastAsia="Times New Roman" w:hAnsi="Times New Roman"/>
          <w:sz w:val="19"/>
          <w:szCs w:val="19"/>
          <w:color w:val="auto"/>
          <w:vertAlign w:val="superscript"/>
        </w:rPr>
      </w:pPr>
    </w:p>
    <w:p>
      <w:pPr>
        <w:ind w:left="820" w:right="820" w:hanging="4"/>
        <w:spacing w:after="0" w:line="212" w:lineRule="auto"/>
        <w:tabs>
          <w:tab w:leader="none" w:pos="9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Adjusted Diluted Earnings Per Share amounts are computed independently for each quarter. Therefore, the sum of the quarterly Adjusted Diluted Earnings Per Share amounts may not equal the year to date Adjusted Diluted Earnings Per Share amounts due to rounding.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Debt to Adjusted EBITDA</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Debt to Adjusted EBITDA</w:t>
      </w:r>
      <w:r>
        <w:rPr>
          <w:rFonts w:ascii="Times New Roman" w:cs="Times New Roman" w:eastAsia="Times New Roman" w:hAnsi="Times New Roman"/>
          <w:sz w:val="18"/>
          <w:szCs w:val="18"/>
          <w:color w:val="auto"/>
        </w:rPr>
        <w:t>. Net Debt to Adjusted EBITDA is a non-GAAP financial measure which Simply Good Foods defines as the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outstanding under our credit agreement with Barclays Bank PLC and other parties (“Credit Agreement”), reduced by cash and cash equivalents, and divided by the trailing twelve months of Adjusted EBITDA, as previously defined.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below provides a reconciliation of Net Debt to Adjusted EBITDA as of February 28, 2026:</w:t>
      </w:r>
    </w:p>
    <w:p>
      <w:pPr>
        <w:spacing w:after="0" w:line="295" w:lineRule="exact"/>
        <w:rPr>
          <w:sz w:val="20"/>
          <w:szCs w:val="20"/>
          <w:color w:val="auto"/>
        </w:rPr>
      </w:pPr>
    </w:p>
    <w:tbl>
      <w:tblPr>
        <w:tblLayout w:type="fixed"/>
        <w:tblInd w:w="1680" w:type="dxa"/>
        <w:tblCellMar>
          <w:top w:w="0" w:type="dxa"/>
          <w:left w:w="0" w:type="dxa"/>
          <w:bottom w:w="0" w:type="dxa"/>
          <w:right w:w="0" w:type="dxa"/>
        </w:tblCellMar>
      </w:tblPr>
      <w:tr>
        <w:trPr>
          <w:trHeight w:val="215"/>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February 28, 2026</w:t>
            </w:r>
          </w:p>
        </w:tc>
      </w:tr>
      <w:tr>
        <w:trPr>
          <w:trHeight w:val="23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Debt: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54"/>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debt outstanding under the Credit Agreement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400,000</w:t>
            </w:r>
          </w:p>
        </w:tc>
      </w:tr>
      <w:tr>
        <w:trPr>
          <w:trHeight w:val="259"/>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(107,444)</w:t>
            </w:r>
          </w:p>
        </w:tc>
      </w:tr>
      <w:tr>
        <w:trPr>
          <w:trHeight w:val="233"/>
        </w:trPr>
        <w:tc>
          <w:tcPr>
            <w:tcW w:w="69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Net Debt as of February 28,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292,556</w:t>
            </w:r>
          </w:p>
        </w:tc>
      </w:tr>
      <w:tr>
        <w:trPr>
          <w:trHeight w:val="260"/>
        </w:trPr>
        <w:tc>
          <w:tcPr>
            <w:tcW w:w="6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Trailing twelve months Adjusted EBITDA:</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60"/>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 Adjusted EBITDA for the twenty-six weeks ended February 28,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111,134</w:t>
            </w:r>
          </w:p>
        </w:tc>
      </w:tr>
      <w:tr>
        <w:trPr>
          <w:trHeight w:val="253"/>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Add: Adjusted EBITDA for the fiscal year ended August 30, 2025</w:t>
            </w:r>
          </w:p>
        </w:tc>
        <w:tc>
          <w:tcPr>
            <w:tcW w:w="16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278,162</w:t>
            </w:r>
          </w:p>
        </w:tc>
      </w:tr>
      <w:tr>
        <w:trPr>
          <w:trHeight w:val="259"/>
        </w:trPr>
        <w:tc>
          <w:tcPr>
            <w:tcW w:w="6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Adjusted EBITDA for the twenty-six weeks ended March 1, 2025</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(138,069)</w:t>
            </w:r>
          </w:p>
        </w:tc>
      </w:tr>
      <w:tr>
        <w:trPr>
          <w:trHeight w:val="234"/>
        </w:trPr>
        <w:tc>
          <w:tcPr>
            <w:tcW w:w="6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Trailing twelve months Adjusted EBITDA as of February 28,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251,227</w:t>
            </w:r>
          </w:p>
        </w:tc>
      </w:tr>
      <w:tr>
        <w:trPr>
          <w:trHeight w:val="259"/>
        </w:trPr>
        <w:tc>
          <w:tcPr>
            <w:tcW w:w="6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Debt to Adjusted EBITDA</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x</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2026-04-09T06:04:44Z</dcterms:created>
  <dcterms:modified xsi:type="dcterms:W3CDTF">2026-04-09T06:04:44Z</dcterms:modified>
</cp:coreProperties>
</file>