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26, 2022</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72"/>
        <w:spacing w:after="0" w:line="245" w:lineRule="auto"/>
        <w:tabs>
          <w:tab w:leader="none" w:pos="222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85725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64" w:orient="portrait"/>
          <w:cols w:equalWidth="0" w:num="1">
            <w:col w:w="11240"/>
          </w:cols>
          <w:pgMar w:left="320" w:top="695"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64" w:orient="portrait"/>
          <w:cols w:equalWidth="0" w:num="2">
            <w:col w:w="7860" w:space="720"/>
            <w:col w:w="2660"/>
          </w:cols>
          <w:pgMar w:left="320" w:top="695"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4" w:orient="portrait"/>
          <w:cols w:equalWidth="0" w:num="1">
            <w:col w:w="11240"/>
          </w:cols>
          <w:pgMar w:left="320" w:top="695" w:right="339" w:bottom="0" w:gutter="0" w:footer="0" w:header="0"/>
          <w:type w:val="continuous"/>
        </w:sectPr>
      </w:pPr>
    </w:p>
    <w:p>
      <w:pPr>
        <w:spacing w:after="0" w:line="12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68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4" w:orient="portrait"/>
          <w:cols w:equalWidth="0" w:num="3">
            <w:col w:w="4080" w:space="540"/>
            <w:col w:w="1060" w:space="720"/>
            <w:col w:w="4840"/>
          </w:cols>
          <w:pgMar w:left="320" w:top="695"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30, 2022, there were 99,491,357 shares of common stock, par value $0.01 per share, issued and outstanding.</w:t>
      </w:r>
    </w:p>
    <w:p>
      <w:pPr>
        <w:sectPr>
          <w:pgSz w:w="11900" w:h="16864" w:orient="portrait"/>
          <w:cols w:equalWidth="0" w:num="1">
            <w:col w:w="11240"/>
          </w:cols>
          <w:pgMar w:left="320" w:top="69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NOVEMBER 26,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18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26, 2022</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132,667</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124,119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351,601</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1,123,258</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58,099</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2,093,063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2,094,249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39,675</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102,248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403,022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105,676</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44,639</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629,707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101,856,457 and 101,322,834</w:t>
            </w:r>
          </w:p>
        </w:tc>
        <w:tc>
          <w:tcPr>
            <w:tcW w:w="1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at November 26, 2022 and August 27, 2022, respectively</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Treasury stock, 2,365,100 shares and 1,818,754 shares at cost at November 26, 2022 and August</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27, 2022, respectively</w:t>
            </w: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1,292,720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250,241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214,381</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1,463,356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2,093,063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2,094,249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27, 2021</w:t>
            </w:r>
          </w:p>
        </w:tc>
      </w:tr>
      <w:tr>
        <w:trPr>
          <w:trHeight w:val="239"/>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300,878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281,265</w:t>
            </w:r>
          </w:p>
        </w:tc>
      </w:tr>
      <w:tr>
        <w:trPr>
          <w:trHeight w:val="25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164,710</w:t>
            </w:r>
          </w:p>
        </w:tc>
      </w:tr>
      <w:tr>
        <w:trPr>
          <w:trHeight w:val="23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116,555</w:t>
            </w:r>
          </w:p>
        </w:tc>
      </w:tr>
      <w:tr>
        <w:trPr>
          <w:trHeight w:val="257"/>
        </w:trPr>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30,527</w:t>
            </w:r>
          </w:p>
        </w:tc>
      </w:tr>
      <w:tr>
        <w:trPr>
          <w:trHeight w:val="2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23,702</w:t>
            </w:r>
          </w:p>
        </w:tc>
      </w:tr>
      <w:tr>
        <w:trPr>
          <w:trHeight w:val="253"/>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w:t>
            </w:r>
          </w:p>
        </w:tc>
      </w:tr>
      <w:tr>
        <w:trPr>
          <w:trHeight w:val="24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58,549</w:t>
            </w:r>
          </w:p>
        </w:tc>
      </w:tr>
      <w:tr>
        <w:trPr>
          <w:trHeight w:val="257"/>
        </w:trPr>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58,006</w:t>
            </w:r>
          </w:p>
        </w:tc>
      </w:tr>
      <w:tr>
        <w:trPr>
          <w:trHeight w:val="257"/>
        </w:trPr>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0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(17,317)</w:t>
            </w: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53"/>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(24,031)</w:t>
            </w:r>
          </w:p>
        </w:tc>
      </w:tr>
      <w:tr>
        <w:trPr>
          <w:trHeight w:val="257"/>
        </w:trPr>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33,975</w:t>
            </w:r>
          </w:p>
        </w:tc>
      </w:tr>
      <w:tr>
        <w:trPr>
          <w:trHeight w:val="25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12,823</w:t>
            </w:r>
          </w:p>
        </w:tc>
      </w:tr>
      <w:tr>
        <w:trPr>
          <w:trHeight w:val="24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r>
      <w:tr>
        <w:trPr>
          <w:trHeight w:val="257"/>
        </w:trPr>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13"/>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3"/>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5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99,200,557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95,856,845</w:t>
            </w:r>
          </w:p>
        </w:tc>
      </w:tr>
      <w:tr>
        <w:trPr>
          <w:trHeight w:val="250"/>
        </w:trPr>
        <w:tc>
          <w:tcPr>
            <w:tcW w:w="6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100,723,036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97,861,573</w:t>
            </w:r>
          </w:p>
        </w:tc>
      </w:tr>
    </w:tbl>
    <w:p>
      <w:pPr>
        <w:spacing w:after="0" w:line="3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27, 2021</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21,152</w:t>
            </w: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change of warrant liability</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17,317</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on foreign currency transactions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lease termination</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(13,993)</w:t>
            </w: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(15,331)</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(14,220)</w:t>
            </w:r>
          </w:p>
        </w:tc>
      </w:tr>
      <w:tr>
        <w:trPr>
          <w:trHeight w:val="213"/>
        </w:trPr>
        <w:tc>
          <w:tcPr>
            <w:tcW w:w="6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(17,902)</w:t>
            </w:r>
          </w:p>
        </w:tc>
      </w:tr>
      <w:tr>
        <w:trPr>
          <w:trHeight w:val="213"/>
        </w:trPr>
        <w:tc>
          <w:tcPr>
            <w:tcW w:w="68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w:t>
            </w:r>
          </w:p>
        </w:tc>
      </w:tr>
      <w:tr>
        <w:trPr>
          <w:trHeight w:val="131"/>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r>
      <w:tr>
        <w:trPr>
          <w:trHeight w:val="219"/>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of note receivable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w:t>
            </w:r>
          </w:p>
        </w:tc>
      </w:tr>
      <w:tr>
        <w:trPr>
          <w:trHeight w:val="131"/>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9"/>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r>
      <w:tr>
        <w:trPr>
          <w:trHeight w:val="213"/>
        </w:trPr>
        <w:tc>
          <w:tcPr>
            <w:tcW w:w="6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(27,992)</w:t>
            </w:r>
          </w:p>
        </w:tc>
      </w:tr>
      <w:tr>
        <w:trPr>
          <w:trHeight w:val="131"/>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decrease in cash</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(39,698)</w:t>
            </w:r>
          </w:p>
        </w:tc>
      </w:tr>
      <w:tr>
        <w:trPr>
          <w:trHeight w:val="219"/>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75,345</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27, 2021</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exchanged for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w:t>
            </w:r>
          </w:p>
        </w:tc>
      </w:tr>
    </w:tbl>
    <w:p>
      <w:pPr>
        <w:spacing w:after="0" w:line="3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36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8"/>
          </w:tcPr>
          <w:p>
            <w:pPr>
              <w:ind w:left="38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6"/>
                <w:szCs w:val="16"/>
                <w:color w:val="auto"/>
              </w:rPr>
            </w:pPr>
          </w:p>
        </w:tc>
        <w:tc>
          <w:tcPr>
            <w:tcW w:w="162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Other</w:t>
            </w:r>
          </w:p>
        </w:tc>
        <w:tc>
          <w:tcPr>
            <w:tcW w:w="200" w:type="dxa"/>
            <w:vAlign w:val="bottom"/>
          </w:tcPr>
          <w:p>
            <w:pPr>
              <w:spacing w:after="0"/>
              <w:rPr>
                <w:sz w:val="16"/>
                <w:szCs w:val="16"/>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41"/>
        </w:trPr>
        <w:tc>
          <w:tcPr>
            <w:tcW w:w="17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Paid-In Capital</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5"/>
            <w:vMerge w:val="continue"/>
          </w:tcPr>
          <w:p>
            <w:pPr>
              <w:spacing w:after="0"/>
              <w:rPr>
                <w:sz w:val="3"/>
                <w:szCs w:val="3"/>
                <w:color w:val="auto"/>
              </w:rPr>
            </w:pPr>
          </w:p>
        </w:tc>
        <w:tc>
          <w:tcPr>
            <w:tcW w:w="14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gridSpan w:val="2"/>
            <w:vMerge w:val="restart"/>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78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CCEEFF"/>
            </w:tcBorders>
            <w:gridSpan w:val="2"/>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27, 2022</w:t>
            </w:r>
          </w:p>
        </w:tc>
        <w:tc>
          <w:tcPr>
            <w:tcW w:w="92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101,322,834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1,818,754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(62,003)</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1,287,224</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214,381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1,438,664</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Pr>
          <w:p>
            <w:pPr>
              <w:spacing w:after="0"/>
              <w:rPr>
                <w:sz w:val="15"/>
                <w:szCs w:val="15"/>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35,860</w:t>
            </w: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60" w:type="dxa"/>
            <w:vAlign w:val="bottom"/>
            <w:shd w:val="clear" w:color="auto" w:fill="CCEEFF"/>
          </w:tcPr>
          <w:p>
            <w:pPr>
              <w:spacing w:after="0"/>
              <w:rPr>
                <w:sz w:val="11"/>
                <w:szCs w:val="11"/>
                <w:color w:val="auto"/>
              </w:rPr>
            </w:pPr>
          </w:p>
        </w:tc>
        <w:tc>
          <w:tcPr>
            <w:tcW w:w="9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3,237</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60" w:type="dxa"/>
            <w:vAlign w:val="bottom"/>
          </w:tcPr>
          <w:p>
            <w:pPr>
              <w:spacing w:after="0"/>
              <w:rPr>
                <w:sz w:val="15"/>
                <w:szCs w:val="15"/>
                <w:color w:val="auto"/>
              </w:rPr>
            </w:pP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5"/>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7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Repurchase of common</w:t>
            </w:r>
          </w:p>
        </w:tc>
        <w:tc>
          <w:tcPr>
            <w:tcW w:w="6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546,346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(16,448)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(16,448)</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6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issued upon</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and performance</w:t>
            </w:r>
          </w:p>
        </w:tc>
        <w:tc>
          <w:tcPr>
            <w:tcW w:w="9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180,342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0" w:type="dxa"/>
            <w:vAlign w:val="bottom"/>
          </w:tcPr>
          <w:p>
            <w:pPr>
              <w:spacing w:after="0"/>
              <w:rPr>
                <w:sz w:val="1"/>
                <w:szCs w:val="1"/>
                <w:color w:val="auto"/>
              </w:rPr>
            </w:pPr>
          </w:p>
        </w:tc>
      </w:tr>
      <w:tr>
        <w:trPr>
          <w:trHeight w:val="188"/>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9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Exercise of options and</w:t>
            </w: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stock appreciation rights</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 purchase common</w:t>
            </w:r>
          </w:p>
        </w:tc>
        <w:tc>
          <w:tcPr>
            <w:tcW w:w="9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353,281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4,563</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tcBorders>
              <w:bottom w:val="single" w:sz="8" w:color="CCEEFF"/>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4"/>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7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at November 26,</w:t>
            </w:r>
          </w:p>
        </w:tc>
        <w:tc>
          <w:tcPr>
            <w:tcW w:w="92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101,856,457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1,019</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2,365,100</w:t>
            </w:r>
          </w:p>
        </w:tc>
        <w:tc>
          <w:tcPr>
            <w:tcW w:w="40" w:type="dxa"/>
            <w:vAlign w:val="bottom"/>
            <w:tcBorders>
              <w:top w:val="single" w:sz="8" w:color="auto"/>
            </w:tcBorders>
          </w:tcPr>
          <w:p>
            <w:pPr>
              <w:spacing w:after="0"/>
              <w:rPr>
                <w:sz w:val="10"/>
                <w:szCs w:val="10"/>
                <w:color w:val="auto"/>
              </w:rPr>
            </w:pPr>
          </w:p>
        </w:tc>
        <w:tc>
          <w:tcPr>
            <w:tcW w:w="120" w:type="dxa"/>
            <w:vAlign w:val="bottom"/>
            <w:gridSpan w:val="2"/>
            <w:vMerge w:val="restart"/>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(78,451)</w:t>
            </w:r>
          </w:p>
        </w:tc>
        <w:tc>
          <w:tcPr>
            <w:tcW w:w="140" w:type="dxa"/>
            <w:vAlign w:val="bottom"/>
            <w:gridSpan w:val="2"/>
            <w:vMerge w:val="restart"/>
          </w:tcPr>
          <w:p>
            <w:pPr>
              <w:spacing w:after="0"/>
              <w:rPr>
                <w:sz w:val="10"/>
                <w:szCs w:val="10"/>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1,292,720</w:t>
            </w:r>
          </w:p>
        </w:tc>
        <w:tc>
          <w:tcPr>
            <w:tcW w:w="20" w:type="dxa"/>
            <w:vAlign w:val="bottom"/>
            <w:tcBorders>
              <w:top w:val="single" w:sz="8" w:color="auto"/>
            </w:tcBorders>
          </w:tcPr>
          <w:p>
            <w:pPr>
              <w:spacing w:after="0"/>
              <w:rPr>
                <w:sz w:val="10"/>
                <w:szCs w:val="10"/>
                <w:color w:val="auto"/>
              </w:rPr>
            </w:pPr>
          </w:p>
        </w:tc>
        <w:tc>
          <w:tcPr>
            <w:tcW w:w="140" w:type="dxa"/>
            <w:vAlign w:val="bottom"/>
            <w:gridSpan w:val="2"/>
            <w:vMerge w:val="restart"/>
          </w:tcPr>
          <w:p>
            <w:pPr>
              <w:spacing w:after="0"/>
              <w:rPr>
                <w:sz w:val="10"/>
                <w:szCs w:val="10"/>
                <w:color w:val="auto"/>
              </w:rPr>
            </w:pPr>
          </w:p>
        </w:tc>
        <w:tc>
          <w:tcPr>
            <w:tcW w:w="360" w:type="dxa"/>
            <w:vAlign w:val="bottom"/>
            <w:tcBorders>
              <w:top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250,241</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4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1,463,356</w:t>
            </w: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920" w:type="dxa"/>
            <w:vAlign w:val="bottom"/>
            <w:tcBorders>
              <w:bottom w:val="single" w:sz="8" w:color="auto"/>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8"/>
          </w:tcPr>
          <w:p>
            <w:pPr>
              <w:ind w:left="42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24"/>
                <w:szCs w:val="24"/>
                <w:color w:val="auto"/>
              </w:rPr>
            </w:pPr>
          </w:p>
        </w:tc>
        <w:tc>
          <w:tcPr>
            <w:tcW w:w="162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Paid-In Capital</w:t>
            </w:r>
          </w:p>
        </w:tc>
        <w:tc>
          <w:tcPr>
            <w:tcW w:w="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gridSpan w:val="5"/>
            <w:vMerge w:val="continue"/>
          </w:tcPr>
          <w:p>
            <w:pPr>
              <w:spacing w:after="0"/>
              <w:rPr>
                <w:sz w:val="3"/>
                <w:szCs w:val="3"/>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1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vMerge w:val="restart"/>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7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August 28, 2021</w:t>
            </w: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95,882,908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1,085,001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1,188,804</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Pr>
          <w:p>
            <w:pPr>
              <w:spacing w:after="0"/>
              <w:rPr>
                <w:sz w:val="15"/>
                <w:szCs w:val="15"/>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21,152</w:t>
            </w:r>
          </w:p>
        </w:tc>
        <w:tc>
          <w:tcPr>
            <w:tcW w:w="0" w:type="dxa"/>
            <w:vAlign w:val="bottom"/>
          </w:tcPr>
          <w:p>
            <w:pPr>
              <w:spacing w:after="0"/>
              <w:rPr>
                <w:sz w:val="1"/>
                <w:szCs w:val="1"/>
                <w:color w:val="auto"/>
              </w:rPr>
            </w:pPr>
          </w:p>
        </w:tc>
      </w:tr>
      <w:tr>
        <w:trPr>
          <w:trHeight w:val="24"/>
        </w:trPr>
        <w:tc>
          <w:tcPr>
            <w:tcW w:w="1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2,605</w:t>
            </w:r>
          </w:p>
        </w:tc>
        <w:tc>
          <w:tcPr>
            <w:tcW w:w="0" w:type="dxa"/>
            <w:vAlign w:val="bottom"/>
          </w:tcPr>
          <w:p>
            <w:pPr>
              <w:spacing w:after="0"/>
              <w:rPr>
                <w:sz w:val="1"/>
                <w:szCs w:val="1"/>
                <w:color w:val="auto"/>
              </w:rPr>
            </w:pPr>
          </w:p>
        </w:tc>
      </w:tr>
      <w:tr>
        <w:trPr>
          <w:trHeight w:val="166"/>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60" w:type="dxa"/>
            <w:vAlign w:val="bottom"/>
          </w:tcPr>
          <w:p>
            <w:pPr>
              <w:spacing w:after="0"/>
              <w:rPr>
                <w:sz w:val="14"/>
                <w:szCs w:val="14"/>
                <w:color w:val="auto"/>
              </w:rPr>
            </w:pPr>
          </w:p>
        </w:tc>
        <w:tc>
          <w:tcPr>
            <w:tcW w:w="9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issued upon</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units and performance</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227,729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6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9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options to</w:t>
            </w:r>
          </w:p>
        </w:tc>
        <w:tc>
          <w:tcPr>
            <w:tcW w:w="6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19,804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93"/>
        </w:trPr>
        <w:tc>
          <w:tcPr>
            <w:tcW w:w="1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purchase common stock</w:t>
            </w:r>
          </w:p>
        </w:tc>
        <w:tc>
          <w:tcPr>
            <w:tcW w:w="6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7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November 27,</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96,130,441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98,234</w:t>
            </w:r>
          </w:p>
        </w:tc>
        <w:tc>
          <w:tcPr>
            <w:tcW w:w="40" w:type="dxa"/>
            <w:vAlign w:val="bottom"/>
            <w:shd w:val="clear" w:color="auto" w:fill="CCEEFF"/>
          </w:tcPr>
          <w:p>
            <w:pPr>
              <w:spacing w:after="0"/>
              <w:rPr>
                <w:sz w:val="10"/>
                <w:szCs w:val="10"/>
                <w:color w:val="auto"/>
              </w:rPr>
            </w:pPr>
          </w:p>
        </w:tc>
        <w:tc>
          <w:tcPr>
            <w:tcW w:w="2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40" w:type="dxa"/>
            <w:vAlign w:val="bottom"/>
            <w:shd w:val="clear" w:color="auto" w:fill="CCEEFF"/>
          </w:tcPr>
          <w:p>
            <w:pPr>
              <w:spacing w:after="0"/>
              <w:rPr>
                <w:sz w:val="10"/>
                <w:szCs w:val="10"/>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1,084,690</w:t>
            </w:r>
          </w:p>
        </w:tc>
        <w:tc>
          <w:tcPr>
            <w:tcW w:w="2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126,959</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4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1,209,607</w:t>
            </w:r>
          </w:p>
        </w:tc>
        <w:tc>
          <w:tcPr>
            <w:tcW w:w="0" w:type="dxa"/>
            <w:vAlign w:val="bottom"/>
          </w:tcPr>
          <w:p>
            <w:pPr>
              <w:spacing w:after="0"/>
              <w:rPr>
                <w:sz w:val="1"/>
                <w:szCs w:val="1"/>
                <w:color w:val="auto"/>
              </w:rPr>
            </w:pPr>
          </w:p>
        </w:tc>
      </w:tr>
      <w:tr>
        <w:trPr>
          <w:trHeight w:val="19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gridSpan w:val="3"/>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43"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Simply Good Foods is poised to expand its wellness platform through innovation and organic growth along with acquisition opportunities in the nutritional snacking space.</w:t>
      </w:r>
    </w:p>
    <w:p>
      <w:pPr>
        <w:spacing w:after="0" w:line="223"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256" w:lineRule="exact"/>
        <w:rPr>
          <w:sz w:val="20"/>
          <w:szCs w:val="20"/>
          <w:color w:val="auto"/>
        </w:rPr>
      </w:pPr>
    </w:p>
    <w:p>
      <w:pPr>
        <w:jc w:val="both"/>
        <w:ind w:firstLine="211"/>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27, 2022, included in the Company’s Annual Report on Form 10-K (“Annual Report”) filed with the SEC on October 21, 2022.</w:t>
      </w:r>
    </w:p>
    <w:p>
      <w:pPr>
        <w:spacing w:after="0" w:line="215" w:lineRule="exact"/>
        <w:rPr>
          <w:sz w:val="20"/>
          <w:szCs w:val="20"/>
          <w:color w:val="auto"/>
        </w:rPr>
      </w:pPr>
    </w:p>
    <w:p>
      <w:pPr>
        <w:jc w:val="both"/>
        <w:ind w:firstLine="215"/>
        <w:spacing w:after="0" w:line="261" w:lineRule="auto"/>
        <w:rPr>
          <w:sz w:val="20"/>
          <w:szCs w:val="20"/>
          <w:color w:val="auto"/>
        </w:rPr>
      </w:pPr>
      <w:r>
        <w:rPr>
          <w:rFonts w:ascii="Times New Roman" w:cs="Times New Roman" w:eastAsia="Times New Roman" w:hAnsi="Times New Roman"/>
          <w:sz w:val="18"/>
          <w:szCs w:val="18"/>
          <w:color w:val="auto"/>
        </w:rPr>
        <w:t>The ultimate effect the supply chain challenges, cost pressures, current high inflation environment, and the possible economic recession could have on consumer purchasing patterns and on the Company’s business continues to be not fully known. Additionally, management is continuing to monitor the conflict in Ukraine, especially regarding the availability and cost of raw materials that are produced in this region and Europe in general. Management is also monitoring the situation in Eastern Europe for its possible supply chain and consumer consumption effects on the Company’s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82"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which provides optional</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w:t>
      </w:r>
    </w:p>
    <w:p>
      <w:pPr>
        <w:spacing w:after="0" w:line="203"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2022. The Company does not anticipate the amendments in this ASU will be material to its consolidated financial statements.</w:t>
      </w:r>
    </w:p>
    <w:p>
      <w:pPr>
        <w:spacing w:after="0" w:line="202"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5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26, 2022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27, 2021</w:t>
            </w:r>
          </w:p>
        </w:tc>
      </w:tr>
      <w:tr>
        <w:trPr>
          <w:trHeight w:val="25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131,745</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133,794</w:t>
            </w:r>
          </w:p>
        </w:tc>
      </w:tr>
      <w:tr>
        <w:trPr>
          <w:trHeight w:val="270"/>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161,472</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138,294</w:t>
            </w:r>
          </w:p>
        </w:tc>
      </w:tr>
      <w:tr>
        <w:trPr>
          <w:trHeight w:val="250"/>
        </w:trPr>
        <w:tc>
          <w:tcPr>
            <w:tcW w:w="3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North America</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272,088</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w:t>
            </w:r>
          </w:p>
        </w:tc>
      </w:tr>
      <w:tr>
        <w:trPr>
          <w:trHeight w:val="22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300,878</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281,265</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both"/>
        <w:ind w:left="2280" w:right="2180" w:hanging="87"/>
        <w:spacing w:after="0" w:line="227" w:lineRule="auto"/>
        <w:tabs>
          <w:tab w:leader="none" w:pos="2348"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8"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Charges related to credit loss on accounts receivables from transactions with external customers were $(0.1) million for the thirteen weeks ended November 26, 2022, and were immaterial for the thirteen weeks ended November 27, 2021. As of November 26, 2022 and August 27, 2022, the allowances for doubtful accounts related to these accounts receivable were $1.1 million and $1.2 million, respectively. Additionally, as of November 26, 2022, the Company had an expected credit loss reserve of $1.0 million on a $3.0 million note receivable related to the Company’s sale of its SimplyProtein® brand and related assets during its fiscal year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212"/>
        <w:spacing w:after="0" w:line="284" w:lineRule="auto"/>
        <w:rPr>
          <w:sz w:val="20"/>
          <w:szCs w:val="20"/>
          <w:color w:val="auto"/>
        </w:rPr>
      </w:pPr>
      <w:r>
        <w:rPr>
          <w:rFonts w:ascii="Times New Roman" w:cs="Times New Roman" w:eastAsia="Times New Roman" w:hAnsi="Times New Roman"/>
          <w:sz w:val="18"/>
          <w:szCs w:val="18"/>
          <w:color w:val="auto"/>
        </w:rPr>
        <w:t xml:space="preserve">As of November 26, 2022 and August 27, 2022,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$543.1 million. There were no impairment charges related to goodwill during the thirteen weeks ended November 26, 2022 or since the inception of the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November 26, 2022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9,060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12,940</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5,381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1,182,916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63,569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1,119,347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27, 2022</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13,419</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1,182,863</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59,605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1,123,258</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thirteen weeks ended November 26, 2022 were primarily related to recurring amortization expense. Amortization expense related to intangible assets was $3.9 million and $4.0 million for the thirteen weeks ended November 26, 2022 and November 27, 2021, respectively. There were no impairment charges related to intangible assets during the thirteen weeks ended November 26, 2022 and November 27, 2021.</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11,703</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13,542</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2028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78,039</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145,294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November 26, 2022 and August 27, 2022,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26, 2022</w:t>
            </w:r>
          </w:p>
        </w:tc>
        <w:tc>
          <w:tcPr>
            <w:tcW w:w="16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c>
          <w:tcPr>
            <w:tcW w:w="0" w:type="dxa"/>
            <w:vAlign w:val="bottom"/>
          </w:tcPr>
          <w:p>
            <w:pPr>
              <w:spacing w:after="0"/>
              <w:rPr>
                <w:sz w:val="1"/>
                <w:szCs w:val="1"/>
                <w:color w:val="auto"/>
              </w:rPr>
            </w:pP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Term Facility (effective rate of 7.7% at November 26,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406,500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Finance lease liabilities (effective rate of 5.6% at</w:t>
            </w:r>
          </w:p>
        </w:tc>
        <w:tc>
          <w:tcPr>
            <w:tcW w:w="10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3"/>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November 26, 2022)</w:t>
            </w: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0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403,286</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396,994</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403,022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November 26,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July 2024.</w:t>
      </w:r>
    </w:p>
    <w:p>
      <w:pPr>
        <w:spacing w:after="0" w:line="220" w:lineRule="exact"/>
        <w:rPr>
          <w:sz w:val="20"/>
          <w:szCs w:val="20"/>
          <w:color w:val="auto"/>
        </w:rPr>
      </w:pPr>
    </w:p>
    <w:p>
      <w:pPr>
        <w:jc w:val="both"/>
        <w:ind w:firstLine="207"/>
        <w:spacing w:after="0" w:line="242" w:lineRule="auto"/>
        <w:rPr>
          <w:sz w:val="20"/>
          <w:szCs w:val="20"/>
          <w:color w:val="auto"/>
        </w:rPr>
      </w:pPr>
      <w:r>
        <w:rPr>
          <w:rFonts w:ascii="Times New Roman" w:cs="Times New Roman" w:eastAsia="Times New Roman" w:hAnsi="Times New Roman"/>
          <w:sz w:val="18"/>
          <w:szCs w:val="18"/>
          <w:color w:val="auto"/>
        </w:rPr>
        <w:t>As of November 26, 2022,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November 26, 2022.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November 26, 2022 and August 27, 2022,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Measurements</w:t>
      </w:r>
    </w:p>
    <w:p>
      <w:pPr>
        <w:spacing w:after="0" w:line="243"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During the thirteen weeks ended November 27, 2021, the Company had outstanding liability-classified Private Warrants that allowed holders to purchase 6,700,000 shares of the Company’s common stock. Such Private Warrants were held by Conyers Park Sponsor, LLC (“Conyers Park”), a related party, and were exercised on a cashless basis on January 7, 2022 resulting in a net issuance of 4,830,761 shares of the Company’s common stock. As a result, there were no outstanding liability-classified Private Warrants as of November 26, 2022 and August 27, 2022. Refer to Note 10, Stockholders’ Equity, for additional details regarding the cashless exercise of the Private Warrants.</w:t>
      </w:r>
    </w:p>
    <w:p>
      <w:pPr>
        <w:spacing w:after="0" w:line="210" w:lineRule="exact"/>
        <w:rPr>
          <w:sz w:val="20"/>
          <w:szCs w:val="20"/>
          <w:color w:val="auto"/>
        </w:rPr>
      </w:pPr>
    </w:p>
    <w:p>
      <w:pPr>
        <w:jc w:val="both"/>
        <w:ind w:firstLine="217"/>
        <w:spacing w:after="0" w:line="255" w:lineRule="auto"/>
        <w:rPr>
          <w:sz w:val="20"/>
          <w:szCs w:val="20"/>
          <w:color w:val="auto"/>
        </w:rPr>
      </w:pPr>
      <w:r>
        <w:rPr>
          <w:rFonts w:ascii="Times New Roman" w:cs="Times New Roman" w:eastAsia="Times New Roman" w:hAnsi="Times New Roman"/>
          <w:sz w:val="18"/>
          <w:szCs w:val="18"/>
          <w:color w:val="auto"/>
        </w:rPr>
        <w:t>The Company utilized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reflected a Level 3 measurement within the fair value measurement hierarchy.</w:t>
      </w:r>
    </w:p>
    <w:p>
      <w:pPr>
        <w:spacing w:after="0" w:line="214" w:lineRule="exact"/>
        <w:rPr>
          <w:sz w:val="20"/>
          <w:szCs w:val="20"/>
          <w:color w:val="auto"/>
        </w:rPr>
      </w:pPr>
    </w:p>
    <w:p>
      <w:pPr>
        <w:jc w:val="both"/>
        <w:ind w:right="20" w:firstLine="299"/>
        <w:spacing w:after="0" w:line="284" w:lineRule="auto"/>
        <w:rPr>
          <w:sz w:val="20"/>
          <w:szCs w:val="20"/>
          <w:color w:val="auto"/>
        </w:rPr>
      </w:pPr>
      <w:r>
        <w:rPr>
          <w:rFonts w:ascii="Times New Roman" w:cs="Times New Roman" w:eastAsia="Times New Roman" w:hAnsi="Times New Roman"/>
          <w:sz w:val="18"/>
          <w:szCs w:val="18"/>
          <w:color w:val="auto"/>
        </w:rPr>
        <w:t xml:space="preserve">The periodic remeasurement of the warrant liability has been reflected in </w:t>
      </w:r>
      <w:r>
        <w:rPr>
          <w:rFonts w:ascii="Times New Roman" w:cs="Times New Roman" w:eastAsia="Times New Roman" w:hAnsi="Times New Roman"/>
          <w:sz w:val="18"/>
          <w:szCs w:val="18"/>
          <w:i w:val="1"/>
          <w:iCs w:val="1"/>
          <w:color w:val="auto"/>
        </w:rPr>
        <w:t>Loss in fair value change of warrant liability</w:t>
      </w:r>
      <w:r>
        <w:rPr>
          <w:rFonts w:ascii="Times New Roman" w:cs="Times New Roman" w:eastAsia="Times New Roman" w:hAnsi="Times New Roman"/>
          <w:sz w:val="18"/>
          <w:szCs w:val="18"/>
          <w:color w:val="auto"/>
        </w:rPr>
        <w:t xml:space="preserve"> within the Consolidated Statements of Operations and Comprehensive Income. The adjustment for the thirteen weeks ended November 27, 2021 was a loss of $17.3 million.</w:t>
      </w:r>
    </w:p>
    <w:p>
      <w:pPr>
        <w:spacing w:after="0" w:line="183"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4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November 26, 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November 27, 2021</w:t>
            </w: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45,556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33,975</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9,696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12,823</w:t>
            </w:r>
          </w:p>
        </w:tc>
      </w:tr>
      <w:tr>
        <w:trPr>
          <w:trHeight w:val="27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r>
    </w:tbl>
    <w:p>
      <w:pPr>
        <w:spacing w:after="0" w:line="319" w:lineRule="exact"/>
        <w:rPr>
          <w:sz w:val="20"/>
          <w:szCs w:val="20"/>
          <w:color w:val="auto"/>
        </w:rPr>
      </w:pPr>
    </w:p>
    <w:p>
      <w:pPr>
        <w:jc w:val="both"/>
        <w:ind w:firstLine="29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26, 2022 was 16.4% less than the effective tax rate for the thirteen weeks ended November 27, 2021, which was primarily driven by the non-cash change in the fair value of the warrant liability in the prior fiscal period and other permanent differences.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297"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c>
          <w:tcPr>
            <w:tcW w:w="0" w:type="dxa"/>
            <w:vAlign w:val="bottom"/>
          </w:tcPr>
          <w:p>
            <w:pPr>
              <w:spacing w:after="0"/>
              <w:rPr>
                <w:sz w:val="1"/>
                <w:szCs w:val="1"/>
                <w:color w:val="auto"/>
              </w:rPr>
            </w:pP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Statements of Operations Caption</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26, 2022</w:t>
            </w:r>
          </w:p>
        </w:tc>
        <w:tc>
          <w:tcPr>
            <w:tcW w:w="10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November 27, 2021</w:t>
            </w:r>
          </w:p>
        </w:tc>
        <w:tc>
          <w:tcPr>
            <w:tcW w:w="0" w:type="dxa"/>
            <w:vAlign w:val="bottom"/>
          </w:tcPr>
          <w:p>
            <w:pPr>
              <w:spacing w:after="0"/>
              <w:rPr>
                <w:sz w:val="1"/>
                <w:szCs w:val="1"/>
                <w:color w:val="auto"/>
              </w:rPr>
            </w:pPr>
          </w:p>
        </w:tc>
      </w:tr>
      <w:tr>
        <w:trPr>
          <w:trHeight w:val="212"/>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33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214"/>
        </w:trPr>
        <w:tc>
          <w:tcPr>
            <w:tcW w:w="2700" w:type="dxa"/>
            <w:vAlign w:val="bottom"/>
            <w:gridSpan w:val="2"/>
            <w:vMerge w:val="continue"/>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7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33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6"/>
        </w:trPr>
        <w:tc>
          <w:tcPr>
            <w:tcW w:w="2700" w:type="dxa"/>
            <w:vAlign w:val="bottom"/>
            <w:gridSpan w:val="2"/>
            <w:vMerge w:val="continue"/>
            <w:shd w:val="clear" w:color="auto" w:fill="CCEEFF"/>
          </w:tcPr>
          <w:p>
            <w:pPr>
              <w:spacing w:after="0"/>
              <w:rPr>
                <w:sz w:val="18"/>
                <w:szCs w:val="18"/>
                <w:color w:val="auto"/>
              </w:rPr>
            </w:pP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0" w:type="dxa"/>
            <w:vAlign w:val="bottom"/>
          </w:tcPr>
          <w:p>
            <w:pPr>
              <w:spacing w:after="0"/>
              <w:rPr>
                <w:sz w:val="1"/>
                <w:szCs w:val="1"/>
                <w:color w:val="auto"/>
              </w:rPr>
            </w:pP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8"/>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73"/>
        </w:trPr>
        <w:tc>
          <w:tcPr>
            <w:tcW w:w="2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200" w:hanging="148"/>
        <w:spacing w:after="0"/>
        <w:tabs>
          <w:tab w:leader="none" w:pos="12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Variable lease cost primarily consists of common area maintenance, such as cleaning and repairs.</w:t>
      </w: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Sheets Caption</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46,460</w:t>
            </w:r>
          </w:p>
        </w:tc>
      </w:tr>
      <w:tr>
        <w:trPr>
          <w:trHeight w:val="27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26"/>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46,827</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7"/>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r>
      <w:tr>
        <w:trPr>
          <w:trHeight w:val="267"/>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7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44,482</w:t>
            </w:r>
          </w:p>
        </w:tc>
      </w:tr>
      <w:tr>
        <w:trPr>
          <w:trHeight w:val="270"/>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Long-term debt, less current maturities</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6"/>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51,137</w:t>
            </w: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November 26, 2022 were as follows:</w:t>
      </w:r>
    </w:p>
    <w:p>
      <w:pPr>
        <w:spacing w:after="0" w:line="336" w:lineRule="exact"/>
        <w:rPr>
          <w:sz w:val="20"/>
          <w:szCs w:val="20"/>
          <w:color w:val="auto"/>
        </w:rPr>
      </w:pPr>
    </w:p>
    <w:tbl>
      <w:tblPr>
        <w:tblLayout w:type="fixed"/>
        <w:tblInd w:w="2180" w:type="dxa"/>
        <w:tblCellMar>
          <w:top w:w="0" w:type="dxa"/>
          <w:left w:w="0" w:type="dxa"/>
          <w:bottom w:w="0" w:type="dxa"/>
          <w:right w:w="0" w:type="dxa"/>
        </w:tblCellMar>
      </w:tblPr>
      <w:tr>
        <w:trPr>
          <w:trHeight w:val="215"/>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2023</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49,707</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320" w:top="121" w:right="1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21" w:right="1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November 26, 2022</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27, 2022</w:t>
            </w:r>
          </w:p>
        </w:tc>
      </w:tr>
      <w:tr>
        <w:trPr>
          <w:trHeight w:val="25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r>
      <w:tr>
        <w:trPr>
          <w:trHeight w:val="267"/>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3"/>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64"/>
        </w:trPr>
        <w:tc>
          <w:tcPr>
            <w:tcW w:w="3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26, 2022</w:t>
            </w:r>
          </w:p>
        </w:tc>
        <w:tc>
          <w:tcPr>
            <w:tcW w:w="1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27, 2021</w:t>
            </w:r>
          </w:p>
        </w:tc>
      </w:tr>
      <w:tr>
        <w:trPr>
          <w:trHeight w:val="158"/>
        </w:trPr>
        <w:tc>
          <w:tcPr>
            <w:tcW w:w="364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paid for amounts included in the measurement of</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21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r>
      <w:tr>
        <w:trPr>
          <w:trHeight w:val="219"/>
        </w:trPr>
        <w:tc>
          <w:tcPr>
            <w:tcW w:w="3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0"/>
        </w:trPr>
        <w:tc>
          <w:tcPr>
            <w:tcW w:w="3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98"/>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November 26, 2022, the Company will be required to make payments of $3.4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26, 2022, the Company repurchased 546,346 shares of common stock at an average share price of $30.11 per share. The Company did not repurchase any shares of common stock during the thirteen weeks ended November 27, 2021. As of November 26, 2022, approximately $71.5 million remained available under the stock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Common Stock</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During the thirteen weeks ended November 27, 2021, the Company had outstanding liability-classified Private Warrants that allowed holders to purchase 6,700,000 shares of the Company’s common stock. Such Private Warrants were held by Conyers Park, a related party. Each whole warrant entitled the holder to purchase one share of the Company’s common stock at a price of $11.50 per share. On January 7, 2022, Conyers Park elected to exercise the Private Warrants on a cashless basis, resulting in a net issuance of 4,830,761 shares of the Company’s common stock. As a result of the cashless exercise on January 7, 2022, there were no outstanding liability-classified Private Warrants as of as of November 26, 2022 and August 27, 2022.</w:t>
      </w:r>
    </w:p>
    <w:p>
      <w:pPr>
        <w:spacing w:after="0" w:line="210" w:lineRule="exact"/>
        <w:rPr>
          <w:sz w:val="20"/>
          <w:szCs w:val="20"/>
          <w:color w:val="auto"/>
        </w:rPr>
      </w:pPr>
    </w:p>
    <w:p>
      <w:pPr>
        <w:jc w:val="both"/>
        <w:ind w:firstLine="215"/>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6, Fair Value of Financial Instruments, the liability-classified warrants were remeasured on a recurring basis, primarily based on observable market data while the related theoretical private warrant volatility assumption within the Black-Scholes model represents a Level 3 measurement within the fair value measurement hierarchy. The periodic fair value remeasurements of the warrant liability have been reflected in </w:t>
      </w:r>
      <w:r>
        <w:rPr>
          <w:rFonts w:ascii="Times New Roman" w:cs="Times New Roman" w:eastAsia="Times New Roman" w:hAnsi="Times New Roman"/>
          <w:sz w:val="16"/>
          <w:szCs w:val="16"/>
          <w:i w:val="1"/>
          <w:iCs w:val="1"/>
          <w:color w:val="auto"/>
        </w:rPr>
        <w:t>Loss in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i w:val="1"/>
          <w:iCs w:val="1"/>
          <w:color w:val="auto"/>
        </w:rPr>
        <w:t xml:space="preserve">value change of warrant liability </w:t>
      </w:r>
      <w:r>
        <w:rPr>
          <w:rFonts w:ascii="Times New Roman" w:cs="Times New Roman" w:eastAsia="Times New Roman" w:hAnsi="Times New Roman"/>
          <w:sz w:val="17"/>
          <w:szCs w:val="17"/>
          <w:color w:val="auto"/>
        </w:rPr>
        <w:t>within the Consolidated Statements of Operations and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208"/>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non-vested stock units, and Private Warrants for the periods during which they were outstanding. During periods when the effect of the outstanding Private Warrants was dilutive, the Company assumed share settlement of the instruments as of the beginning of the reporting period and adjusted the numerator to remove the change in fair value of the warrant liability and adjusted the denominator to include the dilutive shares, calculated using the treasury stock method. During periods when the effect of the outstanding Private Warrants was anti-dilutive, the share settlement was excluded.</w:t>
      </w:r>
    </w:p>
    <w:p>
      <w:pPr>
        <w:spacing w:after="0" w:line="214"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27, 2021</w:t>
            </w:r>
          </w:p>
        </w:tc>
        <w:tc>
          <w:tcPr>
            <w:tcW w:w="0" w:type="dxa"/>
            <w:vAlign w:val="bottom"/>
          </w:tcPr>
          <w:p>
            <w:pPr>
              <w:spacing w:after="0"/>
              <w:rPr>
                <w:sz w:val="1"/>
                <w:szCs w:val="1"/>
                <w:color w:val="auto"/>
              </w:rPr>
            </w:pP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67"/>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74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99,200,557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95,856,845</w:t>
            </w:r>
          </w:p>
        </w:tc>
        <w:tc>
          <w:tcPr>
            <w:tcW w:w="0" w:type="dxa"/>
            <w:vAlign w:val="bottom"/>
          </w:tcPr>
          <w:p>
            <w:pPr>
              <w:spacing w:after="0"/>
              <w:rPr>
                <w:sz w:val="1"/>
                <w:szCs w:val="1"/>
                <w:color w:val="auto"/>
              </w:rPr>
            </w:pPr>
          </w:p>
        </w:tc>
      </w:tr>
      <w:tr>
        <w:trPr>
          <w:trHeight w:val="213"/>
        </w:trPr>
        <w:tc>
          <w:tcPr>
            <w:tcW w:w="3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5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0" w:type="dxa"/>
            <w:vAlign w:val="bottom"/>
          </w:tcPr>
          <w:p>
            <w:pPr>
              <w:spacing w:after="0"/>
              <w:rPr>
                <w:sz w:val="1"/>
                <w:szCs w:val="1"/>
                <w:color w:val="auto"/>
              </w:rPr>
            </w:pPr>
          </w:p>
        </w:tc>
      </w:tr>
      <w:tr>
        <w:trPr>
          <w:trHeight w:val="247"/>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74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99,200,557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95,856,845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Employee stock options</w:t>
            </w:r>
          </w:p>
        </w:tc>
        <w:tc>
          <w:tcPr>
            <w:tcW w:w="10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1,299,543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1,652,577</w:t>
            </w:r>
          </w:p>
        </w:tc>
        <w:tc>
          <w:tcPr>
            <w:tcW w:w="0" w:type="dxa"/>
            <w:vAlign w:val="bottom"/>
          </w:tcPr>
          <w:p>
            <w:pPr>
              <w:spacing w:after="0"/>
              <w:rPr>
                <w:sz w:val="1"/>
                <w:szCs w:val="1"/>
                <w:color w:val="auto"/>
              </w:rPr>
            </w:pP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Non-vested stock units</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222,936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352,151</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100,723,036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97,861,573</w:t>
            </w:r>
          </w:p>
        </w:tc>
        <w:tc>
          <w:tcPr>
            <w:tcW w:w="0" w:type="dxa"/>
            <w:vAlign w:val="bottom"/>
          </w:tcPr>
          <w:p>
            <w:pPr>
              <w:spacing w:after="0"/>
              <w:rPr>
                <w:sz w:val="1"/>
                <w:szCs w:val="1"/>
                <w:color w:val="auto"/>
              </w:rPr>
            </w:pPr>
          </w:p>
        </w:tc>
      </w:tr>
      <w:tr>
        <w:trPr>
          <w:trHeight w:val="251"/>
        </w:trPr>
        <w:tc>
          <w:tcPr>
            <w:tcW w:w="37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271"/>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26, 2022 and November 27, 2021 excluded 0.4 million shares and 0.2 million shares of common stock issuable upon exercise of stock options, respectively, that would have been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right="20" w:firstLine="197"/>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26, 2022 and November 27, 2021 excluded 0.1 million non-vested stock units and an immaterial number of non-vested stock units, respectively, that would have been anti-dilutive.</w:t>
      </w:r>
    </w:p>
    <w:p>
      <w:pPr>
        <w:spacing w:after="0" w:line="189" w:lineRule="exact"/>
        <w:rPr>
          <w:sz w:val="20"/>
          <w:szCs w:val="20"/>
          <w:color w:val="auto"/>
        </w:rPr>
      </w:pPr>
    </w:p>
    <w:p>
      <w:pPr>
        <w:jc w:val="both"/>
        <w:ind w:right="20" w:firstLine="219"/>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27, 2021 excluded 4.6 million shares issuable upon exercise of Private Warrants that would have been anti-dilutive.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for equity-classified awards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expense, which is the same financial statement caption where the recipient’s other compensation is reported.</w:t>
      </w:r>
    </w:p>
    <w:p>
      <w:pPr>
        <w:spacing w:after="0" w:line="207" w:lineRule="exact"/>
        <w:rPr>
          <w:sz w:val="20"/>
          <w:szCs w:val="20"/>
          <w:color w:val="auto"/>
        </w:rPr>
      </w:pPr>
    </w:p>
    <w:p>
      <w:pPr>
        <w:jc w:val="both"/>
        <w:ind w:firstLine="341"/>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$3.3 million and $2.6 million in the thirteen weeks ended November 26, 2022 and November 27,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thirteen weeks ended November 26, 2022:</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158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8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580" w:type="dxa"/>
            <w:vAlign w:val="bottom"/>
            <w:tcBorders>
              <w:bottom w:val="single" w:sz="8" w:color="CCEEFF"/>
            </w:tcBorders>
          </w:tcPr>
          <w:p>
            <w:pPr>
              <w:jc w:val="center"/>
              <w:ind w:left="39"/>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27,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2,776,551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38.61</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(314,431)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14.51</w:t>
            </w: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26,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2,597,121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19.54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November 26,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2,597,121</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19.54</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November 26,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2,064,196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78"/>
        <w:spacing w:after="0" w:line="266" w:lineRule="auto"/>
        <w:rPr>
          <w:sz w:val="20"/>
          <w:szCs w:val="20"/>
          <w:color w:val="auto"/>
        </w:rPr>
      </w:pPr>
      <w:r>
        <w:rPr>
          <w:rFonts w:ascii="Times New Roman" w:cs="Times New Roman" w:eastAsia="Times New Roman" w:hAnsi="Times New Roman"/>
          <w:sz w:val="18"/>
          <w:szCs w:val="18"/>
          <w:color w:val="auto"/>
        </w:rPr>
        <w:t>As of November 26, 2022, the Company had $6.0 million of total unrecognized compensation cost related to stock options that will be recognized over a weighted average period of 1.9 years. During the thirteen weeks ended November 26, 2022 and November 27, 2021, the Company received $4.6 million and $0.3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thirteen weeks ended November 26, 2022:</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245,591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26,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530,615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284"/>
        <w:spacing w:after="0" w:line="282" w:lineRule="auto"/>
        <w:rPr>
          <w:sz w:val="20"/>
          <w:szCs w:val="20"/>
          <w:color w:val="auto"/>
        </w:rPr>
      </w:pPr>
      <w:r>
        <w:rPr>
          <w:rFonts w:ascii="Times New Roman" w:cs="Times New Roman" w:eastAsia="Times New Roman" w:hAnsi="Times New Roman"/>
          <w:sz w:val="18"/>
          <w:szCs w:val="18"/>
          <w:color w:val="auto"/>
        </w:rPr>
        <w:t>As of November 26, 2022, the Company had $15.7 million of total unrecognized compensation cost related to restricted stock units that will be recognized over a weighted 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187"/>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26, 2022, the Board of Directors granted performance stock units under the Company’s equity compensation plan. Performance stock units vest in a range between 0% and 200% based upon certain performance criteria in a three-year period. Performance stock units were valued using a Monte Carlo simulation.</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thirteen weeks ended November 26, 2022:</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(72,452)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(20,338)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26,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212,862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61"/>
        <w:spacing w:after="0" w:line="282" w:lineRule="auto"/>
        <w:rPr>
          <w:sz w:val="20"/>
          <w:szCs w:val="20"/>
          <w:color w:val="auto"/>
        </w:rPr>
      </w:pPr>
      <w:r>
        <w:rPr>
          <w:rFonts w:ascii="Times New Roman" w:cs="Times New Roman" w:eastAsia="Times New Roman" w:hAnsi="Times New Roman"/>
          <w:sz w:val="18"/>
          <w:szCs w:val="18"/>
          <w:color w:val="auto"/>
        </w:rPr>
        <w:t>As of November 26, 2022, the Company had $6.0 million of total unrecognized compensation cost related to performance stock units that will be recognized over a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November 26, 2022 cliff vest two years from the date of grant and must be exercised within five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thirteen weeks ended November 26, 2022:</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27,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26, 2022</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279" w:lineRule="exact"/>
        <w:rPr>
          <w:sz w:val="20"/>
          <w:szCs w:val="20"/>
          <w:color w:val="auto"/>
        </w:rPr>
      </w:pPr>
    </w:p>
    <w:p>
      <w:pPr>
        <w:jc w:val="both"/>
        <w:ind w:right="180" w:firstLine="177"/>
        <w:spacing w:after="0" w:line="250" w:lineRule="auto"/>
        <w:rPr>
          <w:sz w:val="20"/>
          <w:szCs w:val="20"/>
          <w:color w:val="auto"/>
        </w:rPr>
      </w:pPr>
      <w:r>
        <w:rPr>
          <w:rFonts w:ascii="Times New Roman" w:cs="Times New Roman" w:eastAsia="Times New Roman" w:hAnsi="Times New Roman"/>
          <w:sz w:val="18"/>
          <w:szCs w:val="18"/>
          <w:color w:val="auto"/>
        </w:rPr>
        <w:t>The SARs exercised in the thirteen weeks ended November 26, 2022 resulted in a net issuance of 38,850 shares of the Company’s common stock. The SARs granted in the thirteen weeks ended November 26, 2022 are liability-classified; therefore the related stock-based compensation expense is based on the vesting provisions and the fair value of the awards.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 and Related Charges</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Nutrition, LLC on November 7, 2019. The new organization design became effective on August 31, 2020. These restructuring plans primarily included workforce reductions, changes in management structure, and the relocation of business activities from one location to another.</w:t>
      </w:r>
    </w:p>
    <w:p>
      <w:pPr>
        <w:spacing w:after="0" w:line="207" w:lineRule="exact"/>
        <w:rPr>
          <w:sz w:val="20"/>
          <w:szCs w:val="20"/>
          <w:color w:val="auto"/>
        </w:rPr>
      </w:pPr>
    </w:p>
    <w:p>
      <w:pPr>
        <w:jc w:val="both"/>
        <w:ind w:firstLine="177"/>
        <w:spacing w:after="0" w:line="261" w:lineRule="auto"/>
        <w:rPr>
          <w:sz w:val="20"/>
          <w:szCs w:val="20"/>
          <w:color w:val="auto"/>
        </w:rPr>
      </w:pPr>
      <w:r>
        <w:rPr>
          <w:rFonts w:ascii="Times New Roman" w:cs="Times New Roman" w:eastAsia="Times New Roman" w:hAnsi="Times New Roman"/>
          <w:sz w:val="18"/>
          <w:szCs w:val="18"/>
          <w:color w:val="auto"/>
        </w:rPr>
        <w:t>The Company substantially completed its restructuring activities during the third quarter of fiscal 2022; therefore no restructuring or restructuring-related costs were incurred in the thirteen weeks ended November 26, 2022. In the thirteen weeks ended November 27, 2021, the Company incurred an immaterial amount of restructuring and restructuring-related costs. Since the announcement of the restructuring activities in May 2020, the Company incurred aggregate restructuring and restructuring-related costs of $9.9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and the unforeseen business disruptions or other effects due to current global geopolitical tensions, including relating to Ukraine.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2"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27, 2022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41"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Atkins®, Atkins Endulge®, Quest® and Quest Hero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names. We believe Simply Good Foods is poised to expand its wellness platform through innovation and organic growth along with acquisition opportunities in the nutritional snacking space.</w:t>
      </w:r>
    </w:p>
    <w:p>
      <w:pPr>
        <w:spacing w:after="0" w:line="226"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192"/>
        <w:spacing w:after="0" w:line="255" w:lineRule="auto"/>
        <w:rPr>
          <w:sz w:val="20"/>
          <w:szCs w:val="20"/>
          <w:color w:val="auto"/>
        </w:rPr>
      </w:pPr>
      <w:r>
        <w:rPr>
          <w:rFonts w:ascii="Times New Roman" w:cs="Times New Roman" w:eastAsia="Times New Roman" w:hAnsi="Times New Roman"/>
          <w:sz w:val="18"/>
          <w:szCs w:val="18"/>
          <w:color w:val="auto"/>
        </w:rPr>
        <w:t>We continue to actively monitor the impact of the dynamic macroeconomic inflationary environment in the United States and elsewhere, elevated levels of supply chain cost inflation, and the level of consumer mobility, which includes the rate at which consumers return to working outside the home.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 Additionally, management is continuing to monitor the conflict in Ukraine, especially regarding the availability and cost of raw materials that are produced in this region and Europe in general. Management is also monitoring for signs of any expansion of economic or supply chain disruptions or broader supply chain inflationary costs resulting either directly or indirectly from the crisis in Eastern Europe.</w:t>
      </w:r>
    </w:p>
    <w:p>
      <w:pPr>
        <w:spacing w:after="0" w:line="216" w:lineRule="exact"/>
        <w:rPr>
          <w:sz w:val="20"/>
          <w:szCs w:val="20"/>
          <w:color w:val="auto"/>
        </w:rPr>
      </w:pPr>
    </w:p>
    <w:p>
      <w:pPr>
        <w:jc w:val="both"/>
        <w:ind w:firstLine="236"/>
        <w:spacing w:after="0" w:line="261" w:lineRule="auto"/>
        <w:rPr>
          <w:sz w:val="20"/>
          <w:szCs w:val="20"/>
          <w:color w:val="auto"/>
        </w:rPr>
      </w:pPr>
      <w:r>
        <w:rPr>
          <w:rFonts w:ascii="Times New Roman" w:cs="Times New Roman" w:eastAsia="Times New Roman" w:hAnsi="Times New Roman"/>
          <w:sz w:val="18"/>
          <w:szCs w:val="18"/>
          <w:color w:val="auto"/>
        </w:rPr>
        <w:t>During the thirteen weeks ended November 26, 2022, our business performance was affected by the corresponding unfavorable effects of higher raw material costs, higher co-manufacturing costs, higher freight and logistics costs, and supply chain challenges, including supply chain disruptions resulting from labor shortages and disruptions in ingredients, and we expect these inflationary cost pressures and supply chain challenges to continue for the remainder of fiscal year 2023.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7"/>
        <w:spacing w:after="0" w:line="261" w:lineRule="auto"/>
        <w:rPr>
          <w:sz w:val="20"/>
          <w:szCs w:val="20"/>
          <w:color w:val="auto"/>
        </w:rPr>
      </w:pPr>
      <w:r>
        <w:rPr>
          <w:rFonts w:ascii="Times New Roman" w:cs="Times New Roman" w:eastAsia="Times New Roman" w:hAnsi="Times New Roman"/>
          <w:sz w:val="18"/>
          <w:szCs w:val="18"/>
          <w:color w:val="auto"/>
        </w:rPr>
        <w:t>We continue to proactively engage with our retail customers, contract manufacturers, and logistics and transportation providers, to meet demand for our products and to remain informed of any challenges within our business operations. Additionally, we instituted price increases effective in the first and fourth quarters of fiscal year 2022. Management believes these price increases and additional cost savings initiatives will partially offset the unfavorable effects of the supply chain cost pressures discussed above.</w:t>
      </w:r>
    </w:p>
    <w:p>
      <w:pPr>
        <w:spacing w:after="0" w:line="207" w:lineRule="exact"/>
        <w:rPr>
          <w:sz w:val="20"/>
          <w:szCs w:val="20"/>
          <w:color w:val="auto"/>
        </w:rPr>
      </w:pPr>
    </w:p>
    <w:p>
      <w:pPr>
        <w:jc w:val="both"/>
        <w:ind w:firstLine="188"/>
        <w:spacing w:after="0" w:line="282" w:lineRule="auto"/>
        <w:rPr>
          <w:sz w:val="20"/>
          <w:szCs w:val="20"/>
          <w:color w:val="auto"/>
        </w:rPr>
      </w:pPr>
      <w:r>
        <w:rPr>
          <w:rFonts w:ascii="Times New Roman" w:cs="Times New Roman" w:eastAsia="Times New Roman" w:hAnsi="Times New Roman"/>
          <w:sz w:val="18"/>
          <w:szCs w:val="18"/>
          <w:color w:val="auto"/>
        </w:rPr>
        <w:t>The ultimate effect the supply chain challenges, cost pressures, current high inflation environment, and the possible economic recession discussed above could have on consumer purchasing patterns and on our business continue to be not fully known.</w:t>
      </w:r>
    </w:p>
    <w:p>
      <w:pPr>
        <w:spacing w:after="0" w:line="189"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Based on information available to us as of the date of this Report, we believe we will be able to deliver products at acceptable levels to fulfill customer orders on a timely basis; therefore, we expect our products will continue to be available for purchase to meet consumer meal replacement and snacking needs for the foreseeable future. We continue to monitor customer and consumer demand along with our supply chain and logistics capabilities and intend to adapt our plans as needed to continue to drive our business and meet our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242"/>
        <w:spacing w:after="0" w:line="255" w:lineRule="auto"/>
        <w:rPr>
          <w:sz w:val="20"/>
          <w:szCs w:val="20"/>
          <w:color w:val="auto"/>
        </w:rPr>
      </w:pPr>
      <w:r>
        <w:rPr>
          <w:rFonts w:ascii="Times New Roman" w:cs="Times New Roman" w:eastAsia="Times New Roman" w:hAnsi="Times New Roman"/>
          <w:sz w:val="18"/>
          <w:szCs w:val="18"/>
          <w:color w:val="auto"/>
        </w:rPr>
        <w:t>During the thirteen weeks ended November 26, 2022, our net sales increased $19.6 million, or 7.0%, and our gross profit decreased $5.6 million, or 4.8%, compared to the thirteen weeks ended November 27, 2021. Net sales for the thirteen weeks ended November 26, 2022 were positively affected by the price increase effective in the fourth quarter of fiscal year 2022 and both the Atkins® and Quest® brands experienced sales growth driven by increased e-commerce sales volume. However, unfavorable effects of higher raw material and co-manufacturing costs and supply chain challenges in the thirteen weeks ended November 26, 2022 resulted in decreased gross profit and gross profit margin as compared to the thirteen weeks ended November 27, 2021. As previously discussed above in “Business Trends,” we expect these inflationary cost pressures and supply chain challenges to continue for the remainder of fiscal year 2023.</w:t>
      </w:r>
    </w:p>
    <w:p>
      <w:pPr>
        <w:spacing w:after="0" w:line="216"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November 26, 2022 and the Thirteen Weeks Ended November 27, 2021</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Thirteen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Thirteen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November 26, 2022</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November 27, 2021</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300,878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281,265</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189,886</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164,710</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116,555</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30,527</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25,641</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23,702</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58,549</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58,006</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6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(17,317)</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3"/>
                <w:szCs w:val="23"/>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w:t>
            </w:r>
          </w:p>
        </w:tc>
        <w:tc>
          <w:tcPr>
            <w:tcW w:w="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(24,031)</w:t>
            </w: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12,823</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51"/>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60,766</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65,615</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23.3 %</w:t>
            </w:r>
          </w:p>
        </w:tc>
      </w:tr>
    </w:tbl>
    <w:p>
      <w:pPr>
        <w:spacing w:after="0" w:line="13" w:lineRule="exact"/>
        <w:rPr>
          <w:sz w:val="20"/>
          <w:szCs w:val="20"/>
          <w:color w:val="auto"/>
        </w:rPr>
      </w:pPr>
    </w:p>
    <w:p>
      <w:pPr>
        <w:ind w:left="700" w:right="720" w:hanging="80"/>
        <w:spacing w:after="0" w:line="228" w:lineRule="auto"/>
        <w:tabs>
          <w:tab w:leader="none" w:pos="76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302" w:lineRule="exact"/>
        <w:rPr>
          <w:sz w:val="20"/>
          <w:szCs w:val="20"/>
          <w:color w:val="auto"/>
        </w:rPr>
      </w:pPr>
    </w:p>
    <w:p>
      <w:pPr>
        <w:jc w:val="both"/>
        <w:ind w:firstLine="20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of $300.9 million represented an increase of $19.6 million, or 7.0%, for the thirteen weeks ended November 26,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thirteen weeks ended November 27, 2021. The increase was primarily attributable to the price increase effective in the fourth quarter of fiscal year 2022 and e-commerce sales volume growth for both the Atkins® and Quest® brands, which increased our North America net sales by 7.8% in the thirteen weeks ended November 26, 2022 compared to the thirteen weeks ended November 27, 2021. The increase in North America net sales was partially offset by a 16.5% decline in our international business and a 1.1% headwind to net sales growth related to our shift from direct sales to licensing the Quest® frozen pizza business in the third quarter of fiscal year 2022.</w:t>
      </w:r>
    </w:p>
    <w:p>
      <w:pPr>
        <w:spacing w:after="0" w:line="209" w:lineRule="exact"/>
        <w:rPr>
          <w:sz w:val="20"/>
          <w:szCs w:val="20"/>
          <w:color w:val="auto"/>
        </w:rPr>
      </w:pPr>
    </w:p>
    <w:p>
      <w:pPr>
        <w:jc w:val="both"/>
        <w:ind w:firstLine="23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$25.2 million, or 15.3%, for the thirteen weeks ended November 26, 2022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27, 2021. The cost of goods sold increase was driven by higher raw material, packaging, and co-manufacturing costs and supply chain challenges for the thirteen weeks ended November 26, 2022 as well as sales volume growth for both the Atkins® and Quest® brands, as discussed above. As previously discussed above in “Business Trends,” we expect these inflationary cost pressures and supply chain challenges to continue for the remainder of fiscal year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247"/>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$5.6 million, or 4.8%, for the thirteen weeks ended November 26,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27, 2021. Additionally, gross profit of $111.0 million, or 36.9% of net sales, for the thirteen weeks ended November 26, 2022 decreased 450 basis points from 41.4% of net sales for the thirteen weeks ended November 27, 2021. The decreases in gross profit and gross profit margin were primarily driven by the unfavorable effects of higher raw material, packaging, and co-manufacturing costs and supply chain challenges in the thirteen weeks ended November 26, 2022 as previously discussed. These decreases were partially offset by the favorable effects of the price increase which became effective in the fourth quarter of fiscal year 2022.</w:t>
      </w:r>
    </w:p>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remained approximately flat at $58.5 million for the thirteen weeks ended November 26, 2022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27, 2021 due to the following:</w:t>
      </w:r>
    </w:p>
    <w:p>
      <w:pPr>
        <w:spacing w:after="0" w:line="232" w:lineRule="exact"/>
        <w:rPr>
          <w:sz w:val="20"/>
          <w:szCs w:val="20"/>
          <w:color w:val="auto"/>
        </w:rPr>
      </w:pPr>
    </w:p>
    <w:p>
      <w:pPr>
        <w:jc w:val="both"/>
        <w:ind w:left="660" w:hanging="247"/>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$2.0 million, or 6.5%, for the thirteen weeks ended November 26,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November 27, 2021, primarily related to the timing of marketing spend, which was partially offset by increased production costs related to television commercials.</w:t>
      </w:r>
    </w:p>
    <w:p>
      <w:pPr>
        <w:spacing w:after="0" w:line="65" w:lineRule="exact"/>
        <w:rPr>
          <w:rFonts w:ascii="Times New Roman" w:cs="Times New Roman" w:eastAsia="Times New Roman" w:hAnsi="Times New Roman"/>
          <w:sz w:val="18"/>
          <w:szCs w:val="18"/>
          <w:color w:val="auto"/>
        </w:rPr>
      </w:pPr>
    </w:p>
    <w:p>
      <w:pPr>
        <w:jc w:val="both"/>
        <w:ind w:left="660" w:hanging="247"/>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$1.9 million, or 8.2%, for the thirteen weeks ended November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thirteen weeks ended November 27, 2021. The increase in general and administrative expenses was primarily attributable to a $0.7 million increase in stock-based compensation and increased corporate and employee related expenses. These increases were partially offset by the discontinuation of costs related to business integration activities and restructuring charges in the thirteen weeks ended November 26, 2022 compared to costs totaling $0.1 million in the thirteen weeks ended November 27, 2021.</w:t>
      </w:r>
    </w:p>
    <w:p>
      <w:pPr>
        <w:spacing w:after="0" w:line="7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$4.3 million for the thirteen weeks ended November 26,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27, 2021.</w:t>
      </w:r>
    </w:p>
    <w:p>
      <w:pPr>
        <w:spacing w:after="0" w:line="183"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$0.7 million for the thirteen weeks ended November 26,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27, 2021, primarily due to the increase in interest rates on our Term Facility (as defined below) to 7.7% as of November 26, 2022 from 4.8% as of November 27, 2021. The increase was partially offset by the effect of principal payments reducing the outstanding balance of the Term Facility to $400.0 million as of November 26, 2022 from $431.5 million as of November 27, 2021. Additionally, interest expense related to the amortization of deferred financing costs and debt discount decreased $0.3 million for the thirteen weeks ended November 26, 2022 compared to the thirteen weeks ended November 27, 2021.</w:t>
      </w:r>
    </w:p>
    <w:p>
      <w:pPr>
        <w:spacing w:after="0" w:line="209"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in fair value change of warrant liability. </w:t>
      </w:r>
      <w:r>
        <w:rPr>
          <w:rFonts w:ascii="Times New Roman" w:cs="Times New Roman" w:eastAsia="Times New Roman" w:hAnsi="Times New Roman"/>
          <w:sz w:val="18"/>
          <w:szCs w:val="18"/>
          <w:color w:val="auto"/>
        </w:rPr>
        <w:t>During thirteen weeks ended November 27, 2021, we recorded a non-cash loss of $17.3 million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valuation of our liability-classified warrants issued through a private placement (“Private Warrants”), which was primarily driven by movements in our stock price. On January 7, 2022, the Private Warrants were exercised on a cashless basis, resulting in a net issuance of 4,830,761 shares of common stock. As a result, there were no outstanding liability-classified Private Warrants during the thirteen weeks ended November 26, 2022.</w:t>
      </w:r>
    </w:p>
    <w:p>
      <w:pPr>
        <w:spacing w:after="0" w:line="203" w:lineRule="exact"/>
        <w:rPr>
          <w:sz w:val="20"/>
          <w:szCs w:val="20"/>
          <w:color w:val="auto"/>
        </w:rPr>
      </w:pPr>
    </w:p>
    <w:p>
      <w:pPr>
        <w:jc w:val="both"/>
        <w:ind w:firstLine="1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 gain of $0.1 million and a loss of $0.4 million for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26, 2022 and November 27, 2021, respectively. The variance is attributable to changes in foreign currency rates related to our international operations.</w:t>
      </w:r>
    </w:p>
    <w:p>
      <w:pPr>
        <w:spacing w:after="0" w:line="198"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$3.1 million for the thirteen weeks ended November 26, 2022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27, 2021. The decrease in our income tax expense was primarily driven by lower income from operations and changes in permanent differences</w:t>
      </w:r>
      <w:r>
        <w:rPr>
          <w:rFonts w:ascii="Times New Roman" w:cs="Times New Roman" w:eastAsia="Times New Roman" w:hAnsi="Times New Roman"/>
          <w:sz w:val="18"/>
          <w:szCs w:val="18"/>
          <w:color w:val="EE2724"/>
        </w:rPr>
        <w:t>.</w:t>
      </w:r>
    </w:p>
    <w:p>
      <w:pPr>
        <w:spacing w:after="0" w:line="182" w:lineRule="exact"/>
        <w:rPr>
          <w:sz w:val="20"/>
          <w:szCs w:val="20"/>
          <w:color w:val="auto"/>
        </w:rPr>
      </w:pPr>
    </w:p>
    <w:p>
      <w:pPr>
        <w:jc w:val="both"/>
        <w:ind w:firstLine="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$35.9 million for the thirteen weeks ended November 26, 2022, an increase of $14.7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$21.2 million for the thirteen weeks ended November 27, 2021. The increase was primarily driven by the $17.3 million non-cash fair value loss incurred in the thirteen weeks ended November 27, 2021 related to the measurement of our liability-classified Private Warrants. The increase in net income was partially offset by the decreased income from operations driven by the unfavorable effects of higher raw material and co-manufacturing costs and supply chain challenges in the thirteen weeks ended November 26, 2022.</w:t>
      </w:r>
    </w:p>
    <w:p>
      <w:pPr>
        <w:spacing w:after="0" w:line="206"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$4.8 million, or 7.4% for the thirteen weeks ended November 26, 2022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27, 2021, driven primarily by the decrease in income from operations as a result of the unfavorable effects of higher raw material and co-manufacturing costs and supply chain challenges in the thirteen weeks ended November 26, 2022 as discussed above.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integration costs, restructuring costs, gain or loss in fair value change of warrant liability,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183"/>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weeks ended November 26, 2022 and November 27, 2021:</w:t>
      </w:r>
    </w:p>
    <w:p>
      <w:pPr>
        <w:spacing w:after="0" w:line="234" w:lineRule="exact"/>
        <w:rPr>
          <w:sz w:val="20"/>
          <w:szCs w:val="20"/>
          <w:color w:val="auto"/>
        </w:rPr>
      </w:pPr>
    </w:p>
    <w:tbl>
      <w:tblPr>
        <w:tblLayout w:type="fixed"/>
        <w:tblInd w:w="208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November 26, 2022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27, 2021</w:t>
            </w:r>
          </w:p>
        </w:tc>
      </w:tr>
      <w:tr>
        <w:trPr>
          <w:trHeight w:val="25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r>
      <w:tr>
        <w:trPr>
          <w:trHeight w:val="26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7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r>
      <w:tr>
        <w:trPr>
          <w:trHeight w:val="26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12,823</w:t>
            </w:r>
          </w:p>
        </w:tc>
      </w:tr>
      <w:tr>
        <w:trPr>
          <w:trHeight w:val="27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w:t>
            </w:r>
          </w:p>
        </w:tc>
      </w:tr>
      <w:tr>
        <w:trPr>
          <w:trHeight w:val="25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45,086</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r>
      <w:tr>
        <w:trPr>
          <w:trHeight w:val="26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Integration of Quest</w:t>
            </w:r>
          </w:p>
        </w:tc>
        <w:tc>
          <w:tcPr>
            <w:tcW w:w="12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w:t>
            </w: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6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in fair value change of warrant liability</w:t>
            </w:r>
          </w:p>
        </w:tc>
        <w:tc>
          <w:tcPr>
            <w:tcW w:w="120" w:type="dxa"/>
            <w:vAlign w:val="bottom"/>
          </w:tcPr>
          <w:p>
            <w:pPr>
              <w:spacing w:after="0"/>
              <w:rPr>
                <w:sz w:val="23"/>
                <w:szCs w:val="23"/>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17,317</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60,766</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65,615</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2260" w:hanging="149"/>
        <w:spacing w:after="0"/>
        <w:tabs>
          <w:tab w:leader="none" w:pos="22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7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257"/>
        <w:spacing w:after="0" w:line="245" w:lineRule="auto"/>
        <w:rPr>
          <w:sz w:val="20"/>
          <w:szCs w:val="20"/>
          <w:color w:val="auto"/>
        </w:rPr>
      </w:pPr>
      <w:r>
        <w:rPr>
          <w:rFonts w:ascii="Times New Roman" w:cs="Times New Roman" w:eastAsia="Times New Roman" w:hAnsi="Times New Roman"/>
          <w:sz w:val="18"/>
          <w:szCs w:val="18"/>
          <w:color w:val="auto"/>
        </w:rPr>
        <w:t>We had $54.1 million in cash as of November 26, 2022.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84"/>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89" w:lineRule="exact"/>
        <w:rPr>
          <w:sz w:val="20"/>
          <w:szCs w:val="20"/>
          <w:color w:val="auto"/>
        </w:rPr>
      </w:pPr>
    </w:p>
    <w:p>
      <w:pPr>
        <w:jc w:val="both"/>
        <w:ind w:firstLine="295"/>
        <w:spacing w:after="0" w:line="239" w:lineRule="auto"/>
        <w:rPr>
          <w:sz w:val="20"/>
          <w:szCs w:val="20"/>
          <w:color w:val="auto"/>
        </w:rPr>
      </w:pPr>
      <w:r>
        <w:rPr>
          <w:rFonts w:ascii="Times New Roman" w:cs="Times New Roman" w:eastAsia="Times New Roman" w:hAnsi="Times New Roman"/>
          <w:sz w:val="18"/>
          <w:szCs w:val="18"/>
          <w:color w:val="auto"/>
        </w:rPr>
        <w:t>On January 21, 2022, we entered into a repricing amendment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the Secured Overnight Financing Rate (“SOFR”) and related replacement provisions for the London Interbank Offered Rate (“LIBOR”).</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2022 Repricing Amendment dated January 21, 2022, the interest rate per annum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2.25% margin for the Term Loan or (y) 2.00% margin for the Revolving Credit Facility; or</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3.25% margin for the Term Loan or (y) 3.00% margin for the Revolving Credit Facility.</w:t>
      </w:r>
    </w:p>
    <w:p>
      <w:pPr>
        <w:spacing w:after="0" w:line="189" w:lineRule="exact"/>
        <w:rPr>
          <w:sz w:val="20"/>
          <w:szCs w:val="20"/>
          <w:color w:val="auto"/>
        </w:rPr>
      </w:pPr>
    </w:p>
    <w:p>
      <w:pPr>
        <w:jc w:val="both"/>
        <w:ind w:firstLine="233"/>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95"/>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November 26, 2022 and August 27, 2022, respectively.</w:t>
      </w:r>
    </w:p>
    <w:p>
      <w:pPr>
        <w:spacing w:after="0" w:line="216" w:lineRule="exact"/>
        <w:rPr>
          <w:sz w:val="20"/>
          <w:szCs w:val="20"/>
          <w:color w:val="auto"/>
        </w:rPr>
      </w:pPr>
    </w:p>
    <w:p>
      <w:pPr>
        <w:jc w:val="both"/>
        <w:ind w:firstLine="205"/>
        <w:spacing w:after="0" w:line="266" w:lineRule="auto"/>
        <w:rPr>
          <w:sz w:val="20"/>
          <w:szCs w:val="20"/>
          <w:color w:val="auto"/>
        </w:rPr>
      </w:pPr>
      <w:r>
        <w:rPr>
          <w:rFonts w:ascii="Times New Roman" w:cs="Times New Roman" w:eastAsia="Times New Roman" w:hAnsi="Times New Roman"/>
          <w:sz w:val="18"/>
          <w:szCs w:val="18"/>
          <w:color w:val="auto"/>
        </w:rPr>
        <w:t>At November 26, 2022, the outstanding balance of the Term Facility was $400.0 million. We are not required to make principal payments on the Term Facility over the twelve months following the period ended November 26, 2022. The outstanding balance of the Term Facility is due upon its maturity in July 2024. As of November 26, 2022,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had approved the addition of $50.0 million to our stock repurchase program, resulting in authorized stock repurchases of up to an aggregate of $150.0 million. During the thirteen weeks ended November 26, 2022, we repurchased 546,346 shares of common stock for $16.4 million, averaging a purchase price per share of $30.11. We did not repurchase any shares of common stock during the thirteen weeks ended November 27, 2021.</w:t>
      </w:r>
    </w:p>
    <w:p>
      <w:pPr>
        <w:spacing w:after="0" w:line="207" w:lineRule="exact"/>
        <w:rPr>
          <w:sz w:val="20"/>
          <w:szCs w:val="20"/>
          <w:color w:val="auto"/>
        </w:rPr>
      </w:pPr>
    </w:p>
    <w:p>
      <w:pPr>
        <w:jc w:val="both"/>
        <w:ind w:firstLine="179"/>
        <w:spacing w:after="0" w:line="266" w:lineRule="auto"/>
        <w:rPr>
          <w:sz w:val="20"/>
          <w:szCs w:val="20"/>
          <w:color w:val="auto"/>
        </w:rPr>
      </w:pPr>
      <w:r>
        <w:rPr>
          <w:rFonts w:ascii="Times New Roman" w:cs="Times New Roman" w:eastAsia="Times New Roman" w:hAnsi="Times New Roman"/>
          <w:sz w:val="18"/>
          <w:szCs w:val="18"/>
          <w:color w:val="auto"/>
        </w:rPr>
        <w:t>As of November 26, 2022, approximately $71.5 million remained available for repurchases under our $150.0 million stock repurchase program. Refer to Note 10, Stockholders’ Equity, of the Notes to Unaudited Consolidated Financial Statements in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26, 2022</w:t>
            </w:r>
          </w:p>
        </w:tc>
        <w:tc>
          <w:tcPr>
            <w:tcW w:w="1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27, 2021</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(27,992)</w:t>
            </w:r>
          </w:p>
        </w:tc>
      </w:tr>
    </w:tbl>
    <w:p>
      <w:pPr>
        <w:spacing w:after="0" w:line="304" w:lineRule="exact"/>
        <w:rPr>
          <w:sz w:val="20"/>
          <w:szCs w:val="20"/>
          <w:color w:val="auto"/>
        </w:rPr>
      </w:pPr>
    </w:p>
    <w:p>
      <w:pPr>
        <w:jc w:val="both"/>
        <w:ind w:firstLine="2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$16.0 million to $8.7 million for the thirteen weeks ended November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cash used in operating activities of $7.3 million for the thirteen weeks ended November 27, 2021. The increase in cash provided by operating activities was primarily attributable to changes in working capital, comprised of changes in accounts receivable, net, inventories, prepaid expenses, accounts payable, and accrued expenses and other current liabilities, which are driven by the timing of payments and receipts and seasonal building of inventory. Changes in working capital consumed cash of $47.6 million in the thirteen weeks ended November 26, 2022 compared to $61.4 million of cash consumed in the thirteen weeks ended November 27, 2021. Additionally, cash paid for taxes decreased $8.8 million to an immaterial amount for the thirteen weeks ended November 26, 2022 as compared to the thirteen weeks ended November 27, 2021. These increases in cash provided by operating activities were partially offset by the $5.5 million decrease in income from operations to $52.5 million for the thirteen weeks ended November 26, 2022 as compared to $58.0 million for the thirteen weeks ended November 27, 2021, primarily attributable to the higher raw material and co-manufacturing costs and supply chain challenges as discussed in “Results of Operations” above. Additionally, cash paid for interest was $6.4 million in the thirteen weeks ended November 26, 2022, which was an increase of $0.7 million as compared to the $5.7 million paid for interest in the thirteen weeks ended November 27, 2021.</w:t>
      </w:r>
    </w:p>
    <w:p>
      <w:pPr>
        <w:spacing w:after="0" w:line="21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$1.2 million for the thirteen weeks ended November 26, 2022 compared to $4.4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November 27, 2021. Our net cash used in investing activities for the thirteen weeks ended November 26, 2022 primarily comprised $1.2 million of purchases of property and equipment. The $4.4 million of net cash used in investing activities for the thirteen weeks ended November 27, 2021 primarily comprised $2.7 million of purchases of property and equipment and the issuance of a $1.5 million note receivable.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firstLine="220"/>
        <w:spacing w:after="0" w:line="25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$20.8 million for the thirteen weeks ended November 26, 2022 compared to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November 27, 2021. Net cash used in financing activities for the thirteen weeks ended November 26, 2022 primarily consisted of $16.4 million in repurchases in common stock, $6.5 million in principal payments on the Term Facility, and $2.3 million in tax payments related to issuance of restricted stock units and performance stock units, partially offset by $4.6 million of cash proceeds received from option exercises. Net cash used in financing activities for the thirteen weeks ended November 27, 2021 primarily consisted of $25.0 million in principal payments on the Term Facility and $3.2 million in tax payments related to issuance of restricted stock units and performance stock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65"/>
        <w:spacing w:after="0" w:line="255"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 week period ended November 26, 2022. We continue to expect to experience logistics challenges in our supply chain as well as higher raw material costs, higher freight and logistics costs, and supply chain challenges in fiscal year 2023. In addition, current or future governmental policies may increase the risk of inflation and possible economic recession, which could further increase the costs of ingredients, packaging and finished goods for our business as well as negatively effect consumer behavior and demand for our products. As a result, we instituted price increases effective in the first and fourth quarters of fiscal year 2022. However, there can be no assurance that the price increases will fully offset the effects of higher raw material and supply and distribution costs on our results of operations and financial condition. For a discussion of our market risks, see “Quantitative and Qualitative Disclosures About Market Risk” in Part II, Item 7A of our Annual Report.</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November 26, 2022,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187"/>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November 26, 2022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Total Number of Shares Purchased</w:t>
            </w:r>
          </w:p>
        </w:tc>
        <w:tc>
          <w:tcPr>
            <w:tcW w:w="120" w:type="dxa"/>
            <w:vAlign w:val="bottom"/>
          </w:tcPr>
          <w:p>
            <w:pPr>
              <w:spacing w:after="0"/>
              <w:rPr>
                <w:sz w:val="18"/>
                <w:szCs w:val="18"/>
                <w:color w:val="auto"/>
              </w:rPr>
            </w:pPr>
          </w:p>
        </w:tc>
        <w:tc>
          <w:tcPr>
            <w:tcW w:w="24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Maximum Dollar Value of Shares</w:t>
            </w: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Total Number of</w:t>
            </w:r>
          </w:p>
        </w:tc>
        <w:tc>
          <w:tcPr>
            <w:tcW w:w="16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Average Price</w:t>
            </w: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as Part of Publicly Announced</w:t>
            </w:r>
          </w:p>
        </w:tc>
        <w:tc>
          <w:tcPr>
            <w:tcW w:w="120" w:type="dxa"/>
            <w:vAlign w:val="bottom"/>
          </w:tcPr>
          <w:p>
            <w:pPr>
              <w:spacing w:after="0"/>
              <w:rPr>
                <w:sz w:val="22"/>
                <w:szCs w:val="22"/>
                <w:color w:val="auto"/>
              </w:rPr>
            </w:pPr>
          </w:p>
        </w:tc>
        <w:tc>
          <w:tcPr>
            <w:tcW w:w="24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That May Yet Be Purchased Under</w:t>
            </w:r>
          </w:p>
        </w:tc>
        <w:tc>
          <w:tcPr>
            <w:tcW w:w="0" w:type="dxa"/>
            <w:vAlign w:val="bottom"/>
          </w:tcPr>
          <w:p>
            <w:pPr>
              <w:spacing w:after="0"/>
              <w:rPr>
                <w:sz w:val="1"/>
                <w:szCs w:val="1"/>
                <w:color w:val="auto"/>
              </w:rPr>
            </w:pPr>
          </w:p>
        </w:tc>
      </w:tr>
      <w:tr>
        <w:trPr>
          <w:trHeight w:val="26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Shares Purchased</w:t>
            </w:r>
          </w:p>
        </w:tc>
        <w:tc>
          <w:tcPr>
            <w:tcW w:w="16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Paid Per Share</w:t>
            </w:r>
          </w:p>
        </w:tc>
        <w:tc>
          <w:tcPr>
            <w:tcW w:w="2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Plans or Programs</w:t>
            </w:r>
            <w:r>
              <w:rPr>
                <w:rFonts w:ascii="Times New Roman" w:cs="Times New Roman" w:eastAsia="Times New Roman" w:hAnsi="Times New Roman"/>
                <w:sz w:val="21"/>
                <w:szCs w:val="21"/>
                <w:color w:val="auto"/>
                <w:w w:val="98"/>
                <w:vertAlign w:val="superscript"/>
              </w:rPr>
              <w:t>(1)</w:t>
            </w:r>
          </w:p>
        </w:tc>
        <w:tc>
          <w:tcPr>
            <w:tcW w:w="120" w:type="dxa"/>
            <w:vAlign w:val="bottom"/>
          </w:tcPr>
          <w:p>
            <w:pPr>
              <w:spacing w:after="0"/>
              <w:rPr>
                <w:sz w:val="22"/>
                <w:szCs w:val="22"/>
                <w:color w:val="auto"/>
              </w:rPr>
            </w:pPr>
          </w:p>
        </w:tc>
        <w:tc>
          <w:tcPr>
            <w:tcW w:w="24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the Plans or Programs</w:t>
            </w:r>
            <w:r>
              <w:rPr>
                <w:rFonts w:ascii="Times New Roman" w:cs="Times New Roman" w:eastAsia="Times New Roman" w:hAnsi="Times New Roman"/>
                <w:sz w:val="21"/>
                <w:szCs w:val="21"/>
                <w:color w:val="auto"/>
                <w:w w:val="99"/>
                <w:vertAlign w:val="superscript"/>
              </w:rPr>
              <w:t>(1)</w:t>
            </w:r>
          </w:p>
        </w:tc>
        <w:tc>
          <w:tcPr>
            <w:tcW w:w="0" w:type="dxa"/>
            <w:vAlign w:val="bottom"/>
          </w:tcPr>
          <w:p>
            <w:pPr>
              <w:spacing w:after="0"/>
              <w:rPr>
                <w:sz w:val="1"/>
                <w:szCs w:val="1"/>
                <w:color w:val="auto"/>
              </w:rPr>
            </w:pPr>
          </w:p>
        </w:tc>
      </w:tr>
      <w:tr>
        <w:trPr>
          <w:trHeight w:val="156"/>
        </w:trPr>
        <w:tc>
          <w:tcPr>
            <w:tcW w:w="164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August 28, 2022 -</w:t>
            </w:r>
          </w:p>
        </w:tc>
        <w:tc>
          <w:tcPr>
            <w:tcW w:w="1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507,494</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20" w:type="dxa"/>
            <w:vAlign w:val="bottom"/>
            <w:tcBorders>
              <w:top w:val="single" w:sz="8" w:color="CCEEFF"/>
            </w:tcBorders>
            <w:shd w:val="clear" w:color="auto" w:fill="CCEEFF"/>
          </w:tcPr>
          <w:p>
            <w:pPr>
              <w:spacing w:after="0"/>
              <w:rPr>
                <w:sz w:val="13"/>
                <w:szCs w:val="13"/>
                <w:color w:val="auto"/>
              </w:rPr>
            </w:pPr>
          </w:p>
        </w:tc>
        <w:tc>
          <w:tcPr>
            <w:tcW w:w="2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507,494</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22,737,632</w:t>
            </w:r>
          </w:p>
        </w:tc>
        <w:tc>
          <w:tcPr>
            <w:tcW w:w="0" w:type="dxa"/>
            <w:vAlign w:val="bottom"/>
          </w:tcPr>
          <w:p>
            <w:pPr>
              <w:spacing w:after="0"/>
              <w:rPr>
                <w:sz w:val="1"/>
                <w:szCs w:val="1"/>
                <w:color w:val="auto"/>
              </w:rPr>
            </w:pPr>
          </w:p>
        </w:tc>
      </w:tr>
      <w:tr>
        <w:trPr>
          <w:trHeight w:val="216"/>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24, 2022</w:t>
            </w: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September 25, 2022 -</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38,852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tcPr>
          <w:p>
            <w:pPr>
              <w:spacing w:after="0"/>
              <w:rPr>
                <w:sz w:val="14"/>
                <w:szCs w:val="14"/>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38,852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71,546,585</w:t>
            </w:r>
          </w:p>
        </w:tc>
        <w:tc>
          <w:tcPr>
            <w:tcW w:w="0" w:type="dxa"/>
            <w:vAlign w:val="bottom"/>
          </w:tcPr>
          <w:p>
            <w:pPr>
              <w:spacing w:after="0"/>
              <w:rPr>
                <w:sz w:val="1"/>
                <w:szCs w:val="1"/>
                <w:color w:val="auto"/>
              </w:rPr>
            </w:pPr>
          </w:p>
        </w:tc>
      </w:tr>
      <w:tr>
        <w:trPr>
          <w:trHeight w:val="21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22, 2022</w:t>
            </w: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October 23, 2022 -</w:t>
            </w:r>
          </w:p>
        </w:tc>
        <w:tc>
          <w:tcPr>
            <w:tcW w:w="1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2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71,546,585</w:t>
            </w:r>
          </w:p>
        </w:tc>
        <w:tc>
          <w:tcPr>
            <w:tcW w:w="0" w:type="dxa"/>
            <w:vAlign w:val="bottom"/>
          </w:tcPr>
          <w:p>
            <w:pPr>
              <w:spacing w:after="0"/>
              <w:rPr>
                <w:sz w:val="1"/>
                <w:szCs w:val="1"/>
                <w:color w:val="auto"/>
              </w:rPr>
            </w:pPr>
          </w:p>
        </w:tc>
      </w:tr>
      <w:tr>
        <w:trPr>
          <w:trHeight w:val="213"/>
        </w:trPr>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26, 2022</w:t>
            </w: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546,346</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20" w:type="dxa"/>
            <w:vAlign w:val="bottom"/>
          </w:tcPr>
          <w:p>
            <w:pPr>
              <w:spacing w:after="0"/>
              <w:rPr>
                <w:sz w:val="19"/>
                <w:szCs w:val="19"/>
                <w:color w:val="auto"/>
              </w:rPr>
            </w:pP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546,346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71,546,585</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firstLine="8"/>
        <w:spacing w:after="0" w:line="260" w:lineRule="auto"/>
        <w:tabs>
          <w:tab w:leader="none" w:pos="17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adopted a $50.0 million stock repurchase program on November 13, 2018. On April 13, 2022, and October 21, 2022, we announced that our Board of Directors had approved the addition of $50.0 million and $50.0 million, respectively, to our stock repurchase program, resulting in authorized stock repurchases of up to an aggregate of $150.0 million. As of November 26, 2022, approximately $71.5 million remained available under the stock repurchase program. Under the stock repurchase program, we may repurchase shares from time to time in the open market or in privately negotiated transactions. The stock repurchase program does not obligate us to acquire any specific number of shares or acquire shares over any specific period of time. We may suspend or discontinue the stock repurchase program at any time, and the stock repurchase program does not have an expiration date.</w:t>
      </w: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222"/>
        </w:trPr>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69"/>
        </w:trPr>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line="169"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hyperlink>
            <w:r>
              <w:rPr>
                <w:rFonts w:ascii="Times New Roman" w:cs="Times New Roman" w:eastAsia="Times New Roman" w:hAnsi="Times New Roman"/>
                <w:sz w:val="16"/>
                <w:szCs w:val="16"/>
                <w:color w:val="000000"/>
              </w:rPr>
              <w:t>†</w:t>
            </w:r>
          </w:p>
        </w:tc>
        <w:tc>
          <w:tcPr>
            <w:tcW w:w="120" w:type="dxa"/>
            <w:vAlign w:val="bottom"/>
            <w:shd w:val="clear" w:color="auto" w:fill="CCEEFF"/>
          </w:tcPr>
          <w:p>
            <w:pPr>
              <w:spacing w:after="0"/>
              <w:rPr>
                <w:sz w:val="14"/>
                <w:szCs w:val="14"/>
                <w:color w:val="auto"/>
              </w:rPr>
            </w:pPr>
          </w:p>
        </w:tc>
        <w:tc>
          <w:tcPr>
            <w:tcW w:w="9060" w:type="dxa"/>
            <w:vAlign w:val="bottom"/>
            <w:gridSpan w:val="7"/>
            <w:shd w:val="clear" w:color="auto" w:fill="CCEEFF"/>
          </w:tcPr>
          <w:p>
            <w:pPr>
              <w:ind w:left="20"/>
              <w:spacing w:after="0" w:line="169"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Offer Letter between The Simply Good Foods Company and Shaun Mara, dated October 16, 2022 (incorporated by reference to Exhibit</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0000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02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our Current Report on Form 8-K filed on October 27, 2022)</w:t>
              </w:r>
              <w:r>
                <w:rPr>
                  <w:rFonts w:ascii="Times New Roman" w:cs="Times New Roman" w:eastAsia="Times New Roman" w:hAnsi="Times New Roman"/>
                  <w:sz w:val="16"/>
                  <w:szCs w:val="16"/>
                  <w:u w:val="single" w:color="auto"/>
                  <w:color w:val="0000FF"/>
                </w:rPr>
                <w:t>.</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0000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61"/>
        </w:trPr>
        <w:tc>
          <w:tcPr>
            <w:tcW w:w="2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380" w:type="dxa"/>
            <w:vAlign w:val="bottom"/>
            <w:tcBorders>
              <w:top w:val="single" w:sz="8" w:color="0000FF"/>
            </w:tcBorders>
          </w:tcPr>
          <w:p>
            <w:pPr>
              <w:spacing w:after="0"/>
              <w:rPr>
                <w:sz w:val="5"/>
                <w:szCs w:val="5"/>
                <w:color w:val="auto"/>
              </w:rPr>
            </w:pPr>
          </w:p>
        </w:tc>
        <w:tc>
          <w:tcPr>
            <w:tcW w:w="23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20" w:type="dxa"/>
            <w:vAlign w:val="bottom"/>
            <w:shd w:val="clear" w:color="auto" w:fill="CCEEFF"/>
          </w:tcPr>
          <w:p>
            <w:pPr>
              <w:spacing w:after="0"/>
              <w:rPr>
                <w:sz w:val="15"/>
                <w:szCs w:val="15"/>
                <w:color w:val="auto"/>
              </w:rPr>
            </w:pPr>
          </w:p>
        </w:tc>
        <w:tc>
          <w:tcPr>
            <w:tcW w:w="9060" w:type="dxa"/>
            <w:vAlign w:val="bottom"/>
            <w:gridSpan w:val="7"/>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0000FF"/>
            </w:tcBorders>
            <w:shd w:val="clear" w:color="auto" w:fill="CCEEFF"/>
          </w:tcPr>
          <w:p>
            <w:pPr>
              <w:spacing w:after="0" w:line="20" w:lineRule="exact"/>
              <w:rPr>
                <w:sz w:val="1"/>
                <w:szCs w:val="1"/>
                <w:color w:val="auto"/>
              </w:rPr>
            </w:pPr>
          </w:p>
        </w:tc>
        <w:tc>
          <w:tcPr>
            <w:tcW w:w="2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20" w:type="dxa"/>
            <w:vAlign w:val="bottom"/>
          </w:tcPr>
          <w:p>
            <w:pPr>
              <w:spacing w:after="0"/>
              <w:rPr>
                <w:sz w:val="15"/>
                <w:szCs w:val="15"/>
                <w:color w:val="auto"/>
              </w:rPr>
            </w:pPr>
          </w:p>
        </w:tc>
        <w:tc>
          <w:tcPr>
            <w:tcW w:w="9060" w:type="dxa"/>
            <w:vAlign w:val="bottom"/>
            <w:gridSpan w:val="7"/>
          </w:tcPr>
          <w:p>
            <w:pPr>
              <w:ind w:left="20"/>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61"/>
        </w:trPr>
        <w:tc>
          <w:tcPr>
            <w:tcW w:w="2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380" w:type="dxa"/>
            <w:vAlign w:val="bottom"/>
            <w:tcBorders>
              <w:top w:val="single" w:sz="8" w:color="0000FF"/>
            </w:tcBorders>
          </w:tcPr>
          <w:p>
            <w:pPr>
              <w:spacing w:after="0"/>
              <w:rPr>
                <w:sz w:val="5"/>
                <w:szCs w:val="5"/>
                <w:color w:val="auto"/>
              </w:rPr>
            </w:pPr>
          </w:p>
        </w:tc>
        <w:tc>
          <w:tcPr>
            <w:tcW w:w="23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520" w:type="dxa"/>
            <w:vAlign w:val="bottom"/>
            <w:tcBorders>
              <w:top w:val="single" w:sz="8" w:color="0000FF"/>
            </w:tcBorders>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101.INS*</w:t>
            </w:r>
          </w:p>
        </w:tc>
        <w:tc>
          <w:tcPr>
            <w:tcW w:w="90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90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46"/>
        </w:trPr>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90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90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6" w:lineRule="exact"/>
        <w:rPr>
          <w:sz w:val="20"/>
          <w:szCs w:val="20"/>
          <w:color w:val="auto"/>
        </w:rPr>
      </w:pPr>
    </w:p>
    <w:p>
      <w:pPr>
        <w:ind w:left="620" w:right="1880"/>
        <w:spacing w:after="0" w:line="334" w:lineRule="auto"/>
        <w:tabs>
          <w:tab w:leader="none" w:pos="1605"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72"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-604520</wp:posOffset>
            </wp:positionV>
            <wp:extent cx="63779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3779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tc>
      </w:tr>
      <w:tr>
        <w:trPr>
          <w:trHeight w:val="408"/>
        </w:trPr>
        <w:tc>
          <w:tcPr>
            <w:tcW w:w="2360" w:type="dxa"/>
            <w:vAlign w:val="bottom"/>
          </w:tcPr>
          <w:p>
            <w:pPr>
              <w:spacing w:after="0"/>
              <w:rPr>
                <w:sz w:val="24"/>
                <w:szCs w:val="24"/>
                <w:color w:val="auto"/>
              </w:rPr>
            </w:pPr>
          </w:p>
        </w:tc>
        <w:tc>
          <w:tcPr>
            <w:tcW w:w="558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By: /s/ Timothy A. Matthews</w:t>
            </w:r>
          </w:p>
        </w:tc>
      </w:tr>
      <w:tr>
        <w:trPr>
          <w:trHeight w:val="20"/>
        </w:trPr>
        <w:tc>
          <w:tcPr>
            <w:tcW w:w="2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5"/>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5, 2023</w:t>
            </w:r>
          </w:p>
        </w:tc>
        <w:tc>
          <w:tcPr>
            <w:tcW w:w="5580" w:type="dxa"/>
            <w:vAlign w:val="bottom"/>
            <w:gridSpan w:val="2"/>
          </w:tcPr>
          <w:p>
            <w:pPr>
              <w:ind w:left="720"/>
              <w:spacing w:after="0"/>
              <w:rPr>
                <w:sz w:val="20"/>
                <w:szCs w:val="20"/>
                <w:color w:val="auto"/>
              </w:rPr>
            </w:pPr>
            <w:r>
              <w:rPr>
                <w:rFonts w:ascii="Times New Roman" w:cs="Times New Roman" w:eastAsia="Times New Roman" w:hAnsi="Times New Roman"/>
                <w:sz w:val="32"/>
                <w:szCs w:val="32"/>
                <w:color w:val="auto"/>
                <w:vertAlign w:val="subscript"/>
              </w:rPr>
              <w:t>Name:</w:t>
            </w:r>
            <w:r>
              <w:rPr>
                <w:rFonts w:ascii="Times New Roman" w:cs="Times New Roman" w:eastAsia="Times New Roman" w:hAnsi="Times New Roman"/>
                <w:sz w:val="16"/>
                <w:szCs w:val="16"/>
                <w:color w:val="auto"/>
              </w:rPr>
              <w:t xml:space="preserve"> Timothy A. Matthews</w:t>
            </w:r>
          </w:p>
        </w:tc>
      </w:tr>
      <w:tr>
        <w:trPr>
          <w:trHeight w:val="322"/>
        </w:trPr>
        <w:tc>
          <w:tcPr>
            <w:tcW w:w="2360" w:type="dxa"/>
            <w:vAlign w:val="bottom"/>
          </w:tcPr>
          <w:p>
            <w:pPr>
              <w:spacing w:after="0"/>
              <w:rPr>
                <w:sz w:val="24"/>
                <w:szCs w:val="24"/>
                <w:color w:val="auto"/>
              </w:rPr>
            </w:pPr>
          </w:p>
        </w:tc>
        <w:tc>
          <w:tcPr>
            <w:tcW w:w="5580" w:type="dxa"/>
            <w:vAlign w:val="bottom"/>
            <w:gridSpan w:val="2"/>
          </w:tcPr>
          <w:p>
            <w:pPr>
              <w:ind w:left="800"/>
              <w:spacing w:after="0" w:line="322" w:lineRule="exact"/>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tc>
      </w:tr>
      <w:tr>
        <w:trPr>
          <w:trHeight w:val="212"/>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460"/>
          </w:cols>
          <w:pgMar w:left="320" w:top="121" w:right="11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5, 2023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226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2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5, 2023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Mara</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Mara</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November 26, 2022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5, 2023</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5, 2023</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Mara</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Mara</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7"/>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6">
    <w:nsid w:val="431BD7B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7C83E45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7" Type="http://schemas.openxmlformats.org/officeDocument/2006/relationships/hyperlink" Target="https://www.sec.gov/Archives/edgar/data/1702744/000170274422000077/a101_offerletterxq1x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2023-01-05T13:18:41Z</dcterms:created>
  <dcterms:modified xsi:type="dcterms:W3CDTF">2023-01-05T13:18:41Z</dcterms:modified>
</cp:coreProperties>
</file>