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7" w:lineRule="exact"/>
        <w:rPr>
          <w:sz w:val="24"/>
          <w:szCs w:val="24"/>
          <w:color w:val="auto"/>
        </w:rPr>
      </w:pPr>
    </w:p>
    <w:p>
      <w:pPr>
        <w:ind w:left="880"/>
        <w:spacing w:after="0"/>
        <w:rPr>
          <w:sz w:val="20"/>
          <w:szCs w:val="20"/>
          <w:color w:val="auto"/>
        </w:rPr>
      </w:pPr>
      <w:r>
        <w:rPr>
          <w:rFonts w:ascii="Arial" w:cs="Arial" w:eastAsia="Arial" w:hAnsi="Arial"/>
          <w:sz w:val="14"/>
          <w:szCs w:val="14"/>
          <w:b w:val="1"/>
          <w:bCs w:val="1"/>
          <w:color w:val="auto"/>
        </w:rPr>
        <w:t>(Mark One)</w:t>
      </w:r>
    </w:p>
    <w:p>
      <w:pPr>
        <w:spacing w:after="0" w:line="95" w:lineRule="exact"/>
        <w:rPr>
          <w:sz w:val="24"/>
          <w:szCs w:val="24"/>
          <w:color w:val="auto"/>
        </w:rPr>
      </w:pPr>
    </w:p>
    <w:p>
      <w:pPr>
        <w:ind w:left="1940" w:hanging="771"/>
        <w:spacing w:after="0"/>
        <w:tabs>
          <w:tab w:leader="none" w:pos="194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ANNUAL  REPORT  PURSUANT  TO  SECTION  13  OR  15(d)  OF  THE  SECURITIES</w:t>
      </w:r>
    </w:p>
    <w:p>
      <w:pPr>
        <w:spacing w:after="0" w:line="22" w:lineRule="exact"/>
        <w:rPr>
          <w:sz w:val="24"/>
          <w:szCs w:val="24"/>
          <w:color w:val="auto"/>
        </w:rPr>
      </w:pPr>
    </w:p>
    <w:p>
      <w:pPr>
        <w:ind w:left="1940"/>
        <w:spacing w:after="0"/>
        <w:rPr>
          <w:sz w:val="20"/>
          <w:szCs w:val="20"/>
          <w:color w:val="auto"/>
        </w:rPr>
      </w:pPr>
      <w:r>
        <w:rPr>
          <w:rFonts w:ascii="Arial" w:cs="Arial" w:eastAsia="Arial" w:hAnsi="Arial"/>
          <w:sz w:val="20"/>
          <w:szCs w:val="20"/>
          <w:b w:val="1"/>
          <w:bCs w:val="1"/>
          <w:color w:val="auto"/>
        </w:rPr>
        <w:t>EXCHANGE ACT OF 1934</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fiscal year ended August 29, 2020</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1" w:lineRule="exact"/>
        <w:rPr>
          <w:sz w:val="24"/>
          <w:szCs w:val="24"/>
          <w:color w:val="auto"/>
        </w:rPr>
      </w:pPr>
    </w:p>
    <w:p>
      <w:pPr>
        <w:ind w:left="2240" w:right="1060" w:hanging="700"/>
        <w:spacing w:after="0" w:line="267" w:lineRule="auto"/>
        <w:tabs>
          <w:tab w:leader="none" w:pos="2240" w:val="left"/>
        </w:tabs>
        <w:numPr>
          <w:ilvl w:val="0"/>
          <w:numId w:val="2"/>
        </w:numPr>
        <w:rPr>
          <w:rFonts w:ascii="MS PGothic" w:cs="MS PGothic" w:eastAsia="MS PGothic" w:hAnsi="MS PGothic"/>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915" w:orient="portrait"/>
          <w:cols w:equalWidth="0" w:num="1">
            <w:col w:w="11240"/>
          </w:cols>
          <w:pgMar w:left="320" w:top="593" w:right="339" w:bottom="0" w:gutter="0" w:footer="0" w:header="0"/>
        </w:sectPr>
      </w:pPr>
    </w:p>
    <w:p>
      <w:pPr>
        <w:spacing w:after="0" w:line="148"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95" w:lineRule="exact"/>
        <w:rPr>
          <w:sz w:val="24"/>
          <w:szCs w:val="24"/>
          <w:color w:val="auto"/>
        </w:rPr>
      </w:pPr>
    </w:p>
    <w:p>
      <w:pPr>
        <w:sectPr>
          <w:pgSz w:w="11900" w:h="16915" w:orient="portrait"/>
          <w:cols w:equalWidth="0" w:num="2">
            <w:col w:w="8120" w:space="720"/>
            <w:col w:w="2400"/>
          </w:cols>
          <w:pgMar w:left="320" w:top="593" w:right="339" w:bottom="0" w:gutter="0" w:footer="0" w:header="0"/>
          <w:type w:val="continuous"/>
        </w:sectPr>
      </w:pPr>
    </w:p>
    <w:tbl>
      <w:tblPr>
        <w:tblLayout w:type="fixed"/>
        <w:tblInd w:w="860" w:type="dxa"/>
        <w:tblCellMar>
          <w:top w:w="0" w:type="dxa"/>
          <w:left w:w="0" w:type="dxa"/>
          <w:bottom w:w="0" w:type="dxa"/>
          <w:right w:w="0" w:type="dxa"/>
        </w:tblCellMar>
      </w:tblPr>
      <w:tr>
        <w:trPr>
          <w:trHeight w:val="203"/>
        </w:trPr>
        <w:tc>
          <w:tcPr>
            <w:tcW w:w="4600" w:type="dxa"/>
            <w:vAlign w:val="bottom"/>
          </w:tcPr>
          <w:p>
            <w:pPr>
              <w:jc w:val="center"/>
              <w:ind w:right="2559"/>
              <w:spacing w:after="0"/>
              <w:rPr>
                <w:sz w:val="20"/>
                <w:szCs w:val="20"/>
                <w:color w:val="auto"/>
              </w:rPr>
            </w:pPr>
            <w:r>
              <w:rPr>
                <w:rFonts w:ascii="Arial" w:cs="Arial" w:eastAsia="Arial" w:hAnsi="Arial"/>
                <w:sz w:val="16"/>
                <w:szCs w:val="16"/>
                <w:color w:val="auto"/>
                <w:w w:val="93"/>
              </w:rPr>
              <w:t>(State or other jurisdiction of</w:t>
            </w:r>
          </w:p>
        </w:tc>
        <w:tc>
          <w:tcPr>
            <w:tcW w:w="5000" w:type="dxa"/>
            <w:vAlign w:val="bottom"/>
            <w:vMerge w:val="restart"/>
          </w:tcPr>
          <w:p>
            <w:pPr>
              <w:ind w:left="264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600" w:type="dxa"/>
            <w:vAlign w:val="bottom"/>
            <w:vMerge w:val="restart"/>
          </w:tcPr>
          <w:p>
            <w:pPr>
              <w:jc w:val="center"/>
              <w:ind w:right="2579"/>
              <w:spacing w:after="0"/>
              <w:rPr>
                <w:sz w:val="20"/>
                <w:szCs w:val="20"/>
                <w:color w:val="auto"/>
              </w:rPr>
            </w:pPr>
            <w:r>
              <w:rPr>
                <w:rFonts w:ascii="Arial" w:cs="Arial" w:eastAsia="Arial" w:hAnsi="Arial"/>
                <w:sz w:val="16"/>
                <w:szCs w:val="16"/>
                <w:color w:val="auto"/>
                <w:w w:val="93"/>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r>
        <w:rPr>
          <w:rFonts w:ascii="Arial" w:cs="Arial" w:eastAsia="Arial" w:hAnsi="Arial"/>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4180" w:type="dxa"/>
            <w:vAlign w:val="bottom"/>
            <w:gridSpan w:val="3"/>
          </w:tcPr>
          <w:p>
            <w:pPr>
              <w:jc w:val="center"/>
              <w:ind w:right="880"/>
              <w:spacing w:after="0"/>
              <w:rPr>
                <w:sz w:val="20"/>
                <w:szCs w:val="20"/>
                <w:color w:val="auto"/>
              </w:rPr>
            </w:pPr>
            <w:r>
              <w:rPr>
                <w:rFonts w:ascii="Arial" w:cs="Arial" w:eastAsia="Arial" w:hAnsi="Arial"/>
                <w:sz w:val="16"/>
                <w:szCs w:val="16"/>
                <w:color w:val="auto"/>
                <w:w w:val="92"/>
              </w:rPr>
              <w:t>Title of each class</w:t>
            </w:r>
          </w:p>
        </w:tc>
        <w:tc>
          <w:tcPr>
            <w:tcW w:w="2560" w:type="dxa"/>
            <w:vAlign w:val="bottom"/>
            <w:gridSpan w:val="2"/>
          </w:tcPr>
          <w:p>
            <w:pPr>
              <w:jc w:val="center"/>
              <w:ind w:right="900"/>
              <w:spacing w:after="0"/>
              <w:rPr>
                <w:sz w:val="20"/>
                <w:szCs w:val="20"/>
                <w:color w:val="auto"/>
              </w:rPr>
            </w:pPr>
            <w:r>
              <w:rPr>
                <w:rFonts w:ascii="Arial" w:cs="Arial" w:eastAsia="Arial" w:hAnsi="Arial"/>
                <w:sz w:val="16"/>
                <w:szCs w:val="16"/>
                <w:color w:val="auto"/>
                <w:w w:val="93"/>
              </w:rPr>
              <w:t>Trading Symbol(s)</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60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17"/>
        </w:trPr>
        <w:tc>
          <w:tcPr>
            <w:tcW w:w="600" w:type="dxa"/>
            <w:vAlign w:val="bottom"/>
          </w:tcPr>
          <w:p>
            <w:pPr>
              <w:spacing w:after="0"/>
              <w:rPr>
                <w:sz w:val="18"/>
                <w:szCs w:val="18"/>
                <w:color w:val="auto"/>
              </w:rPr>
            </w:pPr>
          </w:p>
        </w:tc>
        <w:tc>
          <w:tcPr>
            <w:tcW w:w="4180" w:type="dxa"/>
            <w:vAlign w:val="bottom"/>
            <w:gridSpan w:val="3"/>
          </w:tcPr>
          <w:p>
            <w:pPr>
              <w:jc w:val="center"/>
              <w:ind w:right="880"/>
              <w:spacing w:after="0"/>
              <w:rPr>
                <w:sz w:val="20"/>
                <w:szCs w:val="20"/>
                <w:color w:val="auto"/>
              </w:rPr>
            </w:pPr>
            <w:r>
              <w:rPr>
                <w:rFonts w:ascii="Arial" w:cs="Arial" w:eastAsia="Arial" w:hAnsi="Arial"/>
                <w:sz w:val="16"/>
                <w:szCs w:val="16"/>
                <w:color w:val="auto"/>
                <w:w w:val="91"/>
              </w:rPr>
              <w:t>Common Stock, par value $0.01 per share</w:t>
            </w:r>
          </w:p>
        </w:tc>
        <w:tc>
          <w:tcPr>
            <w:tcW w:w="2560" w:type="dxa"/>
            <w:vAlign w:val="bottom"/>
            <w:gridSpan w:val="2"/>
          </w:tcPr>
          <w:p>
            <w:pPr>
              <w:jc w:val="center"/>
              <w:ind w:right="90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Nasdaq</w:t>
            </w:r>
          </w:p>
        </w:tc>
      </w:tr>
      <w:tr>
        <w:trPr>
          <w:trHeight w:val="519"/>
        </w:trPr>
        <w:tc>
          <w:tcPr>
            <w:tcW w:w="4780" w:type="dxa"/>
            <w:vAlign w:val="bottom"/>
            <w:gridSpan w:val="4"/>
          </w:tcPr>
          <w:p>
            <w:pPr>
              <w:spacing w:after="0"/>
              <w:rPr>
                <w:sz w:val="20"/>
                <w:szCs w:val="20"/>
                <w:color w:val="auto"/>
              </w:rPr>
            </w:pPr>
            <w:r>
              <w:rPr>
                <w:rFonts w:ascii="Arial" w:cs="Arial" w:eastAsia="Arial" w:hAnsi="Arial"/>
                <w:sz w:val="18"/>
                <w:szCs w:val="18"/>
                <w:color w:val="auto"/>
                <w:w w:val="94"/>
              </w:rPr>
              <w:t xml:space="preserve">Securities registered pursuant to section 12(g) of the Act: </w:t>
            </w:r>
            <w:r>
              <w:rPr>
                <w:rFonts w:ascii="Arial" w:cs="Arial" w:eastAsia="Arial" w:hAnsi="Arial"/>
                <w:sz w:val="18"/>
                <w:szCs w:val="18"/>
                <w:b w:val="1"/>
                <w:bCs w:val="1"/>
                <w:color w:val="auto"/>
                <w:w w:val="94"/>
              </w:rPr>
              <w:t>None</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15" w:orient="portrait"/>
          <w:cols w:equalWidth="0" w:num="1">
            <w:col w:w="11240"/>
          </w:cols>
          <w:pgMar w:left="320" w:top="593" w:right="339" w:bottom="0" w:gutter="0" w:footer="0" w:header="0"/>
          <w:type w:val="continuous"/>
        </w:sectPr>
      </w:pPr>
    </w:p>
    <w:p>
      <w:pPr>
        <w:spacing w:after="0" w:line="148"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915" w:orient="portrait"/>
          <w:cols w:equalWidth="0" w:num="4">
            <w:col w:w="4840" w:space="260"/>
            <w:col w:w="740" w:space="720"/>
            <w:col w:w="1120" w:space="60"/>
            <w:col w:w="3500"/>
          </w:cols>
          <w:pgMar w:left="320" w:top="593" w:right="339" w:bottom="0" w:gutter="0" w:footer="0" w:header="0"/>
          <w:type w:val="continuous"/>
        </w:sectPr>
      </w:pPr>
    </w:p>
    <w:p>
      <w:pPr>
        <w:spacing w:after="0" w:line="38" w:lineRule="exact"/>
        <w:rPr>
          <w:sz w:val="24"/>
          <w:szCs w:val="24"/>
          <w:color w:val="auto"/>
        </w:rPr>
      </w:pPr>
    </w:p>
    <w:p>
      <w:pPr>
        <w:ind w:left="330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915" w:orient="portrait"/>
          <w:cols w:equalWidth="0" w:num="4">
            <w:col w:w="4760" w:space="340"/>
            <w:col w:w="140" w:space="580"/>
            <w:col w:w="1860" w:space="60"/>
            <w:col w:w="3500"/>
          </w:cols>
          <w:pgMar w:left="320" w:top="593" w:right="339" w:bottom="0" w:gutter="0" w:footer="0" w:header="0"/>
          <w:type w:val="continuous"/>
        </w:sectPr>
      </w:pPr>
    </w:p>
    <w:p>
      <w:pPr>
        <w:spacing w:after="0" w:line="38" w:lineRule="exact"/>
        <w:rPr>
          <w:sz w:val="24"/>
          <w:szCs w:val="24"/>
          <w:color w:val="auto"/>
        </w:rPr>
      </w:pPr>
    </w:p>
    <w:p>
      <w:pPr>
        <w:ind w:left="58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8" w:lineRule="exact"/>
        <w:rPr>
          <w:sz w:val="24"/>
          <w:szCs w:val="24"/>
          <w:color w:val="auto"/>
        </w:rPr>
      </w:pPr>
    </w:p>
    <w:p>
      <w:pPr>
        <w:sectPr>
          <w:pgSz w:w="11900" w:h="16915" w:orient="portrait"/>
          <w:cols w:equalWidth="0" w:num="2">
            <w:col w:w="7680" w:space="60"/>
            <w:col w:w="3500"/>
          </w:cols>
          <w:pgMar w:left="320" w:top="593" w:right="339" w:bottom="0" w:gutter="0" w:footer="0" w:header="0"/>
          <w:type w:val="continuous"/>
        </w:sectPr>
      </w:pPr>
    </w:p>
    <w:p>
      <w:pPr>
        <w:spacing w:after="0" w:line="8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15" w:orient="portrait"/>
          <w:cols w:equalWidth="0" w:num="1">
            <w:col w:w="11240"/>
          </w:cols>
          <w:pgMar w:left="320" w:top="593"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22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held by non-affiliates of the registrant as of February 28, 2020, the last trading day of the registrant's most recently completed second fiscal quarter was approximately $1.8 billion based on the closing price of $22.06 for one share of common stock, as reported on the Nasdaq Capital Market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26, 2020, there were 95,683,897 shares of common stock, par value $0.01 per share, issued and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20" w:firstLine="648"/>
        <w:spacing w:after="0" w:line="224" w:lineRule="exact"/>
        <w:rPr>
          <w:sz w:val="20"/>
          <w:szCs w:val="20"/>
          <w:color w:val="auto"/>
        </w:rPr>
      </w:pPr>
      <w:r>
        <w:rPr>
          <w:rFonts w:ascii="Arial" w:cs="Arial" w:eastAsia="Arial" w:hAnsi="Arial"/>
          <w:sz w:val="17"/>
          <w:szCs w:val="17"/>
          <w:color w:val="auto"/>
        </w:rPr>
        <w:t>Certain portions of the registrant’s definitive proxy statement, in connection with its 2021 annual meeting of stockholders, to be filed within 120 days after the end of fiscal year ended August 29, 2020, are incorporated by reference into Part III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ectPr>
          <w:pgSz w:w="11900" w:h="16838" w:orient="portrait"/>
          <w:cols w:equalWidth="0" w:num="1">
            <w:col w:w="11240"/>
          </w:cols>
          <w:pgMar w:left="320" w:top="9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94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0000EE"/>
                <w:w w:val="98"/>
              </w:rPr>
              <w:t>PART I</w:t>
            </w:r>
          </w:p>
        </w:tc>
        <w:tc>
          <w:tcPr>
            <w:tcW w:w="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r>
      <w:tr>
        <w:trPr>
          <w:trHeight w:val="291"/>
        </w:trPr>
        <w:tc>
          <w:tcPr>
            <w:tcW w:w="188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284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060" w:type="dxa"/>
            <w:vAlign w:val="bottom"/>
            <w:gridSpan w:val="2"/>
          </w:tcPr>
          <w:p>
            <w:pPr>
              <w:spacing w:after="0"/>
              <w:rPr>
                <w:sz w:val="24"/>
                <w:szCs w:val="24"/>
                <w:color w:val="auto"/>
              </w:rPr>
            </w:pPr>
          </w:p>
        </w:tc>
        <w:tc>
          <w:tcPr>
            <w:tcW w:w="520" w:type="dxa"/>
            <w:vAlign w:val="bottom"/>
            <w:gridSpan w:val="2"/>
          </w:tcPr>
          <w:p>
            <w:pPr>
              <w:jc w:val="center"/>
              <w:ind w:left="7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4</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1A</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14">
              <w:r>
                <w:rPr>
                  <w:rFonts w:ascii="Arial" w:cs="Arial" w:eastAsia="Arial" w:hAnsi="Arial"/>
                  <w:sz w:val="18"/>
                  <w:szCs w:val="18"/>
                  <w:u w:val="single" w:color="auto"/>
                  <w:color w:val="0000EE"/>
                  <w:w w:val="89"/>
                </w:rPr>
                <w:t>13</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1B</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Unresolved Staff Comments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28</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Properties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28</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28</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28</w:t>
              </w:r>
            </w:hyperlink>
          </w:p>
        </w:tc>
      </w:tr>
      <w:tr>
        <w:trPr>
          <w:trHeight w:val="270"/>
        </w:trPr>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40" w:type="dxa"/>
            <w:vAlign w:val="bottom"/>
            <w:gridSpan w:val="5"/>
          </w:tcPr>
          <w:p>
            <w:pPr>
              <w:jc w:val="center"/>
              <w:ind w:right="276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II</w:t>
              </w:r>
            </w:hyperlink>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9"/>
        </w:trPr>
        <w:tc>
          <w:tcPr>
            <w:tcW w:w="188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w:t>
              </w:r>
            </w:hyperlink>
          </w:p>
        </w:tc>
        <w:tc>
          <w:tcPr>
            <w:tcW w:w="7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w:t>
              </w:r>
            </w:hyperlink>
          </w:p>
        </w:tc>
        <w:tc>
          <w:tcPr>
            <w:tcW w:w="160" w:type="dxa"/>
            <w:vAlign w:val="bottom"/>
          </w:tcPr>
          <w:p>
            <w:pPr>
              <w:spacing w:after="0"/>
              <w:rPr>
                <w:sz w:val="19"/>
                <w:szCs w:val="19"/>
                <w:color w:val="auto"/>
              </w:rPr>
            </w:pPr>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29</w:t>
              </w:r>
            </w:hyperlink>
          </w:p>
        </w:tc>
      </w:tr>
      <w:tr>
        <w:trPr>
          <w:trHeight w:val="196"/>
        </w:trPr>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8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Securities</w:t>
              </w:r>
            </w:hyperlink>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91"/>
        </w:trPr>
        <w:tc>
          <w:tcPr>
            <w:tcW w:w="18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Selected Financial Data</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31</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7</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33</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7A</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Quantitative and Qualitative Disclosures About Market Risk</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46</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8</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Financial Statements and Supplementary Data</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47</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9</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Changes in and Disagreements With Accountants on Accounting and Financial Disclosure</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3">
              <w:r>
                <w:rPr>
                  <w:rFonts w:ascii="Arial" w:cs="Arial" w:eastAsia="Arial" w:hAnsi="Arial"/>
                  <w:sz w:val="18"/>
                  <w:szCs w:val="18"/>
                  <w:u w:val="single" w:color="auto"/>
                  <w:color w:val="0000EE"/>
                  <w:w w:val="89"/>
                </w:rPr>
                <w:t>81</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9A</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Controls and Procedures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3">
              <w:r>
                <w:rPr>
                  <w:rFonts w:ascii="Arial" w:cs="Arial" w:eastAsia="Arial" w:hAnsi="Arial"/>
                  <w:sz w:val="18"/>
                  <w:szCs w:val="18"/>
                  <w:u w:val="single" w:color="auto"/>
                  <w:color w:val="0000EE"/>
                  <w:w w:val="89"/>
                </w:rPr>
                <w:t>81</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9B</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5">
              <w:r>
                <w:rPr>
                  <w:rFonts w:ascii="Arial" w:cs="Arial" w:eastAsia="Arial" w:hAnsi="Arial"/>
                  <w:sz w:val="18"/>
                  <w:szCs w:val="18"/>
                  <w:u w:val="single" w:color="auto"/>
                  <w:color w:val="0000EE"/>
                  <w:w w:val="89"/>
                </w:rPr>
                <w:t>83</w:t>
              </w:r>
            </w:hyperlink>
          </w:p>
        </w:tc>
      </w:tr>
      <w:tr>
        <w:trPr>
          <w:trHeight w:val="270"/>
        </w:trPr>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40" w:type="dxa"/>
            <w:vAlign w:val="bottom"/>
            <w:gridSpan w:val="5"/>
          </w:tcPr>
          <w:p>
            <w:pPr>
              <w:jc w:val="center"/>
              <w:ind w:right="2780"/>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PART III</w:t>
              </w:r>
            </w:hyperlink>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10</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Directors, Executive Officers and Corporate Governance</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84</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11</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Executive Compensation</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84</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12</w:t>
              </w:r>
            </w:hyperlink>
          </w:p>
        </w:tc>
        <w:tc>
          <w:tcPr>
            <w:tcW w:w="7480" w:type="dxa"/>
            <w:vAlign w:val="bottom"/>
            <w:gridSpan w:val="7"/>
          </w:tcPr>
          <w:p>
            <w:pPr>
              <w:spacing w:after="0"/>
              <w:rPr>
                <w:rFonts w:ascii="Arial" w:cs="Arial" w:eastAsia="Arial" w:hAnsi="Arial"/>
                <w:sz w:val="18"/>
                <w:szCs w:val="18"/>
                <w:u w:val="single" w:color="auto"/>
                <w:color w:val="0000EE"/>
                <w:w w:val="93"/>
              </w:rPr>
            </w:pPr>
            <w:hyperlink w:anchor="page86">
              <w:r>
                <w:rPr>
                  <w:rFonts w:ascii="Arial" w:cs="Arial" w:eastAsia="Arial" w:hAnsi="Arial"/>
                  <w:sz w:val="18"/>
                  <w:szCs w:val="18"/>
                  <w:u w:val="single" w:color="auto"/>
                  <w:color w:val="0000EE"/>
                  <w:w w:val="93"/>
                </w:rPr>
                <w:t>Security Ownership of Certain Beneficial Owners and Management and Related Stockholder Matters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84</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13</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Relationships and Related Transactions, and Director Independence</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84</w:t>
              </w:r>
            </w:hyperlink>
          </w:p>
        </w:tc>
      </w:tr>
      <w:tr>
        <w:trPr>
          <w:trHeight w:val="270"/>
        </w:trPr>
        <w:tc>
          <w:tcPr>
            <w:tcW w:w="188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14</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Principal Accountant Fees and Services</w:t>
              </w:r>
            </w:hyperlink>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84</w:t>
              </w:r>
            </w:hyperlink>
          </w:p>
        </w:tc>
      </w:tr>
      <w:tr>
        <w:trPr>
          <w:trHeight w:val="270"/>
        </w:trPr>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40" w:type="dxa"/>
            <w:vAlign w:val="bottom"/>
            <w:gridSpan w:val="5"/>
          </w:tcPr>
          <w:p>
            <w:pPr>
              <w:jc w:val="center"/>
              <w:ind w:right="2780"/>
              <w:spacing w:after="0"/>
              <w:rPr>
                <w:rFonts w:ascii="Arial" w:cs="Arial" w:eastAsia="Arial" w:hAnsi="Arial"/>
                <w:sz w:val="18"/>
                <w:szCs w:val="18"/>
                <w:b w:val="1"/>
                <w:bCs w:val="1"/>
                <w:u w:val="single" w:color="auto"/>
                <w:color w:val="0000EE"/>
              </w:rPr>
            </w:pPr>
            <w:hyperlink w:anchor="page87">
              <w:r>
                <w:rPr>
                  <w:rFonts w:ascii="Arial" w:cs="Arial" w:eastAsia="Arial" w:hAnsi="Arial"/>
                  <w:sz w:val="18"/>
                  <w:szCs w:val="18"/>
                  <w:b w:val="1"/>
                  <w:bCs w:val="1"/>
                  <w:u w:val="single" w:color="auto"/>
                  <w:color w:val="0000EE"/>
                </w:rPr>
                <w:t>PART IV</w:t>
              </w:r>
            </w:hyperlink>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9"/>
        </w:trPr>
        <w:tc>
          <w:tcPr>
            <w:tcW w:w="1880" w:type="dxa"/>
            <w:vAlign w:val="bottom"/>
            <w:gridSpan w:val="2"/>
          </w:tcPr>
          <w:p>
            <w:pPr>
              <w:spacing w:after="0"/>
              <w:rPr>
                <w:sz w:val="20"/>
                <w:szCs w:val="20"/>
                <w:color w:val="auto"/>
              </w:rPr>
            </w:pPr>
            <w:r>
              <w:rPr>
                <w:rFonts w:ascii="Arial" w:cs="Arial" w:eastAsia="Arial" w:hAnsi="Arial"/>
                <w:sz w:val="18"/>
                <w:szCs w:val="18"/>
                <w:color w:val="0000EE"/>
              </w:rPr>
              <w:t>Item 15</w:t>
            </w:r>
          </w:p>
        </w:tc>
        <w:tc>
          <w:tcPr>
            <w:tcW w:w="7480" w:type="dxa"/>
            <w:vAlign w:val="bottom"/>
            <w:gridSpan w:val="7"/>
          </w:tcPr>
          <w:p>
            <w:pPr>
              <w:spacing w:after="0"/>
              <w:rPr>
                <w:sz w:val="20"/>
                <w:szCs w:val="20"/>
                <w:color w:val="auto"/>
              </w:rPr>
            </w:pPr>
            <w:r>
              <w:rPr>
                <w:rFonts w:ascii="Arial" w:cs="Arial" w:eastAsia="Arial" w:hAnsi="Arial"/>
                <w:sz w:val="18"/>
                <w:szCs w:val="18"/>
                <w:color w:val="0000EE"/>
              </w:rPr>
              <w:t>Exhibits, Financial Statement Schedules</w:t>
            </w:r>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7">
              <w:r>
                <w:rPr>
                  <w:rFonts w:ascii="Arial" w:cs="Arial" w:eastAsia="Arial" w:hAnsi="Arial"/>
                  <w:sz w:val="18"/>
                  <w:szCs w:val="18"/>
                  <w:u w:val="single" w:color="auto"/>
                  <w:color w:val="0000EE"/>
                  <w:w w:val="89"/>
                </w:rPr>
                <w:t>85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50"/>
        </w:trPr>
        <w:tc>
          <w:tcPr>
            <w:tcW w:w="1880" w:type="dxa"/>
            <w:vAlign w:val="bottom"/>
            <w:gridSpan w:val="2"/>
          </w:tcPr>
          <w:p>
            <w:pPr>
              <w:spacing w:after="0"/>
              <w:rPr>
                <w:sz w:val="20"/>
                <w:szCs w:val="20"/>
                <w:color w:val="auto"/>
              </w:rPr>
            </w:pPr>
            <w:r>
              <w:rPr>
                <w:rFonts w:ascii="Arial" w:cs="Arial" w:eastAsia="Arial" w:hAnsi="Arial"/>
                <w:sz w:val="18"/>
                <w:szCs w:val="18"/>
                <w:color w:val="0000EE"/>
              </w:rPr>
              <w:t>Item 16</w:t>
            </w:r>
          </w:p>
        </w:tc>
        <w:tc>
          <w:tcPr>
            <w:tcW w:w="7480" w:type="dxa"/>
            <w:vAlign w:val="bottom"/>
            <w:gridSpan w:val="7"/>
          </w:tcPr>
          <w:p>
            <w:pPr>
              <w:spacing w:after="0"/>
              <w:rPr>
                <w:sz w:val="20"/>
                <w:szCs w:val="20"/>
                <w:color w:val="auto"/>
              </w:rPr>
            </w:pPr>
            <w:r>
              <w:rPr>
                <w:rFonts w:ascii="Arial" w:cs="Arial" w:eastAsia="Arial" w:hAnsi="Arial"/>
                <w:sz w:val="18"/>
                <w:szCs w:val="18"/>
                <w:color w:val="0000EE"/>
              </w:rPr>
              <w:t>Form 10-K Summary</w:t>
            </w:r>
          </w:p>
        </w:tc>
        <w:tc>
          <w:tcPr>
            <w:tcW w:w="520" w:type="dxa"/>
            <w:vAlign w:val="bottom"/>
            <w:gridSpan w:val="2"/>
          </w:tcPr>
          <w:p>
            <w:pPr>
              <w:jc w:val="center"/>
              <w:ind w:left="50"/>
              <w:spacing w:after="0"/>
              <w:rPr>
                <w:rFonts w:ascii="Arial" w:cs="Arial" w:eastAsia="Arial" w:hAnsi="Arial"/>
                <w:sz w:val="18"/>
                <w:szCs w:val="18"/>
                <w:u w:val="single" w:color="auto"/>
                <w:color w:val="0000EE"/>
                <w:w w:val="89"/>
              </w:rPr>
            </w:pPr>
            <w:hyperlink w:anchor="page89">
              <w:r>
                <w:rPr>
                  <w:rFonts w:ascii="Arial" w:cs="Arial" w:eastAsia="Arial" w:hAnsi="Arial"/>
                  <w:sz w:val="18"/>
                  <w:szCs w:val="18"/>
                  <w:u w:val="single" w:color="auto"/>
                  <w:color w:val="0000EE"/>
                  <w:w w:val="89"/>
                </w:rPr>
                <w:t>87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80"/>
          </w:cols>
          <w:pgMar w:left="940" w:top="553" w:right="10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forward-looking statements include, among other things, the effect of the novel coronavirus ("COVID-19") on our business, financial condition and results of operations, statements about our ability to continue to operate at a profit, our ability to maintain current operation levels, our ability to maintain and gain market acceptance for our products or new products, our ability to capitalize on attractive opportunities, our ability to respond to competition and changes in the economy, unexpected costs, charges or expenses resulting from the Acquisition (as defined herein), failure to realize the anticipated benefits of the Acquisition, difficulties and delays in achieving the synergies and cost savings in connection with the Acquisition, changes in the business environment in which we operate including general financial, economic, capital market, regulatory and political conditions affecting us and the industry in which we operate, changes in consumer preferences and purchasing habits, our ability to maintain adequate product inventory levels to timely supply customer orders, the effect of the Tax Cuts and Jobs Act of 2017 on our business,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or of Quest’s (as defined herein) management team,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Simply Good Foods Company (“Simply Good Foods”) was formed on March 30, 2017, to consummate a business combination (the “Business Combination”) between Conyers Park Acquisition Corp. (“Conyers Park”) and NCP-ATK Holdings, Inc. (“Atkins”), which occurred on July 7, 2017 (the “Closing Date”). As a result, Simply Good Foods owns all of the equity in Atkins.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Conyers Park, a special purpose acquisition company, was formed in 2016 for the purpose of effecting a merger, capital stock exchange, asset acquisition, stock purchase, reorganization or similar business combination with one or more businesses. Simply Good Foods is listed on the Nasdaq Capital Market under the symbol “SMPL.”</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Unless the context otherwise requires, “we,” “us,” “our” and the “Company” refer, for periods prior to the completion of the Business Combination, to Atkins and its subsidiaries, and, for periods upon or after the completion of the Business Combination, to The Simply Good Foods Company and its subsidiaries. In context, “Atkins” may also refer to the Atkins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Simply Good Foods Company is a highly-focused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nutrition bars, ready-to-drink (“RTD”) shakes, sweet and salty snacks and confectionery products marketed under the Atkins®, Atkins Endulge® and Quest® brand names. Simply Good Foods is poised to expand its wellness platform through innovation and organic growth along with investment opportunities in the snacking space and broader food category.</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snacking occasions have been on the rise in recent years as consumers desire more convenient, healthy and delicious foods, snacks and meal replacements. We believe our emphasis on product formats such as our nutrition and protein bars, cookies and RTD shakes positions us to fill important needs for consumers. We believe a number of existing and emerging consumer trends within the U.S. food and beverage industry will continue to both drive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and consumers’ moves toward limiting carbohydrate and sugar consumption, as well as the trend of consumers seeking to add convenient sources of protein and fiber to their diets.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our Atkins brand, we strive to offer a compelling line of nutrition bars, RTD shakes and confections, and with our Quest brand, we strive to offer an attractive line up of protein bars, cookies, pizza, protein chips, RTD shakes and confections, which target these existing and emerging consumer trends. Our sales, marketing and research and development capabilities enable us to distribute products to a national customer base across a spectrum of retail channels, including the mass merchandise, grocery and drug channels, club stores, e-commerce, and small format retail such as convenience stores and gas stations.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Simply Good Foods was formed in Delaware on March 30, 2017, to consummate the Business Combination, which occurred on July 7, 2017. As part of our strategy to become an industry leading snacking platform, in November 2019, we acquired Quest Nutrition, LLC. We refer to this transaction as the “Quest Acquisition.”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pursuing attractive run-rate cost synergies over time by leveraging efficiencies of scale with our legacy Atkins business, we completed the Quest Acquisition to realize several other potential benefits. Quest's products compete in many attractive, fast growing sub-segments within the nutritional snacking category and we expect Quest’s research and development insights and capabilities to benefit our broader business. Quest also has an extremely loyal following and strong appeal among consumers ages 18-35, which complements Atkins' strength among consumers ages 35+. We also believe the Quest Acquisition will allow us to benefit from Quest's existing relationships and effectiveness within certain channels of trade, such as e-commerce and the small format channel, and leverage Quest’s social media-based marketing capabilities. We believe we will also benefit from utilizing certain of Quest’s systems, such as its enterprise resource planning (ERP) platform, and associated reporting tools.</w:t>
      </w:r>
    </w:p>
    <w:p>
      <w:pPr>
        <w:spacing w:after="0" w:line="16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Our principal executive offices are located at 1225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Suite 1000, Denver, Colorado, 80202. Our telephone number is (303) 633-2840. We also maintain a second major location in El Segundo, California, which serves as the headquarters for our Quest brand’s marketing and research and development leadership along with additional personnel in other company-wide departments. We maintain a web site at </w:t>
      </w:r>
      <w:r>
        <w:rPr>
          <w:rFonts w:ascii="Arial" w:cs="Arial" w:eastAsia="Arial" w:hAnsi="Arial"/>
          <w:sz w:val="18"/>
          <w:szCs w:val="18"/>
          <w:i w:val="1"/>
          <w:iCs w:val="1"/>
          <w:u w:val="single" w:color="auto"/>
          <w:color w:val="auto"/>
        </w:rPr>
        <w:t>www.thesimplygoodfoodscompany.com</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provided a substantial stimulus and assistance package intended to address the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key products. Based on information available to us as of the end of our fiscal year, we believe we will be able to deliver our products to meet customer orders on a timely basis, and therefore, we expect our products will continue to be available for purchase to meet consumer meal replacement and snacking needs for the foreseeable future. We continue to monitor customer and consumer demand, and intend to adapt our plans as needed to continue to drive our business and meet our obligations during the evolving COVID-19 situation.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implemented remote work arrangements and restricted business travel in mid-March, and to date, these arrangements have not materially affected our ability to maintain our business operations, including the operation of financial reporting systems, internal control over financial reporting, and disclosure controls and procedures. As describe in more detail below under “Our Strengths,” we believe our lean infrastructure, which allows for significant flexibility, speed-to-market and minimal capital investment, has enabled us to adjust our expenditures to maintain cash flow until the continued reopening of the U.S. economy causes the return of shopping behavior to more normal patterns and our brand benefits of active nutrition and weight management drive greater better-for-you snacking and meal replacement usage occasions.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described in more detail under the caption “Management’s Discussion and Analysis of Financial Condition and Results of Operations,” our consolidated results of operations for the full fiscal year ended August 29, 2020 were affected by changes in consumer shopping and consumption behavior due to COVID-19. After the brief pantry loading period in mid-March 2020, the nutritional snacking category saw a marked decrease in shopping trips (particularly in the mass channel) and fewer usage occasions. This affected our portable and convenient on-the-go products, especially the nutrition and protein bar portion of our business for both our Atkins and Quest brands. As home confinement restrictions began to ease, shopping trips steadily improved from their lowest point and consumer interest in weight management and active nutrition began to improve.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fourth fiscal quarter of 2020, the improvement in category trends plateaued. While our Quest brand has outperformed its portion of the nutritious snaking segment, the performance of our Atkins brand, which is part of the weight management portion of the market, has remained slower due to the temporary softer interest in weight management for consumers, fewer on-the-go usage occasions and weakness in the mass channel that has experienced reduced shopper traffic during the pandemic.</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the severity and duration of the COVID-19 pandemic is uncertain and such uncertainty will likely continue during our 2021 fiscal year. We also believe demand for our products has strengthened, but there will likely continue to be irregularity in third party reported retail takeaway data for our products until the more fulsome reopening of the U.S. economy and the associated return of shopping behavior to more normal patterns and our brand benefits of active nutrition and weight management drive more better-for-you snacking and meal replacement usage occasions. Please also see the information under Item 1A. “Risk Factors” for additional information regarding the risks of pandemics, such as COVID-19.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SimplyProtein® Brand Sale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September 24, 2020, we sold the assets exclusively related to the Company’s SimplyProtein® brand of products to a newly formed entity led by the Company’s Canadian-based management team who had been responsible for this brand prior to the sale transaction. In addition to purchasing these assets, the buyer assumed certain liabilities related to the SimplyProtein brand’s business.</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transaction enables our management to focus its full time and our resources on our core Atkins® and Quest® branded businesses and other strategic initiatives. Information in this Form 10-K includes information with respect to the Simply Protein business as the sale was effective after the end of the 2020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Strengths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Powerful brands with strong consumer awareness and loyalty</w:t>
      </w:r>
      <w:r>
        <w:rPr>
          <w:rFonts w:ascii="Arial" w:cs="Arial" w:eastAsia="Arial" w:hAnsi="Arial"/>
          <w:sz w:val="18"/>
          <w:szCs w:val="18"/>
          <w:color w:val="auto"/>
        </w:rPr>
        <w:t>. We are a leader in the fast growing nutritional snacking category, and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Atkins and Quest brands are leading brands with scale in nutrition and protein bars for both brands, RTD shakes and confections for the Atkins brand, and chips, cookies and pizza for the Quest brand. Our highly focused snacking portfolio provides us with a leading position within retailers’ nutrition and wellness aisles, resulting in meaningful shelf space. Our brands are able to appeal to both consumers interested in an active lifestyle who are seeking protein rich, low-carb snacking options and weight management program consumers, which makes our brands highly attractive and strategic for a diverse set of retailers across various distribution channels.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41" w:right="339" w:bottom="1440" w:gutter="0" w:footer="0" w:header="0"/>
        </w:sectPr>
      </w:pPr>
    </w:p>
    <w:bookmarkStart w:id="6" w:name="page7"/>
    <w:bookmarkEnd w:id="6"/>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Aligned with consumer mega trends. </w:t>
      </w:r>
      <w:r>
        <w:rPr>
          <w:rFonts w:ascii="Arial" w:cs="Arial" w:eastAsia="Arial" w:hAnsi="Arial"/>
          <w:sz w:val="17"/>
          <w:szCs w:val="17"/>
          <w:color w:val="auto"/>
        </w:rPr>
        <w:t>Increasing global concern about growing rates of obesity and weight-related diseases and other health issues</w:t>
      </w:r>
      <w:r>
        <w:rPr>
          <w:rFonts w:ascii="Arial" w:cs="Arial" w:eastAsia="Arial" w:hAnsi="Arial"/>
          <w:sz w:val="17"/>
          <w:szCs w:val="17"/>
          <w:i w:val="1"/>
          <w:iCs w:val="1"/>
          <w:color w:val="auto"/>
        </w:rPr>
        <w:t xml:space="preserve"> </w:t>
      </w:r>
      <w:r>
        <w:rPr>
          <w:rFonts w:ascii="Arial" w:cs="Arial" w:eastAsia="Arial" w:hAnsi="Arial"/>
          <w:sz w:val="17"/>
          <w:szCs w:val="17"/>
          <w:color w:val="auto"/>
        </w:rPr>
        <w:t>has resulted in increased scientific, media and consumer focus on nutrition. Over 100 independent, peer reviewed, clinical studies show the benefits of controlling carbohydrates. Management believes that this focus is prompting consumers to rebalance their nutritional breakdown away from carbohydrates. In fact, 73% of consumers are seeking to lower their carbohydrate intake according to Health Focus International. Our brand attributes, “low carb,” “low sugar” and “protein rich” nutrition, are well aligned with consumer mega trends. In addition, we believe consumers’ eating habits are gradually shifting towards increased convenience, snacking and meal replacement. We also believe our portfolio of convenient and nutritious products and our ongoing effort to meet consumer demands for “cleaner labels,” which we define as products made with fewer, simpler and more recognizable ingredients, are strategically aligned with these trends.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Scalable snacking and food platform. </w:t>
      </w:r>
      <w:r>
        <w:rPr>
          <w:rFonts w:ascii="Arial" w:cs="Arial" w:eastAsia="Arial" w:hAnsi="Arial"/>
          <w:sz w:val="18"/>
          <w:szCs w:val="18"/>
          <w:color w:val="auto"/>
        </w:rPr>
        <w:t>We have been able to grow our product offerings for both of our nutritious snacking brands through our line</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and through acquisitions. Our in-house product development experience, combined with our outsourced manufacturing model, allow us to bring new products to market quickly. We pride ourselves on knowing our consumers and mining insights that lead to new products and ideas. We believe that we have the ability to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Asset-light business with strong cash generation</w:t>
      </w:r>
      <w:r>
        <w:rPr>
          <w:rFonts w:ascii="Arial" w:cs="Arial" w:eastAsia="Arial" w:hAnsi="Arial"/>
          <w:sz w:val="17"/>
          <w:szCs w:val="17"/>
          <w:color w:val="auto"/>
        </w:rPr>
        <w:t>. We retain core in-house capabilities including sales, marketing, brand management,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product development, and supply-chain expertise, while collaborating with a diversified pool of contract manufacturers and distributors to execute manufacturing and distribution. Outsourcing these competencies allows us to focus our efforts on innovation, marketing and sales to meet consumer demands. Our lean infrastructure allows for significant flexibility, speed-to-market and minimal capital investment, which translates into relatively consistent and robust free cash flow generation over time, driven by strong gross margins.</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Experienced leadership team</w:t>
      </w:r>
      <w:r>
        <w:rPr>
          <w:rFonts w:ascii="Arial" w:cs="Arial" w:eastAsia="Arial" w:hAnsi="Arial"/>
          <w:sz w:val="16"/>
          <w:szCs w:val="16"/>
          <w:color w:val="auto"/>
        </w:rPr>
        <w:t>. Simply Good Foods has an experienced team of industry veterans with extensive experience across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branded consumer products, food and nutrition categories. For example, our President and Chief Executive Officer, Joseph Scalzo, has significant experience operating packaged foods businesses, having served in various leadership roles at Dean Foods, WhiteWave Foods, The Gillette Company, The Coca-Cola Company, and The Procter &amp; Gamble Company. Our management team's extensive experience is complemented by the significant industry expertise of our directors James Kilts, the former Chief Executive Officer of The Gillette Company and Nabisco, and former President of Kraft USA and Oscar Mayer, and David West, the former Chief Executive Officer of Big Heart Pet Brands and The Hershey Company. Our management team’s deep expertise and proven record of accomplishment in managing brands and operating packaged food businesses is a key driver of our success and positions Simply Good Foods as an attractive vehicle for future long-term growth within the snacking space and broader food category.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Leverage platform to expand in attractive food and snacking categories</w:t>
      </w:r>
      <w:r>
        <w:rPr>
          <w:rFonts w:ascii="Arial" w:cs="Arial" w:eastAsia="Arial" w:hAnsi="Arial"/>
          <w:sz w:val="16"/>
          <w:szCs w:val="16"/>
          <w:color w:val="auto"/>
        </w:rPr>
        <w:t>. Management believes the fragmented snacking category 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opportunity for consolidation and the opportunity to build, through disciplined acquisitions, a leading platform in the snacking space and broader food category. As a leader in nutritious snacking, we believe we have the unique capability to leverage our operating platform and customer relationships to expand beyond the Atkins and Quest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Innovate and expand the portfolio of product offerings to meet consumer demand for “cleaner labels,” higher protein products and new product forms. </w:t>
      </w:r>
      <w:r>
        <w:rPr>
          <w:rFonts w:ascii="Arial" w:cs="Arial" w:eastAsia="Arial" w:hAnsi="Arial"/>
          <w:sz w:val="17"/>
          <w:szCs w:val="17"/>
          <w:color w:val="auto"/>
        </w:rPr>
        <w:t>Management expects that our ongoing efforts to meet consumer demand for “cleaner labels” will be effective at reaching self-directed low</w:t>
      </w:r>
      <w:r>
        <w:rPr>
          <w:rFonts w:ascii="Arial" w:cs="Arial" w:eastAsia="Arial" w:hAnsi="Arial"/>
          <w:sz w:val="17"/>
          <w:szCs w:val="17"/>
          <w:i w:val="1"/>
          <w:iCs w:val="1"/>
          <w:color w:val="auto"/>
        </w:rPr>
        <w:t xml:space="preserve"> </w:t>
      </w:r>
      <w:r>
        <w:rPr>
          <w:rFonts w:ascii="Arial" w:cs="Arial" w:eastAsia="Arial" w:hAnsi="Arial"/>
          <w:sz w:val="17"/>
          <w:szCs w:val="17"/>
          <w:color w:val="auto"/>
        </w:rPr>
        <w:t>carbohydrate consumers who are focused on overall health, wellness and “clean eating,” as part of their active lifestyle or for weight management. Management is committed to continually finding new and innovative formulations to reduce the number of product ingredients, as well as using “better for you” ingredients like nuts, fiber and whey protein in its existing products, while maintaining and improving taste and quality. In addition, we intend to continue to enhance, strengthen and expand our product offerings with new and innovative flavors and forms, simple ingredients and packaging alternatives, all while maintaining a commitment to delivering products that meet our nutritional profile and provide the convenience that consumers crave. Our in-house research and development laboratories allow us to develop new products internally and bring them to market quickly through our contract manufacturing network without diverging from high standards of taste, quality, safety and nutritional content. Additionally, we intend to satisfy developing and changing consumer preferences through the pursuit of merger and acquisition transactions.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Expand distribution in white space opportunities. </w:t>
      </w:r>
      <w:r>
        <w:rPr>
          <w:rFonts w:ascii="Arial" w:cs="Arial" w:eastAsia="Arial" w:hAnsi="Arial"/>
          <w:sz w:val="17"/>
          <w:szCs w:val="17"/>
          <w:color w:val="auto"/>
        </w:rPr>
        <w:t>In the fifty-two week period ended August 29, 2020, approximately 75% Atkins’ gross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were through the mass retailer and grocery distribution channels and approximately 52% of Quest’s gross sales in the U.S. were through the mass retailer and grocery distribution channels. Our management believes there is opportunity for the brand to penetrate further those channels as well as other distribution channels such as convenience and club stores. In addition, while shoppers have become heavier consumers of e-commerce purchases generally, only approximately 9% of Atkins’ gross sales for the fifty-two week period 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August 29, 2020 were through its e-commerce channel, while approximately 21% of Quest’s gross sales for the same period were through its e-commerce channel. We intend to leverage our brand recognition to develop further the distribution channels through which we reach consumers, including through the continued expansion of the e-commerce channel.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Continue our marketing efforts to our loyal consumer bases. </w:t>
      </w:r>
      <w:r>
        <w:rPr>
          <w:rFonts w:ascii="Arial" w:cs="Arial" w:eastAsia="Arial" w:hAnsi="Arial"/>
          <w:sz w:val="18"/>
          <w:szCs w:val="18"/>
          <w:color w:val="auto"/>
        </w:rPr>
        <w:t>We intend to continue to expand our marketing efforts to retain our existing loyal</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base for both the Atkins and Quest brands. Consumers who purchase our products have shown a strong affinity for both the Atkins and Quest brands as evidenced by a relatively high level of servings per buyer, per year. For our Atkins brand, our historic core target consumer base has been individuals participating in branded weight management programs and for the Quest brand, it has been individuals pursuing a performance-based, active and athletic lifestyle.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both the Atkins and the Quest brands, we have an active and growing digital and social presence, using a comprehensive approach of search, banner and search engine optimization efforts. We are a leader in social media, with a top-tier presence on Facebook, Instagram, Pinterest, Twitter and YouTube. We also have a growing network of social influencers, who promote our products in their targeted social media posts. We believe that social media is a cost-effective way of continuing to attract and retain our consumers. We believe that our ongoing efforts to educate consumers about the benefits of a lower carbohydrate lifestyle will further reinforce our brands. For our Atkins brand, we use targeted broadcast and streaming television and print ads with a celebrity-based campaign that attempts to motivate potential programmatic weight loss consumers to try the Atkins approach to healthier eating and weight loss as these Atkins consumers are our most loyal, profitable and frequent purchasers. For our Quest brand, we use targeted streaming television ads and an extensive network of social media influencers who prompt our Quest brand products through their online posts to motivate new buyers and new product introductions.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Further develop our brand marketing strategies to reach consumers beyond our core historic buyers. </w:t>
      </w:r>
      <w:r>
        <w:rPr>
          <w:rFonts w:ascii="Arial" w:cs="Arial" w:eastAsia="Arial" w:hAnsi="Arial"/>
          <w:sz w:val="18"/>
          <w:szCs w:val="18"/>
          <w:color w:val="auto"/>
        </w:rPr>
        <w:t>We intend to continue to make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our approach to consumer outreach to attract consumers beyond our historic core buyers. For the Atkins brand, we intend to continue our marketing efforts to attract self-directed low carbohydrate eaters (those individuals not on a program diet) who buy and consume our Atkins products, despite the fact that historically, Atkins’ marketing and advertising have not been targeted towards them. For our Quest brand, we intend to continue our marketing efforts to reach consumers who are seeking products that are aligned with their choice to pursue a healthy and active lifestyle. We also note the Atkins brand has approximately 80% aided brand awareness with U.S. consumers and the Quest brand has approximately 65% aided brand awareness with U.S. consumers.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Vision and 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vision is to lead the nutritional snacking movement with trusted brands that offer a variety of convenient, innovative, great-tasting, better-for-you snacks and meal replacements. Our mission is to empower healthy lives through smart and satisfying nutrition.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Products - Atkins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core Atkins brand products consist of nutrition bars, RTD shakes and confections.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Nutrition Bars. </w:t>
      </w:r>
      <w:r>
        <w:rPr>
          <w:rFonts w:ascii="Arial" w:cs="Arial" w:eastAsia="Arial" w:hAnsi="Arial"/>
          <w:sz w:val="18"/>
          <w:szCs w:val="18"/>
          <w:color w:val="auto"/>
        </w:rPr>
        <w:t>To keep on-the-go consumers energized and fueled, our Atkins nutrition bars offer a convenient and effective solution,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with protein, fiber and a delicious taste. Atkins offers two main types of nutrition bars: Atkins Meal Bars and Atkins Snack Bars. Atkins Meal Bars contain 13 to 17 grams of protein, and are available in more than 10 different flavors. With 2 to 4 grams of net carbs, Atkins Snack Bars contain 7 to 13 grams of protein. Atkins offers 15 varieties of Atkins Snack Bars.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RTD Shakes. </w:t>
      </w:r>
      <w:r>
        <w:rPr>
          <w:rFonts w:ascii="Arial" w:cs="Arial" w:eastAsia="Arial" w:hAnsi="Arial"/>
          <w:sz w:val="18"/>
          <w:szCs w:val="18"/>
          <w:color w:val="auto"/>
        </w:rPr>
        <w:t>Our rich and creamy Atkins RTD shakes contain 10 to 15 grams of protein, as well as other important vitamins and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 variety of flavors, including cookies and crème, café caramel and creamy chocolate, Atkins’ RTD shakes are made with high quality ingredients and are designed to provide energy balance through the day. Our Atkins’ Plus RTD shakes contain 30 grams of protein, for our consumers seeking higher protein content.</w:t>
      </w:r>
    </w:p>
    <w:p>
      <w:pPr>
        <w:spacing w:after="0" w:line="18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i w:val="1"/>
          <w:iCs w:val="1"/>
          <w:color w:val="auto"/>
        </w:rPr>
        <w:t xml:space="preserve">Confections. </w:t>
      </w:r>
      <w:r>
        <w:rPr>
          <w:rFonts w:ascii="Arial" w:cs="Arial" w:eastAsia="Arial" w:hAnsi="Arial"/>
          <w:sz w:val="18"/>
          <w:szCs w:val="18"/>
          <w:color w:val="auto"/>
        </w:rPr>
        <w:t>We believe our Atkins Endulge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line, which is designed to satisfy consumers’ sweet cravings, and which we call Treats,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delicious desserts without all of the added sugar. Atkins offers a variety of different Treats, such as peanut butter cups and pecan caramel clusters, each with only 1 gram of sugar or less and low net carbs, providing consumers with the option to indulge.</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Licensed Frozen Meals. </w:t>
      </w:r>
      <w:r>
        <w:rPr>
          <w:rFonts w:ascii="Arial" w:cs="Arial" w:eastAsia="Arial" w:hAnsi="Arial"/>
          <w:sz w:val="18"/>
          <w:szCs w:val="18"/>
          <w:color w:val="auto"/>
        </w:rPr>
        <w:t>Atkins signed a renewable seven-year license agreement with Bellisio Foods, Inc., or “Bellisio”, effective September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license its frozen meals business. Bellisio manufactures, distributes, markets, promotes and sells Atkins frozen food products under the Atkins licensed marks. These products include Atkins branded frozen breakfasts, lunches and dinners. With a large selection of meal types, including pizzas, breakfast bowls and more, we believe our frozen meals offer a great way to learn the basics of protein rich, low-carbohydrate and low-sugar eating in a simple, convenient and delicious way. The scope of the license includes all frozen meals across all retail channels (excluding online), in the U.S., Canada and Mexico.</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341" w:right="339" w:bottom="1440" w:gutter="0" w:footer="0" w:header="0"/>
          <w:type w:val="continuous"/>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Recipes. </w:t>
      </w:r>
      <w:r>
        <w:rPr>
          <w:rFonts w:ascii="Arial" w:cs="Arial" w:eastAsia="Arial" w:hAnsi="Arial"/>
          <w:sz w:val="18"/>
          <w:szCs w:val="18"/>
          <w:color w:val="auto"/>
        </w:rPr>
        <w:t>While provided free of charge, we also offer over 1,600 protein rich, low-carbohydrate and low-sugar recipes designed to help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and maintain a healthy lifestyle, while still enjoying delicious food.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Products - Quest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core Quest brand products consist of protein bars, cookies, chips, thin crust pizza and RTDs.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Protein Bars. </w:t>
      </w:r>
      <w:r>
        <w:rPr>
          <w:rFonts w:ascii="Arial" w:cs="Arial" w:eastAsia="Arial" w:hAnsi="Arial"/>
          <w:sz w:val="18"/>
          <w:szCs w:val="18"/>
          <w:color w:val="auto"/>
        </w:rPr>
        <w:t>To keep on-the-go consumers energized and fueled, our Quest protein bars offer a convenient and effective solution,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with protein, fiber and a delicious taste. The typical Quest nutrition bar profile contains about 20 grams of protein, 5 grams or less of net carbs and about 1 gram of sugar. Quest offers more than 25 different flavors of nutrition bars.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Cookies</w:t>
      </w:r>
      <w:r>
        <w:rPr>
          <w:rFonts w:ascii="Arial" w:cs="Arial" w:eastAsia="Arial" w:hAnsi="Arial"/>
          <w:sz w:val="18"/>
          <w:szCs w:val="18"/>
          <w:color w:val="auto"/>
        </w:rPr>
        <w:t>. First launched in 2018, Quest’s cookie products are a convenient source of high protein combined with low net carbs and low sugar.</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 variety of flavors including Chocolate Chip, Peanut Butter, Oatmeal Raisin and Snickerdoodle, Quest’s cookies typically contain about 15 grams of protein, 4 grams or less of net carbs and less than 1 gram of sugar.</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Chips</w:t>
      </w:r>
      <w:r>
        <w:rPr>
          <w:rFonts w:ascii="Arial" w:cs="Arial" w:eastAsia="Arial" w:hAnsi="Arial"/>
          <w:sz w:val="16"/>
          <w:szCs w:val="16"/>
          <w:color w:val="auto"/>
        </w:rPr>
        <w:t>. Quest’s protein chips, including the tortilla-style chips launched in spring 2018, quickly became a very high selling product which offers a</w:t>
      </w:r>
      <w:r>
        <w:rPr>
          <w:rFonts w:ascii="Arial" w:cs="Arial" w:eastAsia="Arial" w:hAnsi="Arial"/>
          <w:sz w:val="16"/>
          <w:szCs w:val="16"/>
          <w:i w:val="1"/>
          <w:iCs w:val="1"/>
          <w:color w:val="auto"/>
        </w:rPr>
        <w:t xml:space="preserve"> </w:t>
      </w:r>
      <w:r>
        <w:rPr>
          <w:rFonts w:ascii="Arial" w:cs="Arial" w:eastAsia="Arial" w:hAnsi="Arial"/>
          <w:sz w:val="16"/>
          <w:szCs w:val="16"/>
          <w:color w:val="auto"/>
        </w:rPr>
        <w:t>very attractive nutrition profile when compare to conventional chip products. Offering in flavors including nacho cheese, ranch, chili lime BBQ, sour cream</w:t>
      </w:r>
    </w:p>
    <w:p>
      <w:pPr>
        <w:ind w:firstLine="8"/>
        <w:spacing w:after="0" w:line="260" w:lineRule="auto"/>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onion and cheddar &amp; sour cream, Quest’s chips typically contain about 18 grams of protein, about 4 grams of net carbs, and around 6 grams of fat compared to 2 grams of protein, 15 grams of net carbs and 8 grams of fat for a well-known leading conventional brand.</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Pizza</w:t>
      </w:r>
      <w:r>
        <w:rPr>
          <w:rFonts w:ascii="Arial" w:cs="Arial" w:eastAsia="Arial" w:hAnsi="Arial"/>
          <w:sz w:val="16"/>
          <w:szCs w:val="16"/>
          <w:color w:val="auto"/>
        </w:rPr>
        <w:t>. Launched in summer 2018, Quest’s thin crust frozen pizza offers consumers a pizza experience with an improved nutritional profile versus</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leading frozen pizza brands. Sold in a variety of topping combinations including 4-cheese, uncured pepperoni and supreme, Quest’s pizzas feature a nutrition profile that generally supplies about 29 grams of protein, 6 grams of net carbs or less, around 3 grams of sugar and about 18 grams of fiber compared to 12 grams of protein, 32 grams of net carbs, 2 grams of sugar and 1 gram of fiber for a well-known leading frozen pizza brand.</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RTD Shakes. </w:t>
      </w:r>
      <w:r>
        <w:rPr>
          <w:rFonts w:ascii="Arial" w:cs="Arial" w:eastAsia="Arial" w:hAnsi="Arial"/>
          <w:sz w:val="16"/>
          <w:szCs w:val="16"/>
          <w:color w:val="auto"/>
        </w:rPr>
        <w:t>Quest’s RTD shakes contain 30 grams of dairy protein, a good source of iron and are rich in calcium. Available in vanilla, chocolate</w:t>
      </w:r>
      <w:r>
        <w:rPr>
          <w:rFonts w:ascii="Arial" w:cs="Arial" w:eastAsia="Arial" w:hAnsi="Arial"/>
          <w:sz w:val="16"/>
          <w:szCs w:val="16"/>
          <w:i w:val="1"/>
          <w:iCs w:val="1"/>
          <w:color w:val="auto"/>
        </w:rPr>
        <w:t xml:space="preserve"> </w:t>
      </w:r>
      <w:r>
        <w:rPr>
          <w:rFonts w:ascii="Arial" w:cs="Arial" w:eastAsia="Arial" w:hAnsi="Arial"/>
          <w:sz w:val="16"/>
          <w:szCs w:val="16"/>
          <w:color w:val="auto"/>
        </w:rPr>
        <w:t>and salted caramel flavors, Quest’s RTD shakes are made with high quality ingredients and are designed to provide energy balance through the day.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Advertising and Consumer Outreach</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marketing efforts are designed to increase consumer awareness of and demand for our products. We employ a broad mix of marketing, including coupons, in-store product sampling, consumer and trade events, advertising (television, online and print) and recipe and food plans, to target our consumers. We also use online resources, including social media sites, to communicate with consumers and build interest in our brands. We use coupons (freestanding insert newspaper, store register, on-pack, online and direct mail coupons) to help stimulate product trial and repeat purchases by providing consumers with economic incentives. Our advertising and use of online resources is aimed at increasing consumer preference and usage of our brands. Our trade promotions focus on obtaining retail feature and display support, achieving optimum retail product prices and securing retail shelf space. The mix of these marketing activities varies between the Atkins and Quest brands.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devoted portions of our respective brand websites to interactive communities designed to promote consumer dialogue about the nutritional values and benefits of our products and suggestions for their use.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teaching consumers how to make smarter food choices and the nutritional qualities of our products. We also provide access to consumer service representatives to answer questions and educate consumers on nutrition, new products and developments.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both brands, in order to facilitate awareness and knowledge of the health benefits of a low-carbohydrate, low-sugar and protein rich eating approach,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both brands, we have built large consumer followings.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fifty-two week period ended August 29, 2020, approximately 29% of Selling and marketing expenses were spent on television advertising for the Atkins' brand.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reducing the number of ingredients to meet consumer demands for cleaner labels.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believes that an important component of meeting consumers' nutritional needs is a focus on evolving current products and creating new products with cleaner and fewer ingredients. Accordingly, we are committed to continually finding new and innovative formulations to reduce the number of ingredients in our products, as well as using “better-for-you” ingredients like nuts, fiber and whey protein, while continually improving taste and quality.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maintain an in-house research and development team as well as market research and consumer insight capabilities. Through our research and development labs in El Segundo, California and Louisville, Colorado, we control our brands’ innovations and product formulations from the ground up. By developing new products, prototypes and adjacencies in-house, we facilitate our core competencies in product innovation, and enhance our speed to market.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as part of our innovation process, we collaborate with nationally recognized third-party flavor houses and product development firms for new product development and then conduct our own proprietary consumer research to identify and improve upon new product concepts. We plan to continue to conduct extensive consumer research in order to develop successful new products including product flavor and concept testing, marketing and trend analysis and consumer prototype testing.</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also believes the fragmented snacking category presents a substantial opportunity for consolidation and the opportunity to build, through disciplined acquisitions, a leading platform in the snacking space and broader food category. As a leader in nutritious snacking, management believes we have the unique capability to leverage our operating platform and customer relationships to expand beyond our current brands. Our experienced management team has deep expertise in brand building to expand the business into additional brands and products in the snacking segment.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own numerous domestic and international trademarks and other proprietary rights that are important to our business. Depending upon the jurisdiction, trademarks are valid as long as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to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compete primarily with nutritional snacking brands in large retail and ecommerce environments. The nutritional snacking industry is fragmented and highly competitive, and includes a number of diverse competitors. Our identified branded competitors include, but are not limited to, CLIF Bar, KIND bars, Special K, Slimfast, Muscle Milk, ONE bar, Pure Protein, Premier Nutrition and think!.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principal competitive factors in the nutritional snacking and weight management industries are:</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taste;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low-carbohydrate, low-sugar, protein rich versus other nutritional approaches;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1" w:right="339" w:bottom="1440" w:gutter="0" w:footer="0" w:header="0"/>
        </w:sectPr>
      </w:pPr>
    </w:p>
    <w:bookmarkStart w:id="10" w:name="page11"/>
    <w:bookmarkEnd w:id="10"/>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variety and packaging;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retailer shelf space.</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we currently compete effectively with respect to each of these factors. However, a number of companies in the nutritional snacking and weight management industry have greater financial resources, more comprehensive product lines, broader market presence, longer standing relationships with distributors and suppliers, longer operating histories, greater distribution capabilities, stronger brand recognition and greater marketing resources than we have.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an asset-light business model. For the manufacture of our products, we subcontract with contract manufacturers, and as a result, our operations are highly flexible and require minimal capital expenditure. The supply chain for our international business also uses exclusively contract manufacturers, and is completely separate from our North American supply chain, which is described below.</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U.S. Supply Chain</w:t>
      </w:r>
      <w:r>
        <w:rPr>
          <w:rFonts w:ascii="Arial" w:cs="Arial" w:eastAsia="Arial" w:hAnsi="Arial"/>
          <w:sz w:val="17"/>
          <w:szCs w:val="17"/>
          <w:color w:val="auto"/>
        </w:rPr>
        <w:t>. The majority of our products are shipped directly to one central warehouse for the Atkins brand and one for the Quest brand,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which is a leased warehouse managed by the same third-party logistics provider who then distributes products to customers. We are in the process of combining these two warehouses into a single warehouse, which we expect to complete in 2021. For certain customers, RTD shakes are shipped directly from the contract manufacturer to the customer's location. In addition, our use of demand forecasting and vendor-managed inventory systems enable us to meet shipping demands, ensure timely delivery of orders and offer service levels to our customers.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Sourcing. </w:t>
      </w:r>
      <w:r>
        <w:rPr>
          <w:rFonts w:ascii="Arial" w:cs="Arial" w:eastAsia="Arial" w:hAnsi="Arial"/>
          <w:sz w:val="16"/>
          <w:szCs w:val="16"/>
          <w:color w:val="auto"/>
        </w:rPr>
        <w:t>The principal ingredients to manufacture our products include chocolate and other coatings, dairy, proteins, soy and nuts. Our packaging</w:t>
      </w:r>
      <w:r>
        <w:rPr>
          <w:rFonts w:ascii="Arial" w:cs="Arial" w:eastAsia="Arial" w:hAnsi="Arial"/>
          <w:sz w:val="16"/>
          <w:szCs w:val="16"/>
          <w:i w:val="1"/>
          <w:iCs w:val="1"/>
          <w:color w:val="auto"/>
        </w:rPr>
        <w:t xml:space="preserve"> </w:t>
      </w:r>
      <w:r>
        <w:rPr>
          <w:rFonts w:ascii="Arial" w:cs="Arial" w:eastAsia="Arial" w:hAnsi="Arial"/>
          <w:sz w:val="16"/>
          <w:szCs w:val="16"/>
          <w:color w:val="auto"/>
        </w:rPr>
        <w:t>supplies consist of flexible film, cartons, tetra paper and corrugate. All of our core ingredients are purchased according to rigorous standards to assure food quality and safety. These core ingredients are generally available in adequate quantities from several suppliers, and to date, core ingredient supplies have not been affected by the economic effects related to the COVID-19 pandemic. We competitively bid with major suppliers to source competitively priced, quality ingredients and packaging that meet our standards. For certain ingredients such as milk protein concentrate, whey proteins, chocolate coatings, some nuts, soy crisps and liquid soy, we establish direct purchasing agreements with suppliers, under which our contract manufacturers source ingredients to produce finished products. We also actively manage the cost of our packaging needs, such as corrugated, film, printed boxes and tetra cartons.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We rely on contract manufacturers to manufacture our products. The contract manufacturers schedule and purchase ingredient</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independently, according to parameters set in their contracts and forecasts we provide. Our contract manufacturers are regularly audited by third parties and are required to follow rigorous food safety guidelines. We believe our contract manufacturers have capacity to meet our anticipated supply needs, although short-term high demand can cause disruptions. We monitor both near-term and long-term capacity as well as fulfillment rates and overall performance of our manufacturing partners and qualify alternate suppliers as needed. In general, we receive finished products from our contract manufacturers, which includes all packaging and ingredients used, as well as an agreed-upon tolling charge for each item produced. These finished products are then shipped directly to our respective distribution centers, or shipped directly from the contract manufacturer to the customer, in the case of RTDs to select customers.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U.S. Storage. </w:t>
      </w:r>
      <w:r>
        <w:rPr>
          <w:rFonts w:ascii="Arial" w:cs="Arial" w:eastAsia="Arial" w:hAnsi="Arial"/>
          <w:sz w:val="18"/>
          <w:szCs w:val="18"/>
          <w:color w:val="auto"/>
        </w:rPr>
        <w:t>We have two leased distribution centers in Greenfield, Indiana, referred to collectively as the Distribution Centers, where we store</w:t>
      </w:r>
      <w:r>
        <w:rPr>
          <w:rFonts w:ascii="Arial" w:cs="Arial" w:eastAsia="Arial" w:hAnsi="Arial"/>
          <w:sz w:val="18"/>
          <w:szCs w:val="18"/>
          <w:i w:val="1"/>
          <w:iCs w:val="1"/>
          <w:color w:val="auto"/>
        </w:rPr>
        <w:t xml:space="preserve"> </w:t>
      </w:r>
      <w:r>
        <w:rPr>
          <w:rFonts w:ascii="Arial" w:cs="Arial" w:eastAsia="Arial" w:hAnsi="Arial"/>
          <w:sz w:val="18"/>
          <w:szCs w:val="18"/>
          <w:color w:val="auto"/>
        </w:rPr>
        <w:t>finished goods. The Distribution Centers have approximately 579,500 square feet of floor space between the two locations.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For the majority of our customers, our logistics provider distributes the finished goods via truckloads from our Distribution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first flow through regional terminals. At the terminals, our orders are consolidated with other company’s products being shipped to the customer. The finished goods are then distributed to retailer distribution centers. The regular weekly shipments and consolidation have reduced our costs. For some products, we ship directly to customers from our contract manufacturer through a third-party logistics provider. In addition, in some instances, the customer will arrange to pick-up directly finished products from our warehouse.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Retailers. </w:t>
      </w:r>
      <w:r>
        <w:rPr>
          <w:rFonts w:ascii="Arial" w:cs="Arial" w:eastAsia="Arial" w:hAnsi="Arial"/>
          <w:sz w:val="18"/>
          <w:szCs w:val="18"/>
          <w:color w:val="auto"/>
        </w:rPr>
        <w:t>We have a wide variety of customers across the mass, food, club, drug, and e-commerce channels. A substantial majority of our sales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a limited number of retailers. Sales to our largest retailer, Walmart, represented approximately 34% of consolidated sales in fiscal year 2020, of which approximately 25% is through their mass retail channel and approximately 8% is through their club channel. Sales to our next largest retailer, Amazon, represented approximately 10% of consolidated sales in fiscal year 2020. No other customer represents more than 10% of sales. For addition information, please see the risk factor “</w:t>
      </w:r>
      <w:r>
        <w:rPr>
          <w:rFonts w:ascii="Arial" w:cs="Arial" w:eastAsia="Arial" w:hAnsi="Arial"/>
          <w:sz w:val="18"/>
          <w:szCs w:val="18"/>
          <w:i w:val="1"/>
          <w:iCs w:val="1"/>
          <w:color w:val="auto"/>
        </w:rPr>
        <w:t>We rely on sales to a limited number of retailers for a substantial majority of our net sales, and losing one</w:t>
      </w:r>
      <w:r>
        <w:rPr>
          <w:rFonts w:ascii="Arial" w:cs="Arial" w:eastAsia="Arial" w:hAnsi="Arial"/>
          <w:sz w:val="18"/>
          <w:szCs w:val="18"/>
          <w:color w:val="auto"/>
        </w:rPr>
        <w:t xml:space="preserve"> </w:t>
      </w:r>
      <w:r>
        <w:rPr>
          <w:rFonts w:ascii="Arial" w:cs="Arial" w:eastAsia="Arial" w:hAnsi="Arial"/>
          <w:sz w:val="18"/>
          <w:szCs w:val="18"/>
          <w:i w:val="1"/>
          <w:iCs w:val="1"/>
          <w:color w:val="auto"/>
        </w:rPr>
        <w:t>or more such retailers may materially harm our business. In addition, we maintain “at will” contracts with these retailers, which do not require recurring or minimum purchase amounts of our products.”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i w:val="1"/>
          <w:iCs w:val="1"/>
          <w:color w:val="auto"/>
        </w:rPr>
        <w:t>E-Commerce</w:t>
      </w:r>
      <w:r>
        <w:rPr>
          <w:rFonts w:ascii="Arial" w:cs="Arial" w:eastAsia="Arial" w:hAnsi="Arial"/>
          <w:sz w:val="18"/>
          <w:szCs w:val="18"/>
          <w:color w:val="auto"/>
        </w:rPr>
        <w:t>. We aim to ensure that our consumers may access our brand in the way that best suits their lifestyles by offering home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We sell our products on Atkins.com, questnutrition.com as well as Amazon.com.</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Food Safety and Quality. </w:t>
      </w:r>
      <w:r>
        <w:rPr>
          <w:rFonts w:ascii="Arial" w:cs="Arial" w:eastAsia="Arial" w:hAnsi="Arial"/>
          <w:sz w:val="17"/>
          <w:szCs w:val="17"/>
          <w:color w:val="auto"/>
        </w:rPr>
        <w:t>Food safety and quality is a top priority and we dedicate substantial resources to ensure that consumers receive safe, high</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Our products are also sold outside North America. Our top international sales are in Australia/New Zealand and the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fifty-two week period ended August 29, 2020, international net sales represented approximately 3% of total net sales. Our international supply chain is self-sufficient and run by a lean team solely focused on international operations. Similar to U.S. operations, international operations utilize contract manufacturers for products, and distributors for distributions and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recently announced restructuring and new organization design creates an efficient and fully integrated organization that will continue to support and build multi-category nutritional snacking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Compliance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including, among others, the U.S. Federal Trade Commission (“FTC”), the U.S. Food and Drug Administration (“FDA”), the United States Department of Agriculture (“USDA”), the U.S. Environmental Protection Agency and the Occupational Safety and Health Administration and similar state and local agencies. Under various statutes, these agencies, among other things, prescribe the requirements and establish the standards for quality and safety and regulate marketing and advertising to consumers. Certain of these agencies, in certain circumstances, must not only approve products, but also review the manufacturing processes and facilities used to produce these products before they can be marketed in the United States.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Food-Related Regulations</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manufacturer and distributor of food products, we are subject to a number of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19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regulates manufacturing practices for foods through its current good manufacturing practices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specifies the standards of identity for certain foods, including many of the products we sell;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prescribes the format and content of certain information required to appear on food product labels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the Food Safety Modernization Act of 2011,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we are in material compliance with the environmental regulations applicable to our business. We do not expect the cost of our continued compliance to have a material effect on our capital expenditures, earnings, cash flows or competitive position in the foreseeable future. In addition, any asset retirement obligations are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Labeling Regulations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August 29, 2020, we had approximately 300 employees, including international employees. None of our U.S. employees are represented by a labor union or are covered by a collective bargaining agreement. We believe that we have good relations with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file annual, quarterly and current reports, proxy statements and other information with the SEC.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The address of this Internet site is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We also make available free of charge through our website at </w:t>
      </w:r>
      <w:r>
        <w:rPr>
          <w:rFonts w:ascii="Arial" w:cs="Arial" w:eastAsia="Arial" w:hAnsi="Arial"/>
          <w:sz w:val="16"/>
          <w:szCs w:val="16"/>
          <w:i w:val="1"/>
          <w:iCs w:val="1"/>
          <w:u w:val="single" w:color="auto"/>
          <w:color w:val="auto"/>
        </w:rPr>
        <w:t>www.thesimplygoodfoodscompany.com</w:t>
      </w:r>
      <w:r>
        <w:rPr>
          <w:rFonts w:ascii="Arial" w:cs="Arial" w:eastAsia="Arial" w:hAnsi="Arial"/>
          <w:sz w:val="16"/>
          <w:szCs w:val="16"/>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Pandemics, epidemics or disease outbreaks, such as the novel coronavirus (“COVID-19”), may disrupt our business, including, among other things, consumption and trade patterns, our supply chain and production processes, each of which could materially affect our operations, liquidity, financial condition and results of operations.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12529"/>
        </w:rPr>
        <w:t>The actual or perceived effects of a disease outbreak, epidemic, pandemic or similar widespread public health concern, such as COVID-19, could negatively affect our operations, liquidity, financial condition and results of operations. The COVID-19 outbreak situation remains dynamic and subject to rapid and possibly material change, including but not limited to changes that may materially affect the operations of our customers and supply chain partners, which ultimately could cause material negative effects on our business and results of operations.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12529"/>
        </w:rPr>
        <w:t>Pandemics, epidemics or disease outbreaks may affect demand for our products because quarantines or other government restrictions on movement may cause erratic consumer purchase behavior. Governmental or societal impositions of restrictions on public gatherings, especially if prolonged, may have adverse effects on in-person traffic to retail stores and, in turn, our business. Even the perceived risk of infection or health risk may adversely affect traffic to our store-based retail customers and, in turn, our business, liquidity, financial condition and results of operations, particularly if any self-imposed or government-imposed restrictions are in place for significant time.</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12529"/>
        </w:rPr>
        <w:t>The spread of pandemics, epidemics or disease outbreaks such as COVID-19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Ports and other channels of entry may be closed or operate at only a portion of capacity, as workers may be prohibited or otherwise unable to report to work and means of transporting products within regions or countries may be limited for the same reason. Because of the COVID-19 outbreak, transport restrictions related to quarantines or travel bans have been put in place and global supply may become constrained, each of which may cause price increases or shortages of certain ingredients and raw materials used in our products and/or we may experience disruptions to our operations. Further, our contract manufacturers’ ability to manufacture our products may be impaired by any material disruption to their employee staffing, procurement, manufacturing, or warehousing capabilities because of COVID-19 or similar outbreaks.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the COVID-19 outbreak or similar situations. Retailers may also alter their normal inventory receiving and product restocking practices during pandemics, epidemics or disease outbreaks such as COVID-19, which may negatively affect our business.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12529"/>
        </w:rPr>
        <w:t>Workforce limitations and travel restrictions resulting from pandemics, epidemics or disease outbreaks such as COVID-19 and related government actions may affect many aspects of our business. If a significant percentage of our workforce cannot work, including because of illness, travel or government restrictions in connection with pandemics or disease outbreaks, our operations may be negatively affected. In addition, pandemics or disease outbreaks could cause a widespread health crisis that could adversely affect the economies and financial markets of many countries, resulting in an economic downturn that could affect customers’ and consumers’ demand for our products.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Adverse and uncertain economic conditions, such as decreases in per capita income and level of disposable income, increased unemployment or a decline in consumer confidence because of the COVID-19 outbreak or similar situations, could have an adverse effect on distributor, retailer and consumer demand for our products. Consumers may shift purchases to lower-priced or other perceived value offerings during economic downturns. Prolonged unfavorable economic conditions, including because of COVID-19 or similar outbreaks, and any resulting recession or slowed economic growth, may have an adverse effect on our sales and profitability.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consolidated results of operations for the full fiscal year ended August 29, 2020 were affected by changes in consumer shopping and consumption behavior due to COVID-19. After the brief pantry loading period in mid-March 2020, the nutritional snacking category saw a marked decrease in shopping trips (particularly in the mass channel) and fewer usage occasions. This affected our portable and convenient on-the-go products, especially the nutrition and protein bar portion of our business for both our Atkins and Quest brands. As home confinement restrictions began to ease, shopping trips steadily improved from their lowest point and consumer interest in weight management and active nutrition began to improve.</w:t>
      </w:r>
    </w:p>
    <w:p>
      <w:pPr>
        <w:sectPr>
          <w:pgSz w:w="11900" w:h="16838" w:orient="portrait"/>
          <w:cols w:equalWidth="0" w:num="1">
            <w:col w:w="11240"/>
          </w:cols>
          <w:pgMar w:left="320" w:top="337"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337" w:right="339" w:bottom="1440" w:gutter="0" w:footer="0" w:header="0"/>
          <w:type w:val="continuous"/>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During the fourth fiscal quarter of 2020, the improvement in category trends plateaued. While our Quest brand has outperformed its portion of the nutritious snaking segment, the performance of our Atkins brand, which is part of the weight management portion of the market, has remained slower due to the temporary softer interest in weight management for consumers, fewer on-the-go usage occasions and weakness in the mass channel that has experienced reduced shopper traffic during the pandemic.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 xml:space="preserve">We believe these effects on consumer demand and shopping behavior as a result of the COVID-19 outbreak may continue in the future. </w:t>
      </w:r>
      <w:r>
        <w:rPr>
          <w:rFonts w:ascii="Arial" w:cs="Arial" w:eastAsia="Arial" w:hAnsi="Arial"/>
          <w:sz w:val="18"/>
          <w:szCs w:val="18"/>
          <w:color w:val="000000"/>
        </w:rPr>
        <w:t>until the</w:t>
      </w:r>
      <w:r>
        <w:rPr>
          <w:rFonts w:ascii="Arial" w:cs="Arial" w:eastAsia="Arial" w:hAnsi="Arial"/>
          <w:sz w:val="18"/>
          <w:szCs w:val="18"/>
          <w:color w:val="212529"/>
        </w:rPr>
        <w:t xml:space="preserve"> </w:t>
      </w:r>
      <w:r>
        <w:rPr>
          <w:rFonts w:ascii="Arial" w:cs="Arial" w:eastAsia="Arial" w:hAnsi="Arial"/>
          <w:sz w:val="18"/>
          <w:szCs w:val="18"/>
          <w:color w:val="000000"/>
        </w:rPr>
        <w:t>more fulsome reopening of the U.S. economy and the associated return of shopping behavior to more normal patterns and our brand benefits of active nutrition and weight management drive more better-for-you snacking and meal replacement usage occasions.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Our efforts to manage and mitigate these factors may be unsuccessful, and the effectiveness of these efforts depends on factors beyond our control, including the duration and severity of any pandemic, epidemic or disease outbreak, and third party actions taken to contain its spread and mitigate public health effects.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the highly competitive nutritional snacking industry.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nutritious snacking industry is large and intensely competitive because consumers are seeking simpler, “cleaner” and more sustainable eating habits. Our business is committed to providing people a more nutritious way to eat. As a result, we compete in the nutritional snacking industry, which is included in the general snack foods industry. Competitive factors in the nutritional snacking industry include product quality, taste, brand awareness among consumers, nutritional content, simpler and less processed ingredients, innovation of “on-trend” snacks, variety of snacks offered, grocery aisle placement, access to retailer shelf space, price, advertising and promotion, product packaging and package design. We compete in this market against numerous multinational, regional and local companies principally based on our low-carb, low-sugar and protein-rich nutritional content, product taste and quality, our brand recognition and loyalty, marketing, advertising, price and the ability to satisfy specific consumer dietary needs. An increasing focus on healthy and simpler products in the marketplace will likely increase these competitive pressures within the category in future periods.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competitors in the nutritional snacking industry include companies selling branded weight loss programs who support these programs by offering a wide variety of diet foods, meal replacement bars, shakes and nutritional supplements, and through the promotion of weight loss and weight management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consumer perceptions of the Atkins’ weight management approach and the effectiveness of a low-carb, low-sugar and protein-rich eating approach for both our Atkins and Quest brands must continue to be viewed favorably, or our business and reputation may be materially and adversely affected. For the Atkins brand, if other weight management approaches become more popular, or are generally perceived to be more effective, we may not be able to compete effectively.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Some of our competitors have resources substantially greater than we have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future success depends, largely, on our ability to implement our growth strategies effectively, including expanding on a low-carb, low-sugar and protein-rich healthy lifestyle while maintaining the traditional identity of our brands and the loyalty of our consumers. However, we may fail in implementing our growth strategies effectively. On November 7, 2019, we completed our acquisition of Quest, a healthy lifestyle food company. We expect to continue focusing on nutritional snacking and intend to add additional brands to our product portfolio. As a multi-brand business, we face increased complexities and greater uncertainty regarding consumer trends and demands than as a single-brand business.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 In addition, regarding our Atkins brand, self-directed lifestyle consumers of products may have different preferences and spending habits than the consumers of traditional weight loss products. We may not succeed in reaching and maintaining the loyalty of new consumers to the same extent, or at all, as we have with our historical consumers.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Regarding our Atkins brand, we believe traditional weight management consumers actively on the Atkins program represent approximately 15% of that current consumer base whereas the remaining approximate 85% of our Atkins consumers are not currently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program diet. We may not succeed in evolving our advertising and other efforts to appeal to both our branded weight loss consumers and self-directed healthy lifestyle consumers.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cannot identify and capture new audiences and demographics, our ability to integrate additional brands successfully will be adversely affected. Accordingly, we may not be able to successfully implement our growth strategies, expand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continually enhance our brand recognition, increase distribution of our products, attract new consumers to our brands and introduce new and innovative products, either on a timely basis or at all, our business may suffer.</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develop and market new and innovative products and extensions. New product sales represent a growing and important portion of our net sales. To respond to new and evolving consumer demands, achieve market acceptance and keep pace with new nutritional, weight management, technological and other developments, we must constantly introduce new and innovative products into the market, some of which may not be accepted by consumers, may be sent to market prematurely or may not be consistent with our quality and taste standards. Accordingly, we may not succeed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sales to a limited number of retailers for a substantial majority of our net sales, and losing one or more such retailers may materially harm our business. In addition, we maintain “at will” contracts with these retailers, which do not require recurring or minimum purchase amounts of our products.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substantial majority of our sales are generated from a limited number of retailers. Sales to our largest retailer, Walmart, represented approximately 34% of consolidated sales in fiscal year 2020, of which approximately 25% is through their mass retail channel and approximately 8% is through their club channel. Sales to our next largest retailer, Amazon, represented approximately 10% of consolidated sales in fiscal year 2020. Although the composition of our significant retailers may vary from period-to-period, we expect that most of our net sales will continue to come from a relatively small number of retailers for the foreseeable future. These retailers may take actions that affect us for reasons we cannot anticipate or control, such as their financial condition, changes in their business strategy or operations, the perceived quality of their products and introducing competing products. There can be no assurance that Walmart, Amazon or our other significant customers will continue to purchase our products in the same quantities or on the same terms as in the past, particularly as increasingly powerful retailers continue to demand lower pricing.</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Conversely, occasionally, we may experience unanticipated increases in orders of our products from these retailers that can create supply chain problems and may cause unfilled orders. If we cannot meet increased demand for our products, our reputation with these retailers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may be limited if we cannot maintain or secure additional shelf or retail space for our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depend on our ability to drive revenue growth, in part, by expanding the distribution channels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their platform to enable us to meet our growth objectives.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Unattractive shelf placement and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quantity and quality of private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label products in the product categories in which we compete could create more pressure for shelf space and placement for branded products within each such category, which could materially and adversely affect our sales.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our consumers generally shop for our brands first, then choose a product form or flavor second. Our ability to shelf all of our brands' products together in one area at retail enables consumers to easily find all products when shopping. Any customer decision to separate our brands’ products by form (bars, RTDs, cookies, chips or confections) could negatively affect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consumer preferences, perceptions of healthy food products and discretionary spending may negatively affect our brand loyalty and net sales, and materially and adversely affect our business, financial condition and results of operations.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focus on products that are, or that we believe are, perceived to have positive effects on health, and compete in a market that relies on innovation and evolving consumer preferences. The processed food industry in general, and the nutritional snacking industry in particular, is subject to changing consumer trends, demands and preferences. Emerging science, and our nutritional approach and theories regarding health are constantly evolving. Products or methods of eating once considered healthy may become disfavored by consumers, scientifically disproven or no longer be perceived as healthy.</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Trends within the food industry change often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trends away from specific ingredients in products and increasing awareness of the environmental and social effects of product production.</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Consumer perceptions of the nutritional profile of low-carb, low-sugar and protein-rich eating practices and products may shift and consumers may no longer perceive products with fewer carbohydrates, higher levels of protein, higher levels of fat and additional fiber as healthy. Approaches regarding weight management and healthy lifestyles are the subject of numerous studies and publications, often with differentiating views and opinions, some of which may be adverse to us. Conflicting scientific information on what constitutes good nutrition, diet fads or other weight loss trends may materially and adversely affect our business. Our success depends, in part, on our ability to anticipate the tastes and dietary habits of consumers and other consumer trends and to offer products that appeal to their needs and preferences on a timely and affordable basis. A change in consumer discretionary spending, due to economic downturn or other reasons may also materially and adversely affect our sales, and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our U.S. operations, we utilize distribution centers in Greenfield, Indiana, one for our Quest brand and one for our Atkins brand. A substantially portion of our inventory is shipped directly to our retailers from these centers by a third-party operator. We rely significantly on the orderly operation of these centers. If complications arise, or if a particular facility is damaged or destroyed, our ability to deliver inventory timely for that brand will be significantly impaired, which could materially and adversely affect our business.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single-sourced logistics provider for distribution and product shipments in the United States. Our utilization of delivery services for shipments is subject to risks that may affect the ability to provide delivery services that adequately meet our shipping needs including increases in fuel prices, employee strikes and inclement weather. Occasionally, we may change third-party transportation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Disruptions at our distribution facilities or in our operations due to natural or man-made disasters, pandemics (such as COVID-19) or other disease outbreaks, fire, flooding, terrorism or other catastrophic events, system failure, labor disagreements or shipping problems may cause delays in the delivery of products to retailers.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b w:val="1"/>
          <w:bCs w:val="1"/>
          <w:i w:val="1"/>
          <w:iCs w:val="1"/>
          <w:color w:val="auto"/>
        </w:rPr>
        <w:t>Shortages or interruptions in the supply or delivery of our core ingredients, packaging and products could materially and adversely affect our operating results as we rely on a limited number of third-party suppliers to supply our core ingredients and a limited number of contract manufacturers to manufacture our products.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core ingredients used in manufacturing our products include soy, nuts, dairy, protein, fiber and cocoa. We rely on a limited number of third-party suppliers to provide these core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ability to import core ingredients, costs, production, insurance, reputation and weather conditions during growing, harvesting or shipping, including flood, drought, frost and earthquakes, and man-made disasters or other catastrophic occurrences.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overall supply of required core ingredients, suppliers raising their prices, and increases in the cost of packaging and distributing core ingredients. Additionally, we may be adversely affected if suppliers stop selling to us or enter into arrangements that impair their abilities to provide us with core ingredients.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rely on a limited number of contract manufacturers to manufacture our products. If any of these manufacturers experience adverse effects on their businesses or cannot continue manufacturing our products at required levels, on a timely basis, or at all, we may be forced to seek other manufacturers. In addition, our contract manufacturers independently contract for and obtain some of the core ingredients in our products. If contract manufactures cannot obtain these core ingredients in the required amounts or at all, their ability to manufacture our products would be adversely affected. It could take a significant period of time to locate and qualify such alternative production sources.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 term.</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in part on our third-party contract manufacturers to maintain the quality of our products. The failure or inability of contract manufacturers to comply with the specifications and requirements of our products could cause product recall, which could materially and adversely affect our reputation and subject us to significant liability should the consumption of any of our products cause or be claimed to cause illness or physical harm. Our products implicate risks such as product contamination, spoilage, product tampering, other adulteration, mislabeling and misbranding. We also license certain products that contain our brand and logo, but which are produced and distributed exclusively by third parties of whom we have limited control. In addition, we do not own our warehouse facilities, but they are managed for us by a third party.</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certain circumstances, we may be required to, or may voluntarily, recall or withdraw products. For example, in 2016, as part of a larger national recall by several other food companies, we incurred losses, including recalled product because of potential contamination from an ingredient supplied to one of our third-party manufacturers at their manufacturing center. While the contamination did not result in any consumer illness, and we were indemnified for a substantial portion of our direct product loss, the recall may have damaged the reputation for our Atkins brand.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product liability claim or lawsuit is unsuccessful or is not fully pursued, the negative publicity surrounding any assertion that our products caused illness or physical harm could adversely affect our reputation with existing and potential consumers and our corporate and brand image. Moreover, claims or liabilities of this sort might not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covered by our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affect the profitability of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negotiate the prices for large quantities of core ingredients, such as soy, nuts, dairy, protein, fiber and cocoa, and packaging materials. Several ingredients are manufactured in Canada. Costs of ingredients and packaging are volatile and can fluctuate due to conditions difficult to predict, including global competition for resources, fluctuations in currency and exchange rates, weather conditions, natural or man-made disasters, consumer demand and changes in governmental trade and agricultural programs. Continued volatility in the prices of the core ingredients and other supplies we purchase could increase our cost of goods sold and reduce our profitability.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do not use hedges for availability of any core ingredients. Any material upward movement in core ingredient pricing could negatively affect our margins if we cannot pass these costs on to our consumers, or our sales if we are forced to increase our prices.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core ingredient contracts have minimum volume commitments that could require purchases without matching revenue during weaker sales periods. Future core ingredient prices may be effected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Severe weather conditions and natural disasters such as fires, floods, droughts, hurricanes, earthquakes and tornadoes can affect crop supplies, manufacturing facilities and distribution activities, and negatively affect the operating results of our business.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Severe weather conditions and natural disasters, such as fires, floods, droughts, frosts, hurricanes, earthquakes, tornadoes, insect infestations and plant disease, may affect the supply of core ingredients used to make food products, or may prevent the manufacturing or distribution of food products by third parties. Competing manufacturers might be affected differently by weather conditions and natural disasters, depending on the location of their sources of supplies and manufacturing or distribution facilities. If supplies of core ingredients available to us are reduced, we may not be able to find enough supplemental supply sources on favorable terms, which could materially and adversely affect our business, financial condition and results of operations. In addition, because we rely on few contract manufacturers for a majority of our manufacturing needs and a single distribution warehouse for each of our key brands, adverse weather conditions could affect the ability for those third-party operators to manufacture and store our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we have built our reputation on the efficacy of our nutritional approach, and the high-quality flavor and nutritional content of our food. We must protect and expand on the value of our brands to continue to be successful in the future. Any incident that erodes consumer affinity for our brands could significantly reduce our value and damage our business. For example, negative third-party reports regarding the Atkins or Quest nutritional approach or the quality of our food, whether accurate or not, may adversely affect consumer perceptions, which could cause the brand’s value to suffer and adversely affect our business. In addition, if we are forced, or voluntarily elect, to recall certain products, including frozen foods or licensed products over which we may not have full quality control, the public perception of the quality of our food may be diminished. We may also be adversely affected by news or other negative publicity, regardless of accuracy, regarding other aspects of our business, such as public health concerns, illness, safety, security breaches of confidential consumer or employee information, employee related claims relating to alleged employment discrimination, health care and benefit issues or government or industry findings about our retailers, distributors, manufacturers or others across the industry supply chain.</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41"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Negative information, including inaccurate information, about us on social media may harm our reputation and brand, which could have a material and adverse effect on our business, financial condition and results of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about our business and/or products may be posted on such platforms at any time. Negative views regarding our products and the efficacy of the Atkins or Quest eating approaches have been posted on various social media platforms,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must expend resources to maintain consumer awareness of our brands, build brand loyalty and generate interest in our products. Our marketing strategies and channels will evolve and our programs may or may not be successful.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our brand’s market position or to introduce new products to the market, and participants in our industry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Moreover, we may not maintain current awareness of our brand due to any potential fragmentation of our marketing efforts as we continue to focus on a low-carb, low-sugar and protein-rich nutritional approach for everyday snacking consumers. In addition, we consistently evaluate our product lines to determine whether to discontinue certain products. Discontinuing product lines may increase our profitability but could reduce our sales and hurt our brands, and a reduction in sales of certain products could cause a reduction in sales of other products. The discontinuation of product lines may have an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or increase prices, our margins may decrease.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rely in part on price increases to offset cost increases and improve the profitability of our business. Our ability to maintain prices or effectively implement price increases may be affected by several factors, including competition, effectiveness of our marketing programs, the continuing strength of our brand, market demand and general economic conditions, including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promotional activity. If we cannot maintain or increase prices for our products or must increase promotional activity, our margins may be adversely affected. Furthermore, price increases generally result in volume losses, as consumers purchase fewer units. If such losses are greater than expected or if we lose distribution due to a price increase, our business, financial condition and results of operations may be materially and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intend to grow through acquisitions or joint ventures and we may not successfully integrate, operate or realize the anticipated benefits of such business combinations.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strategic initiatives, we intend to pursue acquisitions or joint ventures, such as our acquisition of Quest.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of the Quest acquisition we completed in November 2019, because of integration difficulties and other challenges.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success of the Quest acquisition will depend, in part, on our ability to realize all or some of the anticipated benefits from integrating Quest’s business with our existing businesses. The integration process may be complex, costly and time-consuming. The difficulties of integrating the operations of Quest’s business include, among others:</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issues in integrating co-manufacturing, logistics, information, communications and other systems;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and compensation structures between Quest’s structure and our structure;</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retain key employees, customers and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complexities associated with integrating personnel from another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risks inherent in Quest’s business and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issues, expenses and liabilities.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not be able to maintain the levels of revenue, earnings or operating efficiency that each company had achieved historically or might achieve separately. In addition, we may not accomplish the integration of Quest’s business smoothly, successfully or within the anticipated costs or time frame. If we experience difficulties with the integration process, the anticipated benefits of the acquisition may not be realized fully, or at all, or may take longer to realize than expected.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could materially and adversely affect our financial condition and ability to operate our company, and we may incur additional debt.</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August 29, 2020, we had approximately $606.5 million in outstanding indebtedness and a revolving credit facility with availability of $75 million.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credit facilities governing our debt arrangements contain financial and other covenants.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credit facilities governing our existing debt arrangements contain certain financial and other covenants. Our revolving credit facility has a maximum total net leverage ratio equal to or less than 6.25:1.00 (with a reduction to 6.00:1.00 on and after the third anniversary of the closing date of the credit facilities)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may adversely affect our earnings and/or cash flows.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indebtedness under our revolving credit facility bears interest at variable interest rates that use the London Inter-Bank Offered Rate (“LIBOR”) as a benchmark rate. On July 27, 2017, the United Kingdom’s Financial Conduct Authority (“FCA”),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cause the establishment of new methods of calculating LIBOR or the establishment of one or more alternative benchmark rates. Although our revolving credit facility provides for successor base rates, the successor base rates may be related to LIBOR, and the consequences of any potential cessation, modification or other reform of LIBOR cannot be predicted at this time. If LIBOR ceases to exist, we may need to amend our revolving credit facility, and we cannot predict what alternative interest rate(s) will be negotiated with our counterparties. As a result, our interest expense may increase, our ability to refinance some or all of our existing indebtedness may be affected and our available cash flow may be adversely affected.</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All of our products must comply with regulations of the FDA and state and local regulations. Any non-compliance with the FDA or other applicable regulations could harm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products must comply with various FDA rules and regulations, including those regarding product manufacturing, food safety, required testing and appropriate labeling of our products. The FDA has not defined nutrient content claims regarding low carbohydrates, but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use the term “net carbohydrate” (or “net carbs”) on our Atkins' packaging to assist consumers in tracking the carbohydrates in that serving of food that effect their blood sugar (glucose) levels. We determine the number of net carbs in a serving by subtracting fiber, and sugar alcohols if any, from the actual number of carbohydrates listed on the NFP. Fiber and sugar alcohols can be subtracted from the carbohydrates because they minimally effect blood sugar levels. It is possible that FDA regulations and/or their interpretations may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business.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of which we are unaware. Any non-compliance at the state or local level could materially and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advertising is regulated for accuracy, and if our advertising is determined to be false or misleading, we may face fines or sanctions.</w:t>
      </w:r>
    </w:p>
    <w:p>
      <w:pPr>
        <w:spacing w:after="0" w:line="3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2" w:name="page23"/>
    <w:bookmarkEnd w:id="22"/>
    <w:p>
      <w:pPr>
        <w:jc w:val="both"/>
        <w:ind w:right="20"/>
        <w:spacing w:after="0" w:line="263" w:lineRule="auto"/>
        <w:rPr>
          <w:sz w:val="20"/>
          <w:szCs w:val="20"/>
          <w:color w:val="auto"/>
        </w:rPr>
      </w:pPr>
      <w:r>
        <w:rPr>
          <w:rFonts w:ascii="Arial" w:cs="Arial" w:eastAsia="Arial" w:hAnsi="Arial"/>
          <w:sz w:val="18"/>
          <w:szCs w:val="18"/>
          <w:color w:val="auto"/>
        </w:rPr>
        <w:t>monitors national advertising and entertains inquiries and challenges from competing companies and consumers. Should our advertising be determined to be false or misleading, we may have to pay damages, withdraw our campaign and possibly face fines or sanctions, which could have a material adverse effect on our sales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the worldwide economy may materially and adversely affect our business, financial condition and results of operations.</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Adverse and uncertain economic conditions, such as those caused by COVID-19,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making it more difficult to sell our premium products. Due to the relative costs of our products, during economic downturns, it may be more difficult to convince consumers to switch to or continue to use our brands or convince new users to choose our brands without expensive sampling programs and price promotions. In particular, consumers may reduce their purchases of products without GMOs, gluten or preservatives when there are conventional offerings of similar products, which generally have lower retail prices.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1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and drug laws (including FDA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related to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advertising and marketing laws and practices;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programs restricting the sale and advertising of certain of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programs aimed at reducing, restricting or eliminating ingredients present in certain of our products;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programs aimed at discouraging the consumption of products or ingredients or altering the package or portion size of certain of our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consumer protection and disclosure laws;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requirements, including the imposition or proposed imposition of new or increased taxes or other limitations on the sale of our products; competition laws;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anti-corruption laws, including the U.S. Foreign Corrupt Practices Act of 1977, as amended (the “FCPA”), and the UK Bribery Act of 2010 (the “Bribery Act”);</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sanctions and anti-boycott laws, including laws administered by the U.S. Department of Treasury, Office of Foreign Assets Control (“OFAC”) and the European Union (“EU”);</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relating to export, re-export, transfer, tariffs and import controls, including the Export Administration Regulations, the EU Dual Use Regulation and the customs and import laws administered by the U.S. Customs and Border Protection;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employment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privacy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regulating the price we may charge for our products;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farming and environmental 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geographic focus makes us particularly vulnerable to economic and other events and trends in North America.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effect on our reputation.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Occasionally, we may be party to various claims and litigation. We evaluate these claims and litigation to assess the likelihood of unfavorable outcomes and to estimate, if possible, potential losses. We may establish reserves, as appropriate based on the information available to management at the time. These assessments and estimates involve a significant amount of management judgment and may differ materially from actual outcomes.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consumer loss of confidence in the truthfulness of our labeling or ingredient claims would be difficult and costly to overcome and may significantly reduce our brand value. For example, publications and other third-party commentary may vary in opinion regarding calculations of net carbs and vary on approach to calculations of net carbs, which may lead to reports questioning the accuracy of our calculations and reporting the amount of net carbs contained in certain of our products. Uncertainty among consumers as to the nutritional content or the ingredients used in our products, regardless of the cause, may have an adverse effect on our brands, business,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that all of our intellectual property licenses will remain in effect indefinitely. Termination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various information technology systems, including our recently implemented integrated enterprise resource planning system and certain other automated management and accounting systems. A failure of our information technology systems to perform as we anticipate could disrupt our business. Our information technology systems may be vulnerable to damage or interruption from circumstances beyond our control, including natural disasters, terrorist attacks, telecommunications failures, computer viruses, hackers and other security issues. Despite safeguards we have implemented that are designed to prevent unauthorized access to our information technology systems, we cannot be certain that our information technology systems are free from vulnerability to security breaches (especially as the sophistication of cyber-security threats continues to increase), or from vulnerability to inadvertent disclosures of sensitive data by third parties or by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4" w:name="page25"/>
    <w:bookmarkEnd w:id="24"/>
    <w:p>
      <w:pPr>
        <w:jc w:val="both"/>
        <w:ind w:firstLine="648"/>
        <w:spacing w:after="0" w:line="296" w:lineRule="auto"/>
        <w:rPr>
          <w:sz w:val="20"/>
          <w:szCs w:val="20"/>
          <w:color w:val="auto"/>
        </w:rPr>
      </w:pPr>
      <w:r>
        <w:rPr>
          <w:rFonts w:ascii="Arial" w:cs="Arial" w:eastAsia="Arial" w:hAnsi="Arial"/>
          <w:sz w:val="16"/>
          <w:szCs w:val="16"/>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number of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Except for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 If we or our third-party providers fail to maintain or protect our respective information technology systems and data integrity effectively, fail to implement new systems, and/or update or expand existing systems or fail to anticipate, plan for or manage significant disruptions to systems involved in our operations, we could lose existing customers, have difficulty preventing, detecting, and controlling fraud, have disputes with customers, suppliers, distributors or others, and be subject to regulatory sanctions, including sanctions stemming from violations of the Health Insurance Portability and Accountability Act of 1996, and as a result, have increases in operating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implement appropriate systems, procedures and controls, we may not be able to successfully offer our products, grow our business and account for transactions in an appropriate and timely manner.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recently implemented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 current and future changes in our business. Failure to implement promptly appropriate internal systems, procedures and controls could materially and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future success depends to a significant degree on the skills, experience and efforts of our key executive officers. Losing the services of any of these executives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and it may not be available on acceptable terms or at all.</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7"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because of operating as a public company, and our management has been and will continue to be required to devote substantial time to compliance efforts.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 xml:space="preserve">We have incurred and expect to continue to incur significant legal, accounting, insurance and other expenses because of being a public company. The Dodd-Frank Wall Street Reform and Customer Protection Act (the “Dodd-Frank Act”) and the Sarbanes-Oxley Act of 2002 (the </w:t>
      </w:r>
      <w:r>
        <w:rPr>
          <w:rFonts w:ascii="Arial" w:cs="Arial" w:eastAsia="Arial" w:hAnsi="Arial"/>
          <w:sz w:val="18"/>
          <w:szCs w:val="18"/>
          <w:color w:val="auto"/>
        </w:rPr>
        <w:t>“</w:t>
      </w:r>
      <w:r>
        <w:rPr>
          <w:rFonts w:ascii="Arial" w:cs="Arial" w:eastAsia="Arial" w:hAnsi="Arial"/>
          <w:sz w:val="17"/>
          <w:szCs w:val="17"/>
          <w:color w:val="auto"/>
        </w:rPr>
        <w:t>Sarbanes-Oxley Act</w:t>
      </w:r>
      <w:r>
        <w:rPr>
          <w:rFonts w:ascii="Arial" w:cs="Arial" w:eastAsia="Arial" w:hAnsi="Arial"/>
          <w:sz w:val="18"/>
          <w:szCs w:val="18"/>
          <w:color w:val="auto"/>
        </w:rPr>
        <w:t>”)</w:t>
      </w:r>
      <w:r>
        <w:rPr>
          <w:rFonts w:ascii="Arial" w:cs="Arial" w:eastAsia="Arial" w:hAnsi="Arial"/>
          <w:sz w:val="17"/>
          <w:szCs w:val="17"/>
          <w:color w:val="auto"/>
        </w:rPr>
        <w:t>, and related rules implemented by the SEC,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Our internal infrastructure may not be adequate to support our increased reporting obligations, and we may be unable to hire, train or retain necessary staff and may be reliant on engaging outside consultants or professionals to overcome our limited experience or employees which could adversely affect our business if our internal infrastructure is inadequate to fulfill our public company obligations. These laws, rules and regulations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effective internal control over financial reporting, we could fail to report our financial results accurately.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In the future, we may discover areas of our internal control over financial reporting that need improvement. Before the Business Combination, we had not historically documented our internal controls. If we identify a control deficiency that rises to the level of a material weakness in internal controls over financial reporting, our ability to record, process, summarize and report financial information timely and accurately may be adversely affected and, as a result, our financial statements may contain material misstatements or omissions.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expose us to regulatory, economic, political and social risks in the countries in which we operate.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and nutritional approaches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or the Bribery Act, export controls and economic sanctions programs, including those administered by the OFAC and the EU.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 In addition, the Bribery Act extends beyond bribery of foreign public officials and also applies to transactions with private persons. The provisions of the Bribery Act are also more onerous than the FCPA in several other respects, including jurisdictional reach, non-exemption of facilitation payments and, potentially, penalties.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648"/>
        <w:spacing w:after="0" w:line="257" w:lineRule="auto"/>
        <w:rPr>
          <w:sz w:val="20"/>
          <w:szCs w:val="20"/>
          <w:color w:val="auto"/>
        </w:rPr>
      </w:pPr>
      <w:r>
        <w:rPr>
          <w:rFonts w:ascii="Arial" w:cs="Arial" w:eastAsia="Arial" w:hAnsi="Arial"/>
          <w:sz w:val="18"/>
          <w:szCs w:val="18"/>
          <w:color w:val="auto"/>
        </w:rPr>
        <w:t>Our continued expansion outside the United States, including in developing countries, and our development of new partnerships and joint venture relationships worldwide, could increase the risk of FCPA, OFAC, Bribery Act or EU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expose us to fluctuations in exchange rates, which may materially and adversely affect our operating results.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third-party manufacturing is completed in Canada. Any U.S. dollar weakness may therefore materially and adversely affect revenue and cash flows while also increasing supply and manufacturing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there having historically been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Arial" w:cs="Arial" w:eastAsia="Arial" w:hAnsi="Arial"/>
          <w:sz w:val="16"/>
          <w:szCs w:val="16"/>
          <w:color w:val="auto"/>
        </w:rPr>
        <w:t>”</w:t>
      </w:r>
      <w:r>
        <w:rPr>
          <w:rFonts w:ascii="Arial" w:cs="Arial" w:eastAsia="Arial" w:hAnsi="Arial"/>
          <w:sz w:val="16"/>
          <w:szCs w:val="16"/>
          <w:b w:val="1"/>
          <w:bCs w:val="1"/>
          <w:i w:val="1"/>
          <w:iCs w:val="1"/>
          <w:color w:val="auto"/>
        </w:rPr>
        <w:t>) Centerview Capital Holdings LLC (“Centerview Capital”) and Centerview Partners and their respective affiliates, excepted as provided below.</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Conyers Park Sponsor, Centerview Capital and Centerview Partners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our market or our competitors. Securities and industry analysts may not publish or may cease publishing research on us. If securities or industry analysts cease coverage, our stock price and trading volume may be negatively affected. If any of the analysts who cover us change their recommendation regarding our stock adversely, or provide more favorable relative recommendations about our competitors, the price of our common stock may decline. If any analysts ceased coverage, or fail to regularly publish reports on our business, we could lose visibility in the financial markets, which could cause our stock price or trading volume to decline.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or other dilution of the Company's equity, which may adversely affect the market price of our common stock.</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not generally restricted from issuing additional shares of common stock, or any securities convertible into or exchangeable for, or that represent the right to receive, shares of common stock. Issuing any additional shares of common stock or preferred shares or securities convertible into, exchangeable for or that represent the right to receive shares of common stock or the exercise of such securities could be substantially dilutive to holders of our common stock. Additionally, 6,700,000 warrants to purchase our common stock on a one-for-one basis for an exercise price of $11.50 per share are outstanding. To the extent such warrants are exercised, additional shares of our common stock will be issued, which will cause dilution to our existing stockholders and increase the number of shares eligible for resale in the public market. Sales of substantial numbers of such shares in the public market could adversely affect the market price of our common stock.</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could decline because of sales of our common stock made in the future or the perception that such sales could occur. Because our decision to issue securities in any future offering will depend on market conditions and other factors beyond our control, we cannot predict or estimate the amount, timing or nature of future offerings, if any. Thus, our stockholders bear the risk of future offerings reducing the market price of our common stock and diluting their holdings in the Company.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board of directors may issue, without stockholder approval, preferred stock with rights and preferences superior to those applicable to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includes a provision for the issuance of preferred stock, which may be issued in one or more series, with each series containing such rights and preferences as the board of directors may determine from time to time, without prior notice to or approval of stockholders. Among others, such rights and preferences might include the rights to dividends, liquidation preferences and rights to convert into common stock. The rights and preferences of any such series of preferred stock, if issued, may be superior to the rights and preferences applicable to the common stock and might cause a decrease in the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15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84"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4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9"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28" w:name="page29"/>
    <w:bookmarkEnd w:id="28"/>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spacing w:after="0" w:line="129"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Our corporate headquarters is located at 1225 17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Suite 1000, Denver, CO 80202. We lease this property, which occupies approximately 27,600 square feet. In addition, we lease or otherwise have rights to use office space and storage space in El Segundo, California and Louisville, Colorado and foreign countries, including the Netherlands, United Kingdom and Canada to support key international operations. We also lease two distribution centers in Greenfield, Indiana, which combined have approximately 579,500 square feet of floor space. Additionally, as of August 29, 2020, we had entered into a lease for an additional distribution center in Greenfield, Indiana, but this lease is not expected to commence until fiscal year 2021.</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leased properties and those properties we otherwise have rights to use as of the date of this Report:</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3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Principal Use</w:t>
            </w:r>
          </w:p>
        </w:tc>
        <w:tc>
          <w:tcPr>
            <w:tcW w:w="1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Type</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2"/>
              </w:rPr>
              <w:t>Lease Expiration Date</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Denver, CO</w:t>
            </w:r>
          </w:p>
        </w:tc>
        <w:tc>
          <w:tcPr>
            <w:tcW w:w="32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Headquarters</w:t>
            </w:r>
          </w:p>
        </w:tc>
        <w:tc>
          <w:tcPr>
            <w:tcW w:w="18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30, 2027</w:t>
            </w:r>
          </w:p>
        </w:tc>
      </w:tr>
      <w:tr>
        <w:trPr>
          <w:trHeight w:val="237"/>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El Segundo, CA</w:t>
            </w:r>
          </w:p>
        </w:tc>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Quest Operations</w:t>
            </w:r>
          </w:p>
        </w:tc>
        <w:tc>
          <w:tcPr>
            <w:tcW w:w="1880" w:type="dxa"/>
            <w:vAlign w:val="bottom"/>
            <w:gridSpan w:val="2"/>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Pr>
          <w:p>
            <w:pPr>
              <w:jc w:val="center"/>
              <w:spacing w:after="0"/>
              <w:rPr>
                <w:sz w:val="20"/>
                <w:szCs w:val="20"/>
                <w:color w:val="auto"/>
              </w:rPr>
            </w:pPr>
            <w:r>
              <w:rPr>
                <w:rFonts w:ascii="Arial" w:cs="Arial" w:eastAsia="Arial" w:hAnsi="Arial"/>
                <w:sz w:val="16"/>
                <w:szCs w:val="16"/>
                <w:color w:val="auto"/>
                <w:w w:val="95"/>
              </w:rPr>
              <w:t>April 30, 2029</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Louisville, CO</w:t>
            </w:r>
          </w:p>
        </w:tc>
        <w:tc>
          <w:tcPr>
            <w:tcW w:w="32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Research and Development</w:t>
            </w:r>
          </w:p>
        </w:tc>
        <w:tc>
          <w:tcPr>
            <w:tcW w:w="18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30, 2022</w:t>
            </w:r>
          </w:p>
        </w:tc>
      </w:tr>
      <w:tr>
        <w:trPr>
          <w:trHeight w:val="237"/>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Greenfield, IN</w:t>
            </w:r>
          </w:p>
        </w:tc>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Distribution Center</w:t>
            </w:r>
          </w:p>
        </w:tc>
        <w:tc>
          <w:tcPr>
            <w:tcW w:w="188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Warehouse</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December 31, 2021</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Greenfield, IN</w:t>
            </w:r>
          </w:p>
        </w:tc>
        <w:tc>
          <w:tcPr>
            <w:tcW w:w="3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Quest Distribution Center</w:t>
            </w:r>
          </w:p>
        </w:tc>
        <w:tc>
          <w:tcPr>
            <w:tcW w:w="18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5"/>
              </w:rPr>
              <w:t>Warehouse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February 28, 2025</w:t>
            </w:r>
          </w:p>
        </w:tc>
      </w:tr>
      <w:tr>
        <w:trPr>
          <w:trHeight w:val="237"/>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Rogers, AR</w:t>
            </w:r>
          </w:p>
        </w:tc>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Sales Operations</w:t>
            </w:r>
          </w:p>
        </w:tc>
        <w:tc>
          <w:tcPr>
            <w:tcW w:w="1880" w:type="dxa"/>
            <w:vAlign w:val="bottom"/>
            <w:gridSpan w:val="2"/>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September 30, 2023</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Naples, FL</w:t>
            </w:r>
          </w:p>
        </w:tc>
        <w:tc>
          <w:tcPr>
            <w:tcW w:w="3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Corporate Operations</w:t>
            </w:r>
          </w:p>
        </w:tc>
        <w:tc>
          <w:tcPr>
            <w:tcW w:w="18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30, 2025</w:t>
            </w:r>
          </w:p>
        </w:tc>
      </w:tr>
      <w:tr>
        <w:trPr>
          <w:trHeight w:val="237"/>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International Operations</w:t>
            </w:r>
          </w:p>
        </w:tc>
        <w:tc>
          <w:tcPr>
            <w:tcW w:w="1880" w:type="dxa"/>
            <w:vAlign w:val="bottom"/>
            <w:gridSpan w:val="2"/>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tcPr>
          <w:p>
            <w:pPr>
              <w:jc w:val="center"/>
              <w:spacing w:after="0"/>
              <w:rPr>
                <w:sz w:val="20"/>
                <w:szCs w:val="20"/>
                <w:color w:val="auto"/>
              </w:rPr>
            </w:pPr>
            <w:r>
              <w:rPr>
                <w:rFonts w:ascii="Arial" w:cs="Arial" w:eastAsia="Arial" w:hAnsi="Arial"/>
                <w:sz w:val="16"/>
                <w:szCs w:val="16"/>
                <w:color w:val="auto"/>
                <w:w w:val="90"/>
              </w:rPr>
              <w:t>February 28, 2021</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Toronto, Ontario</w:t>
            </w:r>
          </w:p>
        </w:tc>
        <w:tc>
          <w:tcPr>
            <w:tcW w:w="3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Canadian Operations</w:t>
            </w: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Office</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29, 2024</w:t>
            </w:r>
          </w:p>
        </w:tc>
      </w:tr>
      <w:tr>
        <w:trPr>
          <w:trHeight w:val="33"/>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0"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currently quoted on the Nasdaq Capital Market under the symbol “SMPL.”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26, 2020, there were 95,683,897 shares outstanding and 21 record holders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do not pay dividends and have not paid any cash dividends on our common stock to date. We currently intend to retain our future earnings to finance the future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 During the fifty-two week period ended August 29, 2020, the Company did not repurchase any shares of common stock. As of August 29, 2020, approximately $47.9 million remained available under the stock repurchase program.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stock performance graph compares the outstanding stock from issuance of SMPL, July 10, 2017, through August 28, 2020 (the last trading day of our fiscal year ended August 29, 2020), the cumulative total stockholder return for (i) Company’s common stock, (ii) the Standard &amp; Poor’s 500 Index, and (iii) the Standard &amp; Poor’s 500 Packaged Foods &amp; Meats Index. The graph assumes the value of the investment in our common stock and each index was $100.00 on July 10, 2017 and assumes reinvestment of any dividends.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377940" cy="3566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Annual Return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34925</wp:posOffset>
            </wp:positionV>
            <wp:extent cx="4131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Fiscal Years Ending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Company Name / Index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July 10, 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August 26, 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August 25, 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August 31, 2019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August 29, 2020</w:t>
            </w:r>
          </w:p>
        </w:tc>
      </w:tr>
      <w:tr>
        <w:trPr>
          <w:trHeight w:val="25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Simply Good Foods Company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211.6</w:t>
            </w:r>
          </w:p>
        </w:tc>
      </w:tr>
      <w:tr>
        <w:trPr>
          <w:trHeight w:val="264"/>
        </w:trPr>
        <w:tc>
          <w:tcPr>
            <w:tcW w:w="560" w:type="dxa"/>
            <w:vAlign w:val="bottom"/>
          </w:tcPr>
          <w:p>
            <w:pPr>
              <w:ind w:left="20"/>
              <w:spacing w:after="0"/>
              <w:rPr>
                <w:sz w:val="20"/>
                <w:szCs w:val="20"/>
                <w:color w:val="auto"/>
              </w:rPr>
            </w:pPr>
            <w:r>
              <w:rPr>
                <w:rFonts w:ascii="Arial" w:cs="Arial" w:eastAsia="Arial" w:hAnsi="Arial"/>
                <w:sz w:val="14"/>
                <w:szCs w:val="14"/>
                <w:color w:val="auto"/>
                <w:w w:val="94"/>
              </w:rPr>
              <w:t>S&amp;P 500</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Index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144.5</w:t>
            </w:r>
          </w:p>
        </w:tc>
      </w:tr>
      <w:tr>
        <w:trPr>
          <w:trHeight w:val="276"/>
        </w:trPr>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S&amp;P 500</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Packaged Foods &amp; Meats Index</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Simply Good Foods was formed on March 30, 2017, to consummate the Business Combination between Conyers Park and Atkins, which occurred on July 7, 2017 (the “Closing Date”). Conyers Park, a special purpose acquisition company, was formed in 2016 for the purpose of effecting a merger, capital stock exchange, asset acquisition, stock purchase, reorganization or similar business combination with one or more businesses.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of the Business Combination that occurred in July of 2017, Simply Good Foods is the acquirer, and for accounting purposes the "Successor." Atkins is the acquiree and accounting "Predecessor." Our financial statement presentation includes the financial statements of Atkins as “Predecessor” for periods prior to the Closing Date and of Simply Good Foods for periods after the Closing Date, including the consolidation of Atkins. The historical financial information of Conyers Park, prior to the Business Combination, are not reflected in the Predecessor financial statements as those amounts are considered de-minimis. As a result of the application of the acquisition method of accounting, the financial statements, the Predecessor period and the Successor period are presented on a different basis of accounting and are therefore not comparable.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86" w:lineRule="auto"/>
        <w:rPr>
          <w:sz w:val="20"/>
          <w:szCs w:val="20"/>
          <w:color w:val="auto"/>
        </w:rPr>
      </w:pPr>
      <w:r>
        <w:rPr>
          <w:rFonts w:ascii="Arial" w:cs="Arial" w:eastAsia="Arial" w:hAnsi="Arial"/>
          <w:sz w:val="17"/>
          <w:szCs w:val="17"/>
          <w:color w:val="auto"/>
        </w:rPr>
        <w:t>The following table sets forth selected historical financial information derived from the audited financial statements. The following selected financial information should be read in conjunction with “Item 7. Management’s Discussion and Analysis of Financial Condition and Results of Operations” and the Consolidated Financial Statements and the related notes in “Item 8. Financial Statements and Supplementary Data”.</w:t>
      </w:r>
    </w:p>
    <w:p>
      <w:pPr>
        <w:spacing w:after="0" w:line="170" w:lineRule="exact"/>
        <w:rPr>
          <w:sz w:val="20"/>
          <w:szCs w:val="20"/>
          <w:color w:val="auto"/>
        </w:rPr>
      </w:pPr>
    </w:p>
    <w:p>
      <w:pPr>
        <w:ind w:left="4260"/>
        <w:spacing w:after="0"/>
        <w:tabs>
          <w:tab w:leader="none" w:pos="5360" w:val="left"/>
          <w:tab w:leader="none" w:pos="6460" w:val="left"/>
          <w:tab w:leader="none" w:pos="8200" w:val="left"/>
          <w:tab w:leader="none" w:pos="99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23495</wp:posOffset>
            </wp:positionV>
            <wp:extent cx="6275070" cy="7423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75070" cy="742378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4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52-Weeks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53-Weeks</w:t>
            </w:r>
          </w:p>
        </w:tc>
        <w:tc>
          <w:tcPr>
            <w:tcW w:w="14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color w:val="auto"/>
                <w:w w:val="88"/>
              </w:rPr>
              <w:t>52-Weeks</w:t>
            </w:r>
          </w:p>
        </w:tc>
        <w:tc>
          <w:tcPr>
            <w:tcW w:w="160" w:type="dxa"/>
            <w:vAlign w:val="bottom"/>
          </w:tcPr>
          <w:p>
            <w:pPr>
              <w:spacing w:after="0"/>
              <w:rPr>
                <w:sz w:val="14"/>
                <w:szCs w:val="14"/>
                <w:color w:val="auto"/>
              </w:rPr>
            </w:pPr>
          </w:p>
        </w:tc>
        <w:tc>
          <w:tcPr>
            <w:tcW w:w="88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From July 7,</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Ended</w:t>
            </w: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Ended</w:t>
            </w:r>
          </w:p>
        </w:tc>
        <w:tc>
          <w:tcPr>
            <w:tcW w:w="14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color w:val="auto"/>
                <w:w w:val="88"/>
              </w:rPr>
              <w:t>Ended</w:t>
            </w: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August 29,</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August 31,</w:t>
            </w:r>
          </w:p>
        </w:tc>
        <w:tc>
          <w:tcPr>
            <w:tcW w:w="140" w:type="dxa"/>
            <w:vAlign w:val="bottom"/>
          </w:tcPr>
          <w:p>
            <w:pPr>
              <w:spacing w:after="0"/>
              <w:rPr>
                <w:sz w:val="12"/>
                <w:szCs w:val="12"/>
                <w:color w:val="auto"/>
              </w:rPr>
            </w:pPr>
          </w:p>
        </w:tc>
        <w:tc>
          <w:tcPr>
            <w:tcW w:w="9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5"/>
              </w:rPr>
              <w:t>August 25,</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through August</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color w:val="auto"/>
                <w:w w:val="89"/>
              </w:rPr>
              <w:t>2018</w:t>
            </w:r>
          </w:p>
        </w:tc>
        <w:tc>
          <w:tcPr>
            <w:tcW w:w="160" w:type="dxa"/>
            <w:vAlign w:val="bottom"/>
          </w:tcPr>
          <w:p>
            <w:pPr>
              <w:spacing w:after="0"/>
              <w:rPr>
                <w:sz w:val="15"/>
                <w:szCs w:val="15"/>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1"/>
              </w:rPr>
              <w:t>26, 2017</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7"/>
              </w:rPr>
              <w:t>(audited)</w:t>
            </w:r>
          </w:p>
        </w:tc>
        <w:tc>
          <w:tcPr>
            <w:tcW w:w="1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(audited)</w:t>
            </w:r>
          </w:p>
        </w:tc>
        <w:tc>
          <w:tcPr>
            <w:tcW w:w="140" w:type="dxa"/>
            <w:vAlign w:val="bottom"/>
          </w:tcPr>
          <w:p>
            <w:pPr>
              <w:spacing w:after="0"/>
              <w:rPr>
                <w:sz w:val="23"/>
                <w:szCs w:val="23"/>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i w:val="1"/>
                <w:iCs w:val="1"/>
                <w:color w:val="auto"/>
                <w:w w:val="94"/>
              </w:rPr>
              <w:t>(audited)</w:t>
            </w:r>
          </w:p>
        </w:tc>
        <w:tc>
          <w:tcPr>
            <w:tcW w:w="160" w:type="dxa"/>
            <w:vAlign w:val="bottom"/>
          </w:tcPr>
          <w:p>
            <w:pPr>
              <w:spacing w:after="0"/>
              <w:rPr>
                <w:sz w:val="23"/>
                <w:szCs w:val="23"/>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i w:val="1"/>
                <w:iCs w:val="1"/>
                <w:color w:val="auto"/>
                <w:w w:val="97"/>
              </w:rPr>
              <w:t>(audited)</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(Successor)</w:t>
            </w:r>
          </w:p>
        </w:tc>
        <w:tc>
          <w:tcPr>
            <w:tcW w:w="1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(Successor)</w:t>
            </w:r>
          </w:p>
        </w:tc>
        <w:tc>
          <w:tcPr>
            <w:tcW w:w="140" w:type="dxa"/>
            <w:vAlign w:val="bottom"/>
          </w:tcPr>
          <w:p>
            <w:pPr>
              <w:spacing w:after="0"/>
              <w:rPr>
                <w:sz w:val="23"/>
                <w:szCs w:val="23"/>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color w:val="auto"/>
                <w:w w:val="90"/>
              </w:rPr>
              <w:t>(Successor)</w:t>
            </w:r>
          </w:p>
        </w:tc>
        <w:tc>
          <w:tcPr>
            <w:tcW w:w="160" w:type="dxa"/>
            <w:vAlign w:val="bottom"/>
          </w:tcPr>
          <w:p>
            <w:pPr>
              <w:spacing w:after="0"/>
              <w:rPr>
                <w:sz w:val="23"/>
                <w:szCs w:val="23"/>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88"/>
              </w:rPr>
              <w:t>(Successor)</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816,641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523,383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431,429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56,334</w:t>
            </w: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0"/>
                <w:szCs w:val="20"/>
                <w:color w:val="auto"/>
              </w:rPr>
            </w:pPr>
            <w:r>
              <w:rPr>
                <w:rFonts w:ascii="Arial" w:cs="Arial" w:eastAsia="Arial" w:hAnsi="Arial"/>
                <w:sz w:val="14"/>
                <w:szCs w:val="14"/>
                <w:color w:val="auto"/>
              </w:rPr>
              <w:t xml:space="preserve">Cost of goods sold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492,313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305,978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251,063</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39,584</w:t>
            </w:r>
          </w:p>
        </w:tc>
        <w:tc>
          <w:tcPr>
            <w:tcW w:w="0" w:type="dxa"/>
            <w:vAlign w:val="bottom"/>
          </w:tcPr>
          <w:p>
            <w:pPr>
              <w:spacing w:after="0"/>
              <w:rPr>
                <w:sz w:val="1"/>
                <w:szCs w:val="1"/>
                <w:color w:val="auto"/>
              </w:rPr>
            </w:pPr>
          </w:p>
        </w:tc>
      </w:tr>
      <w:tr>
        <w:trPr>
          <w:trHeight w:val="258"/>
        </w:trPr>
        <w:tc>
          <w:tcPr>
            <w:tcW w:w="3180" w:type="dxa"/>
            <w:vAlign w:val="bottom"/>
          </w:tcPr>
          <w:p>
            <w:pPr>
              <w:ind w:left="1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324,328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217,405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180,366</w:t>
            </w:r>
          </w:p>
        </w:tc>
        <w:tc>
          <w:tcPr>
            <w:tcW w:w="1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16,750</w:t>
            </w:r>
          </w:p>
        </w:tc>
        <w:tc>
          <w:tcPr>
            <w:tcW w:w="0" w:type="dxa"/>
            <w:vAlign w:val="bottom"/>
          </w:tcPr>
          <w:p>
            <w:pPr>
              <w:spacing w:after="0"/>
              <w:rPr>
                <w:sz w:val="1"/>
                <w:szCs w:val="1"/>
                <w:color w:val="auto"/>
              </w:rPr>
            </w:pPr>
          </w:p>
        </w:tc>
      </w:tr>
      <w:tr>
        <w:trPr>
          <w:trHeight w:val="540"/>
        </w:trPr>
        <w:tc>
          <w:tcPr>
            <w:tcW w:w="318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Distribution </w:t>
            </w:r>
            <w:r>
              <w:rPr>
                <w:rFonts w:ascii="Arial" w:cs="Arial" w:eastAsia="Arial" w:hAnsi="Arial"/>
                <w:sz w:val="8"/>
                <w:szCs w:val="8"/>
                <w:color w:val="auto"/>
              </w:rPr>
              <w:t>(1)</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Selling and marketing </w:t>
            </w:r>
            <w:r>
              <w:rPr>
                <w:rFonts w:ascii="Arial" w:cs="Arial" w:eastAsia="Arial" w:hAnsi="Arial"/>
                <w:sz w:val="8"/>
                <w:szCs w:val="8"/>
                <w:color w:val="auto"/>
              </w:rPr>
              <w:t>(2)</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94,469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67,488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59,092</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6,937</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8"/>
                <w:szCs w:val="8"/>
                <w:color w:val="auto"/>
              </w:rPr>
              <w:t>(1)</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106,251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61,972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49,635</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8"/>
                <w:szCs w:val="8"/>
                <w:color w:val="auto"/>
              </w:rPr>
              <w:t>(1)</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7,498</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Business transaction costs</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2,259</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Loss on impairment</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180" w:type="dxa"/>
            <w:vAlign w:val="bottom"/>
          </w:tcPr>
          <w:p>
            <w:pPr>
              <w:ind w:left="120"/>
              <w:spacing w:after="0"/>
              <w:rPr>
                <w:sz w:val="20"/>
                <w:szCs w:val="20"/>
                <w:color w:val="auto"/>
              </w:rPr>
            </w:pPr>
            <w:r>
              <w:rPr>
                <w:rFonts w:ascii="Arial" w:cs="Arial" w:eastAsia="Arial" w:hAnsi="Arial"/>
                <w:sz w:val="14"/>
                <w:szCs w:val="14"/>
                <w:color w:val="auto"/>
              </w:rPr>
              <w:t>Loss (gain) in fair value change of contingent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120"/>
              <w:spacing w:after="0"/>
              <w:rPr>
                <w:sz w:val="20"/>
                <w:szCs w:val="20"/>
                <w:color w:val="auto"/>
              </w:rPr>
            </w:pPr>
            <w:r>
              <w:rPr>
                <w:rFonts w:ascii="Arial" w:cs="Arial" w:eastAsia="Arial" w:hAnsi="Arial"/>
                <w:sz w:val="14"/>
                <w:szCs w:val="14"/>
                <w:color w:val="auto"/>
              </w:rPr>
              <w:t>consideration - TRA liability</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(2,848)</w:t>
            </w: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246,104</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144,596</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115,636</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14,891</w:t>
            </w:r>
          </w:p>
        </w:tc>
        <w:tc>
          <w:tcPr>
            <w:tcW w:w="0" w:type="dxa"/>
            <w:vAlign w:val="bottom"/>
          </w:tcPr>
          <w:p>
            <w:pPr>
              <w:spacing w:after="0"/>
              <w:rPr>
                <w:sz w:val="1"/>
                <w:szCs w:val="1"/>
                <w:color w:val="auto"/>
              </w:rPr>
            </w:pPr>
          </w:p>
        </w:tc>
      </w:tr>
      <w:tr>
        <w:trPr>
          <w:trHeight w:val="540"/>
        </w:trPr>
        <w:tc>
          <w:tcPr>
            <w:tcW w:w="31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78,224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72,809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64,730</w:t>
            </w:r>
          </w:p>
        </w:tc>
        <w:tc>
          <w:tcPr>
            <w:tcW w:w="1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540"/>
        </w:trPr>
        <w:tc>
          <w:tcPr>
            <w:tcW w:w="3180" w:type="dxa"/>
            <w:vAlign w:val="bottom"/>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(12,551)</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Gain on settlement of TRA liability</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20"/>
              <w:spacing w:after="0"/>
              <w:rPr>
                <w:sz w:val="20"/>
                <w:szCs w:val="20"/>
                <w:color w:val="auto"/>
              </w:rPr>
            </w:pPr>
            <w:r>
              <w:rPr>
                <w:rFonts w:ascii="Arial" w:cs="Arial" w:eastAsia="Arial" w:hAnsi="Arial"/>
                <w:sz w:val="14"/>
                <w:szCs w:val="14"/>
                <w:color w:val="auto"/>
              </w:rPr>
              <w:t>Gain (loss) on foreign currency transactions</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76"/>
        </w:trPr>
        <w:tc>
          <w:tcPr>
            <w:tcW w:w="3180" w:type="dxa"/>
            <w:vAlign w:val="bottom"/>
          </w:tcPr>
          <w:p>
            <w:pPr>
              <w:ind w:left="12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815</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0"/>
                <w:szCs w:val="20"/>
                <w:color w:val="auto"/>
              </w:rPr>
            </w:pPr>
            <w:r>
              <w:rPr>
                <w:rFonts w:ascii="Arial" w:cs="Arial" w:eastAsia="Arial" w:hAnsi="Arial"/>
                <w:sz w:val="14"/>
                <w:szCs w:val="14"/>
                <w:color w:val="auto"/>
              </w:rPr>
              <w:t>Total other expense</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(11,639)</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540"/>
        </w:trPr>
        <w:tc>
          <w:tcPr>
            <w:tcW w:w="31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48,026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64,286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53,091</w:t>
            </w:r>
          </w:p>
        </w:tc>
        <w:tc>
          <w:tcPr>
            <w:tcW w:w="1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16,750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(17,364)</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34,700</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47,536</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70,455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4"/>
                <w:szCs w:val="14"/>
                <w:color w:val="auto"/>
              </w:rPr>
              <w:t>Earnings per share from net income:</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0.96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540"/>
        </w:trPr>
        <w:tc>
          <w:tcPr>
            <w:tcW w:w="3180" w:type="dxa"/>
            <w:vAlign w:val="bottom"/>
          </w:tcPr>
          <w:p>
            <w:pPr>
              <w:spacing w:after="0"/>
              <w:rPr>
                <w:sz w:val="20"/>
                <w:szCs w:val="20"/>
                <w:color w:val="auto"/>
              </w:rPr>
            </w:pPr>
            <w:r>
              <w:rPr>
                <w:rFonts w:ascii="Arial" w:cs="Arial" w:eastAsia="Arial" w:hAnsi="Arial"/>
                <w:sz w:val="14"/>
                <w:szCs w:val="14"/>
                <w:color w:val="auto"/>
              </w:rPr>
              <w:t>Balance Sheet Data (at end of periods)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2,008,445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1,141,650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974,605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922,488</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Long-term debt, less current maturities</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596,879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190,259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190,935</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191,856</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Warrant liabilities</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1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1,232,971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837,444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672,601</w:t>
            </w:r>
          </w:p>
        </w:tc>
        <w:tc>
          <w:tcPr>
            <w:tcW w:w="1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598,702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From August</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1"/>
              </w:rPr>
              <w:t>52-weeks ended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28, 2016</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through July 6,</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5"/>
              </w:rPr>
              <w:t>August 27,</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89"/>
              </w:rPr>
              <w:t>2016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4"/>
              </w:rPr>
              <w:t>(audited)</w:t>
            </w:r>
          </w:p>
        </w:tc>
        <w:tc>
          <w:tcPr>
            <w:tcW w:w="100" w:type="dxa"/>
            <w:vAlign w:val="bottom"/>
          </w:tcPr>
          <w:p>
            <w:pPr>
              <w:spacing w:after="0"/>
              <w:rPr>
                <w:sz w:val="23"/>
                <w:szCs w:val="23"/>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i w:val="1"/>
                <w:iCs w:val="1"/>
                <w:color w:val="auto"/>
                <w:w w:val="94"/>
              </w:rPr>
              <w:t>(audited)</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(Predecessor)</w:t>
            </w:r>
          </w:p>
        </w:tc>
        <w:tc>
          <w:tcPr>
            <w:tcW w:w="100" w:type="dxa"/>
            <w:vAlign w:val="bottom"/>
          </w:tcPr>
          <w:p>
            <w:pPr>
              <w:spacing w:after="0"/>
              <w:rPr>
                <w:sz w:val="23"/>
                <w:szCs w:val="23"/>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color w:val="auto"/>
                <w:w w:val="88"/>
              </w:rPr>
              <w:t>(Predecessor)</w:t>
            </w:r>
          </w:p>
        </w:tc>
        <w:tc>
          <w:tcPr>
            <w:tcW w:w="0" w:type="dxa"/>
            <w:vAlign w:val="bottom"/>
          </w:tcPr>
          <w:p>
            <w:pPr>
              <w:spacing w:after="0"/>
              <w:rPr>
                <w:sz w:val="1"/>
                <w:szCs w:val="1"/>
                <w:color w:val="auto"/>
              </w:rPr>
            </w:pPr>
          </w:p>
        </w:tc>
      </w:tr>
      <w:tr>
        <w:trPr>
          <w:trHeight w:val="270"/>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339,837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427,858</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200,026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248,464</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139,811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179,394</w:t>
            </w:r>
          </w:p>
        </w:tc>
        <w:tc>
          <w:tcPr>
            <w:tcW w:w="0" w:type="dxa"/>
            <w:vAlign w:val="bottom"/>
          </w:tcPr>
          <w:p>
            <w:pPr>
              <w:spacing w:after="0"/>
              <w:rPr>
                <w:sz w:val="1"/>
                <w:szCs w:val="1"/>
                <w:color w:val="auto"/>
              </w:rPr>
            </w:pPr>
          </w:p>
        </w:tc>
      </w:tr>
      <w:tr>
        <w:trPr>
          <w:trHeight w:val="810"/>
        </w:trPr>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18,489</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47,494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56,264</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34,567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48,503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8,409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10,179</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25,608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116,078</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133,435</w:t>
            </w:r>
          </w:p>
        </w:tc>
        <w:tc>
          <w:tcPr>
            <w:tcW w:w="0" w:type="dxa"/>
            <w:vAlign w:val="bottom"/>
          </w:tcPr>
          <w:p>
            <w:pPr>
              <w:spacing w:after="0"/>
              <w:rPr>
                <w:sz w:val="1"/>
                <w:szCs w:val="1"/>
                <w:color w:val="auto"/>
              </w:rPr>
            </w:pPr>
          </w:p>
        </w:tc>
      </w:tr>
      <w:tr>
        <w:trPr>
          <w:trHeight w:val="540"/>
        </w:trPr>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45,959</w:t>
            </w:r>
          </w:p>
        </w:tc>
        <w:tc>
          <w:tcPr>
            <w:tcW w:w="0" w:type="dxa"/>
            <w:vAlign w:val="bottom"/>
          </w:tcPr>
          <w:p>
            <w:pPr>
              <w:spacing w:after="0"/>
              <w:rPr>
                <w:sz w:val="1"/>
                <w:szCs w:val="1"/>
                <w:color w:val="auto"/>
              </w:rPr>
            </w:pPr>
          </w:p>
        </w:tc>
      </w:tr>
      <w:tr>
        <w:trPr>
          <w:trHeight w:val="810"/>
        </w:trPr>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(27,195)</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(28,418)</w:t>
            </w:r>
          </w:p>
        </w:tc>
        <w:tc>
          <w:tcPr>
            <w:tcW w:w="0" w:type="dxa"/>
            <w:vAlign w:val="bottom"/>
          </w:tcPr>
          <w:p>
            <w:pPr>
              <w:spacing w:after="0"/>
              <w:rPr>
                <w:sz w:val="1"/>
                <w:szCs w:val="1"/>
                <w:color w:val="auto"/>
              </w:rPr>
            </w:pPr>
          </w:p>
        </w:tc>
      </w:tr>
      <w:tr>
        <w:trPr>
          <w:trHeight w:val="540"/>
        </w:trPr>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7,507</w:t>
            </w:r>
          </w:p>
        </w:tc>
        <w:tc>
          <w:tcPr>
            <w:tcW w:w="0" w:type="dxa"/>
            <w:vAlign w:val="bottom"/>
          </w:tcPr>
          <w:p>
            <w:pPr>
              <w:spacing w:after="0"/>
              <w:rPr>
                <w:sz w:val="1"/>
                <w:szCs w:val="1"/>
                <w:color w:val="auto"/>
              </w:rPr>
            </w:pPr>
          </w:p>
        </w:tc>
      </w:tr>
      <w:tr>
        <w:trPr>
          <w:trHeight w:val="264"/>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10,034</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420" w:val="left"/>
          <w:tab w:leader="none" w:pos="1120" w:val="left"/>
          <w:tab w:leader="none" w:pos="1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344,867</w:t>
        <w:tab/>
        <w:t>$</w:t>
      </w:r>
      <w:r>
        <w:rPr>
          <w:sz w:val="20"/>
          <w:szCs w:val="20"/>
          <w:color w:val="auto"/>
        </w:rPr>
        <w:tab/>
      </w:r>
      <w:r>
        <w:rPr>
          <w:rFonts w:ascii="Arial" w:cs="Arial" w:eastAsia="Arial" w:hAnsi="Arial"/>
          <w:sz w:val="12"/>
          <w:szCs w:val="12"/>
          <w:color w:val="auto"/>
        </w:rPr>
        <w:t>389,512</w:t>
      </w:r>
    </w:p>
    <w:p>
      <w:pPr>
        <w:spacing w:after="0" w:line="10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4"/>
          <w:szCs w:val="14"/>
          <w:color w:val="auto"/>
        </w:rPr>
        <w:t>281,445</w:t>
      </w:r>
      <w:r>
        <w:rPr>
          <w:sz w:val="20"/>
          <w:szCs w:val="20"/>
          <w:color w:val="auto"/>
        </w:rPr>
        <w:tab/>
      </w:r>
      <w:r>
        <w:rPr>
          <w:rFonts w:ascii="Arial" w:cs="Arial" w:eastAsia="Arial" w:hAnsi="Arial"/>
          <w:sz w:val="14"/>
          <w:szCs w:val="14"/>
          <w:color w:val="auto"/>
        </w:rPr>
        <w:t>321,638</w:t>
      </w:r>
    </w:p>
    <w:p>
      <w:pPr>
        <w:spacing w:after="0" w:line="109"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4"/>
          <w:szCs w:val="14"/>
          <w:color w:val="auto"/>
        </w:rPr>
        <w:t>15,000</w:t>
      </w:r>
      <w:r>
        <w:rPr>
          <w:sz w:val="20"/>
          <w:szCs w:val="20"/>
          <w:color w:val="auto"/>
        </w:rPr>
        <w:tab/>
      </w:r>
      <w:r>
        <w:rPr>
          <w:rFonts w:ascii="Arial" w:cs="Arial" w:eastAsia="Arial" w:hAnsi="Arial"/>
          <w:sz w:val="14"/>
          <w:szCs w:val="14"/>
          <w:color w:val="auto"/>
        </w:rPr>
        <w:t>15,722</w:t>
      </w:r>
    </w:p>
    <w:p>
      <w:pPr>
        <w:spacing w:after="0" w:line="109" w:lineRule="exact"/>
        <w:rPr>
          <w:sz w:val="20"/>
          <w:szCs w:val="20"/>
          <w:color w:val="auto"/>
        </w:rPr>
      </w:pPr>
    </w:p>
    <w:p>
      <w:pPr>
        <w:ind w:left="480"/>
        <w:spacing w:after="0"/>
        <w:tabs>
          <w:tab w:leader="none" w:pos="1560" w:val="left"/>
        </w:tabs>
        <w:rPr>
          <w:sz w:val="20"/>
          <w:szCs w:val="20"/>
          <w:color w:val="auto"/>
        </w:rPr>
      </w:pPr>
      <w:r>
        <w:rPr>
          <w:rFonts w:ascii="Arial" w:cs="Arial" w:eastAsia="Arial" w:hAnsi="Arial"/>
          <w:sz w:val="13"/>
          <w:szCs w:val="13"/>
          <w:color w:val="auto"/>
        </w:rPr>
        <w:t>(28,027)</w:t>
      </w:r>
      <w:r>
        <w:rPr>
          <w:sz w:val="20"/>
          <w:szCs w:val="20"/>
          <w:color w:val="auto"/>
        </w:rPr>
        <w:tab/>
      </w:r>
      <w:r>
        <w:rPr>
          <w:rFonts w:ascii="Arial" w:cs="Arial" w:eastAsia="Arial" w:hAnsi="Arial"/>
          <w:sz w:val="13"/>
          <w:szCs w:val="13"/>
          <w:color w:val="auto"/>
        </w:rPr>
        <w:t>(27,834)</w:t>
      </w:r>
    </w:p>
    <w:p>
      <w:pPr>
        <w:spacing w:after="0" w:line="187" w:lineRule="exact"/>
        <w:rPr>
          <w:sz w:val="20"/>
          <w:szCs w:val="20"/>
          <w:color w:val="auto"/>
        </w:rPr>
      </w:pPr>
    </w:p>
    <w:p>
      <w:pPr>
        <w:sectPr>
          <w:pgSz w:w="11900" w:h="16838" w:orient="portrait"/>
          <w:cols w:equalWidth="0" w:num="2">
            <w:col w:w="8220" w:space="240"/>
            <w:col w:w="2780"/>
          </w:cols>
          <w:pgMar w:left="320" w:top="341" w:right="339" w:bottom="1440" w:gutter="0" w:footer="0" w:header="0"/>
          <w:type w:val="continuous"/>
        </w:sectPr>
      </w:pPr>
    </w:p>
    <w:p>
      <w:pPr>
        <w:jc w:val="both"/>
        <w:ind w:left="500" w:right="40" w:hanging="394"/>
        <w:spacing w:after="0" w:line="23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During the fifty-three weeks ended August 31, 2019, certain reclassifications were made to previously reported amounts to conform to the current presentation. On the consolidated statement of operations, outbound freight previously included in distribution, distribution center expenses previously included in </w:t>
      </w:r>
      <w:r>
        <w:rPr>
          <w:rFonts w:ascii="Arial" w:cs="Arial" w:eastAsia="Arial" w:hAnsi="Arial"/>
          <w:sz w:val="14"/>
          <w:szCs w:val="14"/>
          <w:i w:val="1"/>
          <w:iCs w:val="1"/>
          <w:color w:val="auto"/>
        </w:rPr>
        <w:t>General and administrative</w:t>
      </w:r>
      <w:r>
        <w:rPr>
          <w:rFonts w:ascii="Arial" w:cs="Arial" w:eastAsia="Arial" w:hAnsi="Arial"/>
          <w:sz w:val="14"/>
          <w:szCs w:val="14"/>
          <w:color w:val="auto"/>
        </w:rPr>
        <w:t xml:space="preserve">, and depreciation for equipment used in warehouse operations were reclassified to </w:t>
      </w:r>
      <w:r>
        <w:rPr>
          <w:rFonts w:ascii="Arial" w:cs="Arial" w:eastAsia="Arial" w:hAnsi="Arial"/>
          <w:sz w:val="14"/>
          <w:szCs w:val="14"/>
          <w:i w:val="1"/>
          <w:iCs w:val="1"/>
          <w:color w:val="auto"/>
        </w:rPr>
        <w:t>Cost of goods sold</w:t>
      </w:r>
      <w:r>
        <w:rPr>
          <w:rFonts w:ascii="Arial" w:cs="Arial" w:eastAsia="Arial" w:hAnsi="Arial"/>
          <w:sz w:val="14"/>
          <w:szCs w:val="14"/>
          <w:color w:val="auto"/>
        </w:rPr>
        <w:t>. 2019, 2018 and 2017 reflect adjusted amounts in accordance with this accounting principle change. See Note 2 to the Consolidated Financial Statements included herein for additional information on the accounting principle change.</w:t>
      </w:r>
    </w:p>
    <w:p>
      <w:pPr>
        <w:spacing w:after="0" w:line="2" w:lineRule="exact"/>
        <w:rPr>
          <w:rFonts w:ascii="Arial" w:cs="Arial" w:eastAsia="Arial" w:hAnsi="Arial"/>
          <w:sz w:val="14"/>
          <w:szCs w:val="14"/>
          <w:color w:val="auto"/>
        </w:rPr>
      </w:pPr>
    </w:p>
    <w:p>
      <w:pPr>
        <w:ind w:left="500" w:hanging="394"/>
        <w:spacing w:after="0" w:line="216" w:lineRule="auto"/>
        <w:tabs>
          <w:tab w:leader="none" w:pos="500" w:val="left"/>
        </w:tabs>
        <w:numPr>
          <w:ilvl w:val="0"/>
          <w:numId w:val="11"/>
        </w:numPr>
        <w:rPr>
          <w:rFonts w:ascii="Arial" w:cs="Arial" w:eastAsia="Arial" w:hAnsi="Arial"/>
          <w:sz w:val="26"/>
          <w:szCs w:val="26"/>
          <w:color w:val="auto"/>
          <w:vertAlign w:val="superscript"/>
        </w:rPr>
      </w:pPr>
      <w:r>
        <w:rPr>
          <w:rFonts w:ascii="Arial" w:cs="Arial" w:eastAsia="Arial" w:hAnsi="Arial"/>
          <w:sz w:val="13"/>
          <w:szCs w:val="13"/>
          <w:color w:val="auto"/>
        </w:rPr>
        <w:t>During the fifty-three weeks ended August 31, 2019, the Company combined Selling and Marketing within one financial statement line. All periods presented reflect this change.</w:t>
      </w:r>
    </w:p>
    <w:p>
      <w:pPr>
        <w:sectPr>
          <w:pgSz w:w="11900" w:h="16838" w:orient="portrait"/>
          <w:cols w:equalWidth="0" w:num="1">
            <w:col w:w="11240"/>
          </w:cols>
          <w:pgMar w:left="320" w:top="341" w:right="339" w:bottom="1440"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34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Our fiscal year ends the last Saturday in August. Our fiscal years 2020 and 2018 ended August 29, 2020 and August 25, 2018, respectively, and were each fifty-two week periods. Our fiscal year 2019 ended August 31, 2019 was a fifty-three week period. Our fiscal quarters are comprised of thirteen weeks each, except for fifty-three week fiscal periods for the which the fourth quarter is comprised of fourteen weeks, and end on the thirteenth Saturday of each quarter (fourteenth Saturday of the fourth quarter, when applicable). Our fiscal quarters for fiscal 2020 ended on November 30, 2019, February 29, 2020, May 30, 2020 and August 29, 2020.</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Our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category.</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Resources-Acquisition of Quest.”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our Canadian-based management team who had been responsible for this brand prior to the sale transaction. In addition to purchasing these assets, the buyer assumed certain liabilities related to the SimplyProtein brand’s business. The transaction enables management to focus its full time and our resources on its core Atkins® and Quest® branded businesses and other strategic initiatives.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provided a substantial stimulus and assistance package intended to address the effect 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key products. Based on information available to us as of the end of our fiscal year, we believe we will be able to deliver our products to meet customer orders on a timely basis, and therefore, we expect our products will continue to be available for purchase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308" w:lineRule="auto"/>
        <w:rPr>
          <w:sz w:val="20"/>
          <w:szCs w:val="20"/>
          <w:color w:val="auto"/>
        </w:rPr>
      </w:pPr>
      <w:r>
        <w:rPr>
          <w:rFonts w:ascii="Arial" w:cs="Arial" w:eastAsia="Arial" w:hAnsi="Arial"/>
          <w:sz w:val="17"/>
          <w:szCs w:val="17"/>
          <w:color w:val="auto"/>
        </w:rPr>
        <w:t>to meet consumer meal replacement and snacking needs for the foreseeable future. We continue to monitor customer and consumer demand, and intend to adapt our plans as needed to continue to drive our business and meet our obligations during the evolving COVID-19 situation.</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in March 2020, we borrowed $25.0 million under our $75.0 million revolving credit facility, as a precautionary measure to ensure ample financial flexibility in light of the spread of COVID-19 and the initial surge in demand. The Company used the proceeds of the Revolving Credit Facility to meet initial elevated customer orders, build finished goods inventory of some of our high velocity items, to support working capital and to support general corporate purposes. Based on that assessment of our sources of liquidity and capital, which included strong realized cash flow from operations and no material collectability concerns regarding our customers' ability to pay, the $25.0 million borrowing under the revolving credit facility was fully repaid in June 2020.</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implemented remote work arrangements and restricted business travel in mid-March, and to date, these arrangements have not materially affected our ability to maintain our business operations, including the operation of financial reporting systems, internal control over financial reporting, and disclosure controls and procedures. We believe our lean infrastructure, which allows for significant flexibility, speed-to-market and minimal capital investment, has enabled us to adjust our expenditures to maintain cash flow until the more fulsome reopening of the U.S. economy and the associated return of shopping behavior to more normal patterns and our brand benefits of active nutrition and weight management drive more better-for-you snacking and meal replacement usage occasions.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consolidated results of operations for the full fiscal year ended August 29, 2020 were affected by changes in consumer shopping and consumption behavior due to COVID-19. After the brief pantry loading period in mid-March 2020, the nutritional snacking category saw a marked decrease in shopping trips (particularly in the mass channel) and fewer usage occasions. This affected our portable and convenient on-the-go products, especially the nutrition and protein bar portion of our business for both our Atkins and Quest brands. As home confinement restrictions began to ease, shopping trips steadily improved from their lowest point and consumer interest in weight management and active nutrition began to improve.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fourth fiscal quarter of 2020, the improvement in category trends plateaued. While our Quest brand has outperformed its portion of the nutritious snaking segment, the performance of our Atkins brand, which is part of the weight management portion of the market, has remained slower due to the temporary softer interest in weight management for consumers, fewer on-the-go usage occasions and weakness in the mass channel that has experienced reduced shopper traffic during the pandemic.</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Based on the duration and severity of economic effects from the COVID-19 pandemic, including but not limited to stock market volatility, the potential for (i) continued increased rates of reported cases of COVID-19, (ii) unexpected supply chain disruptions, (iii) changes to customer operations,</w:t>
      </w:r>
    </w:p>
    <w:p>
      <w:pPr>
        <w:jc w:val="both"/>
        <w:ind w:firstLine="8"/>
        <w:spacing w:after="0" w:line="255"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or additional changes in consumer purchasing and consumption behavior beyond those evidenced to date, and (v) the closure of customer establishments, we remain uncertain of the ultimate effect COVID-19 could have on our business. We also believe the COVID-19 uncertainty will continue during our 2021 fiscal year.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also see the information under Item 1A. “Risk Factors” for additional information regarding the risks of pandemics, such as COVID-19.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creates a fully integrated organization with our completed Acquisition of Quest. The new organization design became effective on August 31, 2020. These restructuring plans primarily include workforce reductions and changes in management structure.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 the fifty-two week period ended August 29, 2020, we incurred $5.5 million of costs for these restructuring activities which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Overall, we expect to incur a total of approximately $8.1 million in restructuring costs, including the $5.5 million referenced above. The one-time termination benefits and employee severance costs are to be paid throughout fiscal 2021 and the first quarter of fiscal 2022. As of August 29, 2020, the outstanding restructuring liability was $4.1 million. Refer to Note 18, Restructuring and Related Charges, of our Consolidated Financial Statements included herein for additional information regarding restructuring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fourth quarter ended August 31, 2019, we changed our accounting principle related to the presentation of third-party delivery costs associated with shipping and handling activities previously included as operating expenses in </w:t>
      </w:r>
      <w:r>
        <w:rPr>
          <w:rFonts w:ascii="Arial" w:cs="Arial" w:eastAsia="Arial" w:hAnsi="Arial"/>
          <w:sz w:val="18"/>
          <w:szCs w:val="18"/>
          <w:i w:val="1"/>
          <w:iCs w:val="1"/>
          <w:color w:val="auto"/>
        </w:rPr>
        <w:t>Distribution</w:t>
      </w:r>
      <w:r>
        <w:rPr>
          <w:rFonts w:ascii="Arial" w:cs="Arial" w:eastAsia="Arial" w:hAnsi="Arial"/>
          <w:sz w:val="18"/>
          <w:szCs w:val="18"/>
          <w:color w:val="auto"/>
        </w:rPr>
        <w:t xml:space="preserve"> in the Consolidated Statements of Operations and Comprehensive Income. We now present these expenses within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Consolidated Statements of Operations and Comprehensive Income.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In connection with the change in accounting principle, we also changed our definition of shipping and handling costs to include costs paid to third-party warehouse operators associated with delivering product to a customer, previously included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of the assets at the third-party warehouse, previously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Under the previous definition of shipping and handling costs, we only included delivery costs in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accounting policy change was applied retrospectively to all periods presented and the Consolidated Statements of Operations and Comprehensive Income reflect the effect of this accounting principle change for all periods presented. Specifically, amounts presented for the fifty-two week period ended August 25, 2018 have been adjusted in accordance with this accounting principle change. Refer to Note 2, Change in Accounting Principle, of our Consolidated Financial Statements included herein for additional information on the accounting principle 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Following the Acquisition of Quest, our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recently announced restructuring and new organization design creates an efficient and fully integrated organization that will continue to support and build multi-category nutritional snacking brands.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consists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w:t>
      </w:r>
      <w:r>
        <w:rPr>
          <w:rFonts w:ascii="Arial" w:cs="Arial" w:eastAsia="Arial" w:hAnsi="Arial"/>
          <w:sz w:val="18"/>
          <w:szCs w:val="18"/>
          <w:b w:val="1"/>
          <w:bCs w:val="1"/>
          <w:color w:val="auto"/>
        </w:rPr>
        <w:t xml:space="preserve"> </w:t>
      </w:r>
      <w:r>
        <w:rPr>
          <w:rFonts w:ascii="Arial" w:cs="Arial" w:eastAsia="Arial" w:hAnsi="Arial"/>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transaction costs. The following is a brief description of the components of operating expenses:</w:t>
      </w:r>
    </w:p>
    <w:p>
      <w:pPr>
        <w:spacing w:after="0" w:line="166"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are comprised of broker commissions, customer marketing, media and other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are comprised of expenses associated with corporate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that support our business, including employee salaries, professional services, integration costs, restructuring costs, insurance and other general corporate expenses.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62" w:lineRule="exact"/>
        <w:rPr>
          <w:rFonts w:ascii="Arial" w:cs="Arial" w:eastAsia="Arial" w:hAnsi="Arial"/>
          <w:sz w:val="18"/>
          <w:szCs w:val="18"/>
          <w:i w:val="1"/>
          <w:iCs w:val="1"/>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transaction costs. </w:t>
      </w:r>
      <w:r>
        <w:rPr>
          <w:rFonts w:ascii="Arial" w:cs="Arial" w:eastAsia="Arial" w:hAnsi="Arial"/>
          <w:sz w:val="17"/>
          <w:szCs w:val="17"/>
          <w:color w:val="auto"/>
        </w:rPr>
        <w:t>Business transaction costs are comprised of legal, due diligence, consulting and accounting firm expenses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process of actively pursuing potential and completed business combinations, including the Acquisition of Quest.</w:t>
      </w:r>
    </w:p>
    <w:p>
      <w:pPr>
        <w:spacing w:after="0" w:line="38" w:lineRule="exact"/>
        <w:rPr>
          <w:rFonts w:ascii="Arial" w:cs="Arial" w:eastAsia="Arial" w:hAnsi="Arial"/>
          <w:sz w:val="17"/>
          <w:szCs w:val="17"/>
          <w:i w:val="1"/>
          <w:iCs w:val="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Loss on impairment consist of impairment charges related to our brand intangible asset.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Loss (gain) in fair value change of contingent consideration - TRA liability</w:t>
      </w:r>
      <w:r>
        <w:rPr>
          <w:rFonts w:ascii="Arial" w:cs="Arial" w:eastAsia="Arial" w:hAnsi="Arial"/>
          <w:sz w:val="18"/>
          <w:szCs w:val="18"/>
          <w:color w:val="auto"/>
        </w:rPr>
        <w:t>. Loss or gain in fair value change of contingent consideration - TRA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charges relate to fair value adjustments of the Tax Receivable Agreement (the “TRA”) liability.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measures of Adjusted EBITDA and Adjusted Diluted Earnings Per Share. Because not all companies use identical calculations, this presentation of Adjusted EBITDA and Adjusted Diluted Earnings Per Share may not be comparable to other similarly titled measures of other companies. See “Reconciliation of Adjusted EBITDA” below for a reconciliation of Adjusted EBITDA to net income for each applicable period. See “Reconciliation of Adjusted Diluted Earnings Per Share” below for a reconciliation of Adjusted Diluted Earnings Per Share to diluted earnings per share for each applicable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Comparison of Results for the Fifty-Two Weeks Ended August 29, 2020 and the Fifty-Three Weeks Ended August 31, 2019</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for the periods indicated, selected information from our consolidated financial results, including information presented as a percentage of net sales:</w:t>
      </w:r>
    </w:p>
    <w:p>
      <w:pPr>
        <w:sectPr>
          <w:pgSz w:w="11900" w:h="16838" w:orient="portrait"/>
          <w:cols w:equalWidth="0" w:num="1">
            <w:col w:w="11240"/>
          </w:cols>
          <w:pgMar w:left="320" w:top="341" w:right="339" w:bottom="1440" w:gutter="0" w:footer="0" w:header="0"/>
        </w:sectPr>
      </w:pP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w w:val="89"/>
              </w:rPr>
              <w:t>53-Weeks Ended</w:t>
            </w:r>
          </w:p>
        </w:tc>
      </w:tr>
      <w:tr>
        <w:trPr>
          <w:trHeight w:val="29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August 29, 2020</w:t>
            </w: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816,641</w:t>
            </w:r>
          </w:p>
        </w:tc>
      </w:tr>
      <w:tr>
        <w:trPr>
          <w:trHeight w:val="270"/>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492,313</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324,328</w:t>
            </w: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94,469</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106,251</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15,259</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Business transaction costs</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27,125</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Loss on impairment</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Loss in fair value change of contingent consideration - TRA liability</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246,104</w:t>
            </w: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78,224</w:t>
            </w: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(32,813)</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Gain on settlement of TRA liability</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Gain (loss) on foreign currency transactions</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658</w:t>
            </w: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441</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(30,198)</w:t>
            </w: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48,026</w:t>
            </w:r>
          </w:p>
        </w:tc>
      </w:tr>
      <w:tr>
        <w:trPr>
          <w:trHeight w:val="270"/>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13,326</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34,700</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-4379595</wp:posOffset>
            </wp:positionV>
            <wp:extent cx="63519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-4036695</wp:posOffset>
            </wp:positionV>
            <wp:extent cx="635190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18859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-3676650</wp:posOffset>
            </wp:positionV>
            <wp:extent cx="63519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-3333750</wp:posOffset>
            </wp:positionV>
            <wp:extent cx="63519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-2990850</wp:posOffset>
            </wp:positionV>
            <wp:extent cx="63519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-2647950</wp:posOffset>
            </wp:positionV>
            <wp:extent cx="63519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-2287905</wp:posOffset>
            </wp:positionV>
            <wp:extent cx="63519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-1927860</wp:posOffset>
            </wp:positionV>
            <wp:extent cx="63519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-1584960</wp:posOffset>
            </wp:positionV>
            <wp:extent cx="63519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-1242060</wp:posOffset>
            </wp:positionV>
            <wp:extent cx="63519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-899160</wp:posOffset>
            </wp:positionV>
            <wp:extent cx="63519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-539115</wp:posOffset>
            </wp:positionV>
            <wp:extent cx="63519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-196215</wp:posOffset>
            </wp:positionV>
            <wp:extent cx="635190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1905" cy="17970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188595</wp:posOffset>
            </wp:positionV>
            <wp:extent cx="63519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19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60" w:type="dxa"/>
            <w:vAlign w:val="bottom"/>
            <w:gridSpan w:val="2"/>
          </w:tcPr>
          <w:p>
            <w:pPr>
              <w:ind w:left="200"/>
              <w:spacing w:after="0"/>
              <w:rPr>
                <w:sz w:val="20"/>
                <w:szCs w:val="20"/>
                <w:color w:val="auto"/>
              </w:rPr>
            </w:pPr>
            <w:r>
              <w:rPr>
                <w:rFonts w:ascii="Arial" w:cs="Arial" w:eastAsia="Arial" w:hAnsi="Arial"/>
                <w:sz w:val="16"/>
                <w:szCs w:val="16"/>
                <w:color w:val="auto"/>
              </w:rPr>
              <w:t>% of</w:t>
            </w:r>
          </w:p>
        </w:tc>
        <w:tc>
          <w:tcPr>
            <w:tcW w:w="12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 of</w:t>
            </w:r>
          </w:p>
        </w:tc>
      </w:tr>
      <w:tr>
        <w:trPr>
          <w:trHeight w:val="247"/>
        </w:trPr>
        <w:tc>
          <w:tcPr>
            <w:tcW w:w="860" w:type="dxa"/>
            <w:vAlign w:val="bottom"/>
            <w:gridSpan w:val="2"/>
          </w:tcPr>
          <w:p>
            <w:pPr>
              <w:ind w:left="20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August 31, 2019</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Sales</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523,383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60.3 %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305,978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58.5 %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39.7 %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217,405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41.5 %</w:t>
            </w:r>
          </w:p>
        </w:tc>
      </w:tr>
      <w:tr>
        <w:trPr>
          <w:trHeight w:val="837"/>
        </w:trPr>
        <w:tc>
          <w:tcPr>
            <w:tcW w:w="74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67,488</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61,972</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7,496</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30.1 %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144,596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27.6 %</w:t>
            </w:r>
          </w:p>
        </w:tc>
      </w:tr>
      <w:tr>
        <w:trPr>
          <w:trHeight w:val="567"/>
        </w:trPr>
        <w:tc>
          <w:tcPr>
            <w:tcW w:w="74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72,809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837"/>
        </w:trPr>
        <w:tc>
          <w:tcPr>
            <w:tcW w:w="7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(13,627)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567"/>
        </w:trPr>
        <w:tc>
          <w:tcPr>
            <w:tcW w:w="740" w:type="dxa"/>
            <w:vAlign w:val="bottom"/>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100"/>
            <w:col w:w="3740"/>
          </w:cols>
          <w:pgMar w:left="320" w:top="341" w:right="339" w:bottom="1440" w:gutter="0" w:footer="0" w:header="0"/>
          <w:type w:val="continuous"/>
        </w:sectPr>
      </w:pPr>
    </w:p>
    <w:p>
      <w:pPr>
        <w:spacing w:after="0" w:line="1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financial data:</w:t>
      </w:r>
    </w:p>
    <w:p>
      <w:pPr>
        <w:spacing w:after="0" w:line="73" w:lineRule="exact"/>
        <w:rPr>
          <w:sz w:val="20"/>
          <w:szCs w:val="20"/>
          <w:color w:val="auto"/>
        </w:rPr>
      </w:pPr>
    </w:p>
    <w:p>
      <w:pPr>
        <w:ind w:left="820"/>
        <w:spacing w:after="0"/>
        <w:tabs>
          <w:tab w:leader="none" w:pos="5960" w:val="left"/>
          <w:tab w:leader="none" w:pos="6760" w:val="left"/>
          <w:tab w:leader="none" w:pos="7720" w:val="left"/>
          <w:tab w:leader="none" w:pos="8360" w:val="left"/>
          <w:tab w:leader="none" w:pos="9220" w:val="left"/>
          <w:tab w:leader="none" w:pos="10100" w:val="left"/>
        </w:tabs>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153,912</w:t>
      </w:r>
      <w:r>
        <w:rPr>
          <w:sz w:val="20"/>
          <w:szCs w:val="20"/>
          <w:color w:val="auto"/>
        </w:rPr>
        <w:tab/>
      </w:r>
      <w:r>
        <w:rPr>
          <w:rFonts w:ascii="Arial" w:cs="Arial" w:eastAsia="Arial" w:hAnsi="Arial"/>
          <w:sz w:val="16"/>
          <w:szCs w:val="16"/>
          <w:color w:val="auto"/>
        </w:rPr>
        <w:t>18.8 %</w:t>
        <w:tab/>
        <w:t>$</w:t>
      </w:r>
      <w:r>
        <w:rPr>
          <w:sz w:val="20"/>
          <w:szCs w:val="20"/>
          <w:color w:val="auto"/>
        </w:rPr>
        <w:tab/>
      </w:r>
      <w:r>
        <w:rPr>
          <w:rFonts w:ascii="Arial" w:cs="Arial" w:eastAsia="Arial" w:hAnsi="Arial"/>
          <w:sz w:val="16"/>
          <w:szCs w:val="16"/>
          <w:color w:val="auto"/>
        </w:rPr>
        <w:t>98,719</w:t>
      </w:r>
      <w:r>
        <w:rPr>
          <w:sz w:val="20"/>
          <w:szCs w:val="20"/>
          <w:color w:val="auto"/>
        </w:rPr>
        <w:tab/>
      </w:r>
      <w:r>
        <w:rPr>
          <w:rFonts w:ascii="Arial" w:cs="Arial" w:eastAsia="Arial" w:hAnsi="Arial"/>
          <w:sz w:val="14"/>
          <w:szCs w:val="14"/>
          <w:color w:val="auto"/>
        </w:rPr>
        <w:t>18.9 %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wp:posOffset>
            </wp:positionV>
            <wp:extent cx="296608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6085" cy="26035"/>
                    </a:xfrm>
                    <a:prstGeom prst="rect">
                      <a:avLst/>
                    </a:prstGeom>
                    <a:noFill/>
                  </pic:spPr>
                </pic:pic>
              </a:graphicData>
            </a:graphic>
          </wp:anchor>
        </w:drawing>
      </w:r>
    </w:p>
    <w:p>
      <w:pPr>
        <w:spacing w:after="0" w:line="171" w:lineRule="exact"/>
        <w:rPr>
          <w:sz w:val="20"/>
          <w:szCs w:val="20"/>
          <w:color w:val="auto"/>
        </w:rPr>
      </w:pPr>
    </w:p>
    <w:p>
      <w:pPr>
        <w:ind w:left="500" w:right="40" w:hanging="394"/>
        <w:spacing w:after="0" w:line="189"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$816.6 million represented an increase of $293.3 million, or 56.0%, for the fifty-two week period ended August 29,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fifty-three week period ended August 31, 2019. The net sales increase of 56.0% was primarily attributable to the Acquisition of Quest, which drove 54.8% of the increase. Atkins brand net sales increased 1.2% driven by solid e-commerce sales growth, partially offset by higher trade promotions, the approximately 2.0% of additional contribution to full year sales growth related to the fifty-third week in the prior year period, and the effects of COVID-19 related movement restrictions and stay-at-home orders which resulted in lower on-the-go and away-from-home usage occasions for our products.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Cost of goods sold increased $186.3 million, or 60.9%, for the fifty-two week period ended August 29, 2020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fifty-three week period ended August 31, 2019. The cost of goods sold increase was driven by sales volume growth primarily attributable to the Acquisition of Quest, and the effect of the non-cash $7.5 million inventory step-up charge related to the Acquisition of Quest.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$106.9 million, or 49.2%, for the fifty-two week period ended August 29, 2020 compared to the fifty-three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period ended August 31, 2019. Gross profit decreased 180 basis points from 41.5% of net sales for the fifty-three week period ended August 31, 2019 to 39.7% of net sales for the fifty-two week period ended August 29, 2020. The decrease in gross margin was primarily the result of the non-cash $7.5 million inventory step-up charge and slightly lower gross profit margins of the Quest business.</w:t>
      </w:r>
    </w:p>
    <w:p>
      <w:pPr>
        <w:sectPr>
          <w:pgSz w:w="11900" w:h="16838" w:orient="portrait"/>
          <w:cols w:equalWidth="0" w:num="1">
            <w:col w:w="11240"/>
          </w:cols>
          <w:pgMar w:left="320" w:top="341"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341" w:right="339" w:bottom="1440" w:gutter="0" w:footer="0" w:header="0"/>
          <w:type w:val="continuous"/>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Operating expenses increased $101.5 million, or 70.2%, for the fifty-two week period ended August 29,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fifty-three week period ended August 31, 2019 due to the following:</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$27.0 million, or 40.0%, for the fifty-two week period ended August 29,</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fifty-three week period ended August 31, 2019. The increase was primarily related to the Acquisition of Quest of $25.9 million and an increase in e-commerce marketing investments of $1.3 million.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$44.3 million, or 71.5%, for the fifty-two week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29, 2020 compared to the fifty-three week period ended August 31, 2019. The increase was primarily attributable to the Acquisition of Quest of $40.8 million, Quest integration related costs of $10.7 million, restructuring charges of $5.5 million, and an increase in stock-based compensation expense of $2.1 million. These increases were partially offset by reduced Atkins brand general and administrative expenses primarily due to lower incentive compensation.</w:t>
      </w:r>
    </w:p>
    <w:p>
      <w:pPr>
        <w:spacing w:after="0" w:line="18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increased $7.8 million for the fifty-two week period ended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29, 2020 compared to the fifty-three week period ended August 31, 2019. The increase was primarily due to amortization for the intangible assets recognized in the Acquisition of Quest of $6.9 million.</w:t>
      </w:r>
    </w:p>
    <w:p>
      <w:pPr>
        <w:spacing w:after="0" w:line="183" w:lineRule="exact"/>
        <w:rPr>
          <w:rFonts w:ascii="Arial" w:cs="Arial" w:eastAsia="Arial" w:hAnsi="Arial"/>
          <w:sz w:val="18"/>
          <w:szCs w:val="18"/>
          <w:i w:val="1"/>
          <w:iCs w:val="1"/>
          <w:color w:val="auto"/>
        </w:rPr>
      </w:pPr>
    </w:p>
    <w:p>
      <w:pPr>
        <w:jc w:val="both"/>
        <w:ind w:left="980" w:hanging="324"/>
        <w:spacing w:after="0" w:line="279"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Business transaction costs</w:t>
      </w:r>
      <w:r>
        <w:rPr>
          <w:rFonts w:ascii="Arial" w:cs="Arial" w:eastAsia="Arial" w:hAnsi="Arial"/>
          <w:sz w:val="17"/>
          <w:szCs w:val="17"/>
          <w:color w:val="auto"/>
        </w:rPr>
        <w:t>. Business transaction costs increased $20.0 million for the fifty-two week period ended August 29, 2020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fifty-three week period ended August 31, 2019. The $27.1 million incurred in the fifty-two week period ended August 29, 2020 was comprised of expenses related to the Acquisition of Quest. The $7.1 million recorded in the fifty-three week period ended August 31, 2019 was comprised of both expenses relating to the Acquisition of Quest and other business development activities.</w:t>
      </w:r>
    </w:p>
    <w:p>
      <w:pPr>
        <w:spacing w:after="0" w:line="171"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Loss on impairment</w:t>
      </w:r>
      <w:r>
        <w:rPr>
          <w:rFonts w:ascii="Arial" w:cs="Arial" w:eastAsia="Arial" w:hAnsi="Arial"/>
          <w:sz w:val="17"/>
          <w:szCs w:val="17"/>
          <w:color w:val="auto"/>
        </w:rPr>
        <w:t>. During the fourth quarter of fiscal 2020, we determined there were indicators of impairment related to the SimplyProtein</w:t>
      </w:r>
      <w:r>
        <w:rPr>
          <w:rFonts w:ascii="Arial" w:cs="Arial" w:eastAsia="Arial" w:hAnsi="Arial"/>
          <w:sz w:val="17"/>
          <w:szCs w:val="17"/>
          <w:i w:val="1"/>
          <w:iCs w:val="1"/>
          <w:color w:val="auto"/>
        </w:rPr>
        <w:t xml:space="preserve"> </w:t>
      </w:r>
      <w:r>
        <w:rPr>
          <w:rFonts w:ascii="Arial" w:cs="Arial" w:eastAsia="Arial" w:hAnsi="Arial"/>
          <w:sz w:val="17"/>
          <w:szCs w:val="17"/>
          <w:color w:val="auto"/>
        </w:rPr>
        <w:t>brand intangible asset. After performing a quantitative assessment of the brand intangible asset, which indicated its fair value exceeded its carrying value, we recorded a loss on impairment of $3.0 million in the fifty-two week period ended August 29, 2020.</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The fifty-three week period ended August 31, 2019 included a loss in</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change of contingent consideration of $0.5 million. The Income Tax Receivable Agreement (the “TRA”) liability was settled in full in the first quarter of fiscal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$2.3 million for the fifty-two week period ended August 29, 2020 compared to the fifty-two week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August 29, 2020 primarily due to $195.3 million of cash on hand being utilized for the Acquisition of Quest in the first quarter of fiscal year 2020.</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$19.2 million for the fifty-two week period ended August 29, 2020 compared to the fifty-three week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ended August 31, 2019 primarily due to first quarter term loan funding of $460.0 million to partially finance the Acquisition of Quest.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Gain on settlement of TRA liability. </w:t>
      </w:r>
      <w:r>
        <w:rPr>
          <w:rFonts w:ascii="Arial" w:cs="Arial" w:eastAsia="Arial" w:hAnsi="Arial"/>
          <w:sz w:val="18"/>
          <w:szCs w:val="18"/>
          <w:color w:val="auto"/>
        </w:rPr>
        <w:t>We recorded a $1.5 million gain in connection with the settlement of the TRA liability in the fifty-three week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August 31, 2019. The TRA settlement is discussed in Note 10, Income Taxes, of our Consolidated Financial Statements included in this Report.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gain of $0.7 million in foreign currency transactions was recorded for the fifty-two 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August 29, 2020 compared to a foreign currency loss of $0.5 million for the fifty-three week period ended August 31, 2019. The variance relates to changes in foreign currency rates related to our international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$3.4 million for the fifty-two week period ended August 29, 2020 compared to the fifty-three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period ended August 31, 2019. The decrease in our income tax expense was primarily driven by lower pre-tax book income, offset by the tax effects of foreign earnings and the one-time tax effect of the settlement of the TRA liability during the fifty-three week period ended August 31, 2019, and other permanent differences.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was $34.7 million for the fifty-two week period ended August 29, 2020, a decrease of $12.8 million, or 27.0%,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net income of $47.5 million for the fifty-three week period ended August 31, 2019.</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$55.2 million, or 55.9%, for the fifty-two week period ended August 29, 2020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fifty-three week period ended August 31, 2019. The increase was primarily due to the Acquisition of Quest and modest volume growth on the Atkins brand. For a reconciliation of Adjusted EBITDA to its most directly comparable GAAP measure, see “Reconciliation of Adjusted EBITDA”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Comparison of Results for the Fifty-Three Weeks Ended August 31, 2019 and the Fifty-Two Weeks Ended August 25, 2018</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for the periods indicated, selected information from our consolidated financial results, including information presented as a percentage of net sales:</w:t>
      </w:r>
    </w:p>
    <w:p>
      <w:pPr>
        <w:sectPr>
          <w:pgSz w:w="11900" w:h="16838" w:orient="portrait"/>
          <w:cols w:equalWidth="0" w:num="1">
            <w:col w:w="11240"/>
          </w:cols>
          <w:pgMar w:left="320" w:top="557" w:right="339" w:bottom="1440" w:gutter="0" w:footer="0" w:header="0"/>
        </w:sectPr>
      </w:pP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w w:val="89"/>
              </w:rPr>
              <w:t>52-Weeks Ended</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August 31, 2019</w:t>
            </w:r>
          </w:p>
        </w:tc>
        <w:tc>
          <w:tcPr>
            <w:tcW w:w="0" w:type="dxa"/>
            <w:vAlign w:val="bottom"/>
          </w:tcPr>
          <w:p>
            <w:pPr>
              <w:spacing w:after="0"/>
              <w:rPr>
                <w:sz w:val="1"/>
                <w:szCs w:val="1"/>
                <w:color w:val="auto"/>
              </w:rPr>
            </w:pP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523,383</w:t>
            </w:r>
          </w:p>
        </w:tc>
        <w:tc>
          <w:tcPr>
            <w:tcW w:w="0" w:type="dxa"/>
            <w:vAlign w:val="bottom"/>
          </w:tcPr>
          <w:p>
            <w:pPr>
              <w:spacing w:after="0"/>
              <w:rPr>
                <w:sz w:val="1"/>
                <w:szCs w:val="1"/>
                <w:color w:val="auto"/>
              </w:rPr>
            </w:pPr>
          </w:p>
        </w:tc>
      </w:tr>
      <w:tr>
        <w:trPr>
          <w:trHeight w:val="30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 xml:space="preserve">Cost of goods sold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305,978</w:t>
            </w:r>
          </w:p>
        </w:tc>
        <w:tc>
          <w:tcPr>
            <w:tcW w:w="0" w:type="dxa"/>
            <w:vAlign w:val="bottom"/>
          </w:tcPr>
          <w:p>
            <w:pPr>
              <w:spacing w:after="0"/>
              <w:rPr>
                <w:sz w:val="1"/>
                <w:szCs w:val="1"/>
                <w:color w:val="auto"/>
              </w:rPr>
            </w:pPr>
          </w:p>
        </w:tc>
      </w:tr>
      <w:tr>
        <w:trPr>
          <w:trHeight w:val="217"/>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217,405</w:t>
            </w:r>
          </w:p>
        </w:tc>
        <w:tc>
          <w:tcPr>
            <w:tcW w:w="0" w:type="dxa"/>
            <w:vAlign w:val="bottom"/>
          </w:tcPr>
          <w:p>
            <w:pPr>
              <w:spacing w:after="0"/>
              <w:rPr>
                <w:sz w:val="1"/>
                <w:szCs w:val="1"/>
                <w:color w:val="auto"/>
              </w:rPr>
            </w:pP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 xml:space="preserve">Selling and marketing </w:t>
            </w:r>
            <w:r>
              <w:rPr>
                <w:rFonts w:ascii="Arial" w:cs="Arial" w:eastAsia="Arial" w:hAnsi="Arial"/>
                <w:sz w:val="21"/>
                <w:szCs w:val="21"/>
                <w:color w:val="auto"/>
                <w:vertAlign w:val="superscript"/>
              </w:rPr>
              <w:t>(2)</w:t>
            </w: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67,488</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61,972</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7,496</w:t>
            </w:r>
          </w:p>
        </w:tc>
        <w:tc>
          <w:tcPr>
            <w:tcW w:w="0" w:type="dxa"/>
            <w:vAlign w:val="bottom"/>
          </w:tcPr>
          <w:p>
            <w:pPr>
              <w:spacing w:after="0"/>
              <w:rPr>
                <w:sz w:val="1"/>
                <w:szCs w:val="1"/>
                <w:color w:val="auto"/>
              </w:rPr>
            </w:pPr>
          </w:p>
        </w:tc>
      </w:tr>
      <w:tr>
        <w:trPr>
          <w:trHeight w:val="206"/>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Business transaction costs</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w w:val="99"/>
              </w:rPr>
              <w:t>Loss (gain) in fair value change of contingent consideration - TRA liability</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144,596</w:t>
            </w:r>
          </w:p>
        </w:tc>
        <w:tc>
          <w:tcPr>
            <w:tcW w:w="0" w:type="dxa"/>
            <w:vAlign w:val="bottom"/>
          </w:tcPr>
          <w:p>
            <w:pPr>
              <w:spacing w:after="0"/>
              <w:rPr>
                <w:sz w:val="1"/>
                <w:szCs w:val="1"/>
                <w:color w:val="auto"/>
              </w:rPr>
            </w:pP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72,809</w:t>
            </w:r>
          </w:p>
        </w:tc>
        <w:tc>
          <w:tcPr>
            <w:tcW w:w="0" w:type="dxa"/>
            <w:vAlign w:val="bottom"/>
          </w:tcPr>
          <w:p>
            <w:pPr>
              <w:spacing w:after="0"/>
              <w:rPr>
                <w:sz w:val="1"/>
                <w:szCs w:val="1"/>
                <w:color w:val="auto"/>
              </w:rPr>
            </w:pP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(13,627)</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Gain on settlement of TRA liability</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(Loss) gain on foreign currency transactions</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70"/>
        </w:trPr>
        <w:tc>
          <w:tcPr>
            <w:tcW w:w="5340" w:type="dxa"/>
            <w:vAlign w:val="bottom"/>
            <w:gridSpan w:val="2"/>
          </w:tcPr>
          <w:p>
            <w:pPr>
              <w:ind w:left="16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(8,523)</w:t>
            </w:r>
          </w:p>
        </w:tc>
        <w:tc>
          <w:tcPr>
            <w:tcW w:w="0" w:type="dxa"/>
            <w:vAlign w:val="bottom"/>
          </w:tcPr>
          <w:p>
            <w:pPr>
              <w:spacing w:after="0"/>
              <w:rPr>
                <w:sz w:val="1"/>
                <w:szCs w:val="1"/>
                <w:color w:val="auto"/>
              </w:rPr>
            </w:pPr>
          </w:p>
        </w:tc>
      </w:tr>
      <w:tr>
        <w:trPr>
          <w:trHeight w:val="567"/>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64,286</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16,750</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47,536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340" w:type="dxa"/>
            <w:vAlign w:val="bottom"/>
            <w:gridSpan w:val="2"/>
          </w:tcPr>
          <w:p>
            <w:pPr>
              <w:ind w:left="20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98,719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-4756785</wp:posOffset>
            </wp:positionV>
            <wp:extent cx="63519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-4413885</wp:posOffset>
            </wp:positionV>
            <wp:extent cx="635190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1905" cy="18859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-4053840</wp:posOffset>
            </wp:positionV>
            <wp:extent cx="63519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-3710940</wp:posOffset>
            </wp:positionV>
            <wp:extent cx="63519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-3368040</wp:posOffset>
            </wp:positionV>
            <wp:extent cx="63519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-3025140</wp:posOffset>
            </wp:positionV>
            <wp:extent cx="635190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1905" cy="18859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-2665095</wp:posOffset>
            </wp:positionV>
            <wp:extent cx="635190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1905" cy="18859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-2305050</wp:posOffset>
            </wp:positionV>
            <wp:extent cx="63519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-1962150</wp:posOffset>
            </wp:positionV>
            <wp:extent cx="63519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-1619250</wp:posOffset>
            </wp:positionV>
            <wp:extent cx="63519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-1276350</wp:posOffset>
            </wp:positionV>
            <wp:extent cx="635190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1905" cy="18859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-916305</wp:posOffset>
            </wp:positionV>
            <wp:extent cx="63519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-565150</wp:posOffset>
            </wp:positionV>
            <wp:extent cx="635190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1905" cy="20574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-187960</wp:posOffset>
            </wp:positionV>
            <wp:extent cx="635190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19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gridSpan w:val="2"/>
          </w:tcPr>
          <w:p>
            <w:pPr>
              <w:ind w:left="200"/>
              <w:spacing w:after="0"/>
              <w:rPr>
                <w:sz w:val="20"/>
                <w:szCs w:val="20"/>
                <w:color w:val="auto"/>
              </w:rPr>
            </w:pPr>
            <w:r>
              <w:rPr>
                <w:rFonts w:ascii="Arial" w:cs="Arial" w:eastAsia="Arial" w:hAnsi="Arial"/>
                <w:sz w:val="16"/>
                <w:szCs w:val="16"/>
                <w:color w:val="auto"/>
              </w:rPr>
              <w:t>% of</w:t>
            </w:r>
          </w:p>
        </w:tc>
        <w:tc>
          <w:tcPr>
            <w:tcW w:w="12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 of</w:t>
            </w:r>
          </w:p>
        </w:tc>
      </w:tr>
      <w:tr>
        <w:trPr>
          <w:trHeight w:val="247"/>
        </w:trPr>
        <w:tc>
          <w:tcPr>
            <w:tcW w:w="860" w:type="dxa"/>
            <w:vAlign w:val="bottom"/>
            <w:gridSpan w:val="2"/>
          </w:tcPr>
          <w:p>
            <w:pPr>
              <w:ind w:left="20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August 25, 2018</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Sales</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431,429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58.5 %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251,063</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58.2 %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41.5 %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180,366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41.8 %</w:t>
            </w:r>
          </w:p>
        </w:tc>
      </w:tr>
      <w:tr>
        <w:trPr>
          <w:trHeight w:val="837"/>
        </w:trPr>
        <w:tc>
          <w:tcPr>
            <w:tcW w:w="740" w:type="dxa"/>
            <w:vAlign w:val="bottom"/>
          </w:tcPr>
          <w:p>
            <w:pPr>
              <w:jc w:val="right"/>
              <w:spacing w:after="0"/>
              <w:rPr>
                <w:sz w:val="20"/>
                <w:szCs w:val="20"/>
                <w:color w:val="auto"/>
              </w:rPr>
            </w:pPr>
            <w:r>
              <w:rPr>
                <w:rFonts w:ascii="Arial" w:cs="Arial" w:eastAsia="Arial" w:hAnsi="Arial"/>
                <w:sz w:val="16"/>
                <w:szCs w:val="16"/>
                <w:color w:val="auto"/>
              </w:rPr>
              <w:t>12.9 %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59,092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49,635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7,498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27.6 %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115,636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26.8 %</w:t>
            </w:r>
          </w:p>
        </w:tc>
      </w:tr>
      <w:tr>
        <w:trPr>
          <w:trHeight w:val="567"/>
        </w:trPr>
        <w:tc>
          <w:tcPr>
            <w:tcW w:w="740" w:type="dxa"/>
            <w:vAlign w:val="bottom"/>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64,730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15.0 %</w:t>
            </w:r>
          </w:p>
        </w:tc>
      </w:tr>
      <w:tr>
        <w:trPr>
          <w:trHeight w:val="837"/>
        </w:trPr>
        <w:tc>
          <w:tcPr>
            <w:tcW w:w="74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(12,551)</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860" w:type="dxa"/>
            <w:vAlign w:val="bottom"/>
            <w:gridSpan w:val="2"/>
          </w:tcPr>
          <w:p>
            <w:pPr>
              <w:ind w:left="3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567"/>
        </w:trPr>
        <w:tc>
          <w:tcPr>
            <w:tcW w:w="74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53,091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(17,364)</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70,455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71"/>
        </w:trPr>
        <w:tc>
          <w:tcPr>
            <w:tcW w:w="740" w:type="dxa"/>
            <w:vAlign w:val="bottom"/>
          </w:tcPr>
          <w:p>
            <w:pPr>
              <w:jc w:val="right"/>
              <w:spacing w:after="0"/>
              <w:rPr>
                <w:sz w:val="20"/>
                <w:szCs w:val="20"/>
                <w:color w:val="auto"/>
              </w:rPr>
            </w:pPr>
            <w:r>
              <w:rPr>
                <w:rFonts w:ascii="Arial" w:cs="Arial" w:eastAsia="Arial" w:hAnsi="Arial"/>
                <w:sz w:val="16"/>
                <w:szCs w:val="16"/>
                <w:color w:val="auto"/>
              </w:rPr>
              <w:t>18.9 %</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78,602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18.2 %</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400" w:space="100"/>
            <w:col w:w="3740"/>
          </w:cols>
          <w:pgMar w:left="320" w:top="557" w:right="339" w:bottom="1440" w:gutter="0" w:footer="0" w:header="0"/>
          <w:type w:val="continuous"/>
        </w:sectPr>
      </w:pPr>
    </w:p>
    <w:p>
      <w:pPr>
        <w:ind w:left="500" w:right="300" w:hanging="394"/>
        <w:spacing w:after="0" w:line="255" w:lineRule="auto"/>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During the fifty-three weeks ended August 31, 2019, certain reclassifications were made to previously reported amounts to conform to the current presentation. On the consolidated statement of operations, outbound freight previously included in Distribution, distribution center expenses previously included in </w:t>
      </w:r>
      <w:r>
        <w:rPr>
          <w:rFonts w:ascii="Arial" w:cs="Arial" w:eastAsia="Arial" w:hAnsi="Arial"/>
          <w:sz w:val="13"/>
          <w:szCs w:val="13"/>
          <w:i w:val="1"/>
          <w:iCs w:val="1"/>
          <w:color w:val="auto"/>
        </w:rPr>
        <w:t>General and administrative</w:t>
      </w:r>
      <w:r>
        <w:rPr>
          <w:rFonts w:ascii="Arial" w:cs="Arial" w:eastAsia="Arial" w:hAnsi="Arial"/>
          <w:sz w:val="13"/>
          <w:szCs w:val="13"/>
          <w:color w:val="auto"/>
        </w:rPr>
        <w:t xml:space="preserve">, and depreciation for equipment used in warehouse operations were reclassified to </w:t>
      </w:r>
      <w:r>
        <w:rPr>
          <w:rFonts w:ascii="Arial" w:cs="Arial" w:eastAsia="Arial" w:hAnsi="Arial"/>
          <w:sz w:val="13"/>
          <w:szCs w:val="13"/>
          <w:i w:val="1"/>
          <w:iCs w:val="1"/>
          <w:color w:val="auto"/>
        </w:rPr>
        <w:t>Cost of goods sold</w:t>
      </w:r>
      <w:r>
        <w:rPr>
          <w:rFonts w:ascii="Arial" w:cs="Arial" w:eastAsia="Arial" w:hAnsi="Arial"/>
          <w:sz w:val="13"/>
          <w:szCs w:val="13"/>
          <w:color w:val="auto"/>
        </w:rPr>
        <w:t>. Fiscal year 2018 reflects adjusted amounts in accordance with this accounting principle change. See Note 2 to the consolidated financial statements included herein for additional information on the accounting principle change.</w:t>
      </w:r>
    </w:p>
    <w:p>
      <w:pPr>
        <w:ind w:left="500" w:hanging="394"/>
        <w:spacing w:after="0" w:line="216" w:lineRule="auto"/>
        <w:tabs>
          <w:tab w:leader="none" w:pos="500" w:val="left"/>
        </w:tabs>
        <w:numPr>
          <w:ilvl w:val="0"/>
          <w:numId w:val="16"/>
        </w:numPr>
        <w:rPr>
          <w:rFonts w:ascii="Arial" w:cs="Arial" w:eastAsia="Arial" w:hAnsi="Arial"/>
          <w:sz w:val="26"/>
          <w:szCs w:val="26"/>
          <w:color w:val="auto"/>
          <w:vertAlign w:val="superscript"/>
        </w:rPr>
      </w:pPr>
      <w:r>
        <w:rPr>
          <w:rFonts w:ascii="Arial" w:cs="Arial" w:eastAsia="Arial" w:hAnsi="Arial"/>
          <w:sz w:val="13"/>
          <w:szCs w:val="13"/>
          <w:color w:val="auto"/>
        </w:rPr>
        <w:t>During the fifty-three weeks ended August 31, 2019, the Company combined Selling and Marketing within one financial statement line. Fiscal year 2018 reflects adjusted amounts.</w:t>
      </w:r>
    </w:p>
    <w:p>
      <w:pPr>
        <w:spacing w:after="0" w:line="100" w:lineRule="exact"/>
        <w:rPr>
          <w:rFonts w:ascii="Arial" w:cs="Arial" w:eastAsia="Arial" w:hAnsi="Arial"/>
          <w:sz w:val="26"/>
          <w:szCs w:val="26"/>
          <w:color w:val="auto"/>
          <w:vertAlign w:val="superscript"/>
        </w:rPr>
      </w:pPr>
    </w:p>
    <w:p>
      <w:pPr>
        <w:ind w:left="500" w:hanging="394"/>
        <w:spacing w:after="0" w:line="186" w:lineRule="auto"/>
        <w:tabs>
          <w:tab w:leader="none" w:pos="500" w:val="left"/>
        </w:tabs>
        <w:numPr>
          <w:ilvl w:val="0"/>
          <w:numId w:val="16"/>
        </w:numPr>
        <w:rPr>
          <w:rFonts w:ascii="Arial" w:cs="Arial" w:eastAsia="Arial" w:hAnsi="Arial"/>
          <w:sz w:val="19"/>
          <w:szCs w:val="19"/>
          <w:color w:val="auto"/>
          <w:vertAlign w:val="superscript"/>
        </w:rPr>
      </w:pPr>
      <w:r>
        <w:rPr>
          <w:rFonts w:ascii="Arial" w:cs="Arial" w:eastAsia="Arial" w:hAnsi="Arial"/>
          <w:sz w:val="11"/>
          <w:szCs w:val="11"/>
          <w:color w:val="auto"/>
        </w:rPr>
        <w:t>Adjusted EBITDA is a non-GAAP financial metric. See “Reconciliation of Adjusted EBITDA” below for a reconciliation of Adjusted EBITDA to net income for each applicable period.</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fifty-three week period ended August 31, 2019 were $523.4 million compared to $431.4 million for the fifty-two week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ended August 25, 2018. The net sales increase of 21.3% was driven by volume growth. Net price realization was a slight benefit, partially offset by a shift in non-price related customer activity. The fifty-third week of fiscal 2019 was a 1.8% contribution to full year sales growth.</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Cost of goods sold. </w:t>
      </w:r>
      <w:r>
        <w:rPr>
          <w:rFonts w:ascii="Arial" w:cs="Arial" w:eastAsia="Arial" w:hAnsi="Arial"/>
          <w:sz w:val="18"/>
          <w:szCs w:val="18"/>
          <w:color w:val="auto"/>
        </w:rPr>
        <w:t>Cost of goods sold for the fifty-three week period ended August 31, 2019 were $306.0 million compared to $251.1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fifty-two week period ended August 25, 2018. The cost of goods sold increase was driven by sales volume growth and increased distribution center expenses. These increases were partially offset by logistics efficiencies.</w:t>
      </w:r>
    </w:p>
    <w:p>
      <w:pPr>
        <w:sectPr>
          <w:pgSz w:w="11900" w:h="16838" w:orient="portrait"/>
          <w:cols w:equalWidth="0" w:num="1">
            <w:col w:w="11240"/>
          </w:cols>
          <w:pgMar w:left="320" w:top="557" w:right="33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557" w:right="339" w:bottom="1440" w:gutter="0" w:footer="0" w:header="0"/>
          <w:type w:val="continuous"/>
        </w:sectPr>
      </w:pPr>
    </w:p>
    <w:bookmarkStart w:id="39" w:name="page40"/>
    <w:bookmarkEnd w:id="39"/>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30 basis points from 41.8% of net sales for the fifty-two week period ended August 25, 2018 to 41.5%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for the fifty-three week period ended August 31, 2019. Gross margin was effected by non-price related customer activity that was a shift from selling and marketing expenses.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Operating expenses for the fifty-three week period ended August 31, 2019 were $144.6 million, or 27.6% of net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$115.6 million, or 26.8% of net sales, for the fifty-two week period ended August 25, 2018 due to the following:</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$8.4 million, or 14.2%, for the fifty-three week period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fifty-two week period ended August 25, 2018. The increase was primarily due to an increase in television media and e-commerce investments, offset by a shift in non-price related customer activity.</w:t>
      </w:r>
    </w:p>
    <w:p>
      <w:pPr>
        <w:spacing w:after="0" w:line="183" w:lineRule="exact"/>
        <w:rPr>
          <w:rFonts w:ascii="Arial" w:cs="Arial" w:eastAsia="Arial" w:hAnsi="Arial"/>
          <w:sz w:val="18"/>
          <w:szCs w:val="18"/>
          <w:i w:val="1"/>
          <w:iCs w:val="1"/>
          <w:color w:val="auto"/>
        </w:rPr>
      </w:pPr>
    </w:p>
    <w:p>
      <w:pPr>
        <w:jc w:val="both"/>
        <w:ind w:left="980" w:right="2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$12.3 million, or 24.9%, for the fifty-three week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2019 compared to the fifty-two week period ended August 25, 2018. The increase was due to higher incentive compensation of $5.3 million, internal resource investments of $3.3 million, and a legal settlement of $3.5 million.</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for the fifty-three week period ended August 31, 2019 were flat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fifty-two week period ended August 25, 2018.</w:t>
      </w:r>
    </w:p>
    <w:p>
      <w:pPr>
        <w:spacing w:after="0" w:line="170" w:lineRule="exact"/>
        <w:rPr>
          <w:rFonts w:ascii="Arial" w:cs="Arial" w:eastAsia="Arial" w:hAnsi="Arial"/>
          <w:sz w:val="18"/>
          <w:szCs w:val="18"/>
          <w:i w:val="1"/>
          <w:iCs w:val="1"/>
          <w:color w:val="auto"/>
        </w:rPr>
      </w:pPr>
    </w:p>
    <w:p>
      <w:pPr>
        <w:jc w:val="both"/>
        <w:ind w:left="98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increased $4.8 million for the fifty-three week period ended August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fifty-two week period ended August 25, 2018. The increase was primarily due to the Acquisition of Quest, which was pending at the end of the fifty-three week period ended August 31, 2019. The $2.3 million recorded in the fifty-two week period ended August 25, 2018 was comprised of expenses related to business development activities.</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Loss (gain) in fair value change of contingent consideration - TRA liability</w:t>
      </w:r>
      <w:r>
        <w:rPr>
          <w:rFonts w:ascii="Arial" w:cs="Arial" w:eastAsia="Arial" w:hAnsi="Arial"/>
          <w:sz w:val="18"/>
          <w:szCs w:val="18"/>
          <w:color w:val="auto"/>
        </w:rPr>
        <w:t>. The fifty-three week period ended August 31, 2019 included a</w:t>
      </w:r>
      <w:r>
        <w:rPr>
          <w:rFonts w:ascii="Arial" w:cs="Arial" w:eastAsia="Arial" w:hAnsi="Arial"/>
          <w:sz w:val="18"/>
          <w:szCs w:val="18"/>
          <w:i w:val="1"/>
          <w:iCs w:val="1"/>
          <w:color w:val="auto"/>
        </w:rPr>
        <w:t xml:space="preserve"> </w:t>
      </w:r>
      <w:r>
        <w:rPr>
          <w:rFonts w:ascii="Arial" w:cs="Arial" w:eastAsia="Arial" w:hAnsi="Arial"/>
          <w:sz w:val="18"/>
          <w:szCs w:val="18"/>
          <w:color w:val="auto"/>
        </w:rPr>
        <w:t>loss in fair value change of contingent consideration of $0.5 million. The $2.8 million gain in the fifty-two week period ended August 25, 2018 reflected the effect of the change in tax law in the prior year.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increased $3.8 million for the fifty-three week period ended August 31, 2019 compared to the fifty-two week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August 25, 2018 due to our increased cash balance resulting from warrant exercises during the fifty-three week period ended August 31, 2019 and an increase in market interest rates.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the fifty-three week period ended August 31, 2019 was $13.6 million compared to $12.6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fifty-two week period ended August 25, 2018, and the increase was due to the changes in market interest rates.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(Loss) gain on foreign currency transactions. </w:t>
      </w:r>
      <w:r>
        <w:rPr>
          <w:rFonts w:ascii="Arial" w:cs="Arial" w:eastAsia="Arial" w:hAnsi="Arial"/>
          <w:sz w:val="18"/>
          <w:szCs w:val="18"/>
          <w:color w:val="auto"/>
        </w:rPr>
        <w:t>A loss of $0.5 million in foreign currency transactions was recorded for the fifty-two 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August 25, 2018 compared to a foreign currency gain of $0.1 million for the fifty-two week period ended August 25, 2018. The change relates to changes in foreign currency rates related to international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fifty-three week period ended August 31, 2019 was $16.8 million compared to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benefit of $17.4 million for the fifty-two week period ended August 25, 2018. The increase in our income tax expense is primarily attributed to the one-time benefit of $29.0 million related to the tax law change and remeasurement of deferred tax liabilities recorded in the fifty-two week period ended August 25, 2018, which did not apply for the fifty-three week period ended August 31, 2019.</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was $47.5 million for the fifty-three week period ended August 31, 2019, a decrease of $22.9 million, or 32.5%,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income of $70.5 million for the fifty-two week period ended August 25, 2018.</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for the fifty-three week period ended August 31, 2019 was $98.7 million compared to $78.6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fifty-two week period ended August 25, 2018. For a reconciliation of Adjusted EBITDA to its most directly comparable GAAP measure, see “Reconciliation of Adjusted EBITDA”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EBITDA is a non-GAAP financial measure commonly used in our industry and should not be construed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to 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loss in fair value change of contingent consideration - TRA liability, gain on settlement of TRA liability and other non-core expenses. The Company believes that the inclusion of these supplementary adjustments in presenting Adjusted EBITDA, when used in conjunction with net income, are appropriate to provide additional information to investors, and management of the Company uses Adjusted EBITDA to supplement net income because it reflects more accurately operating results of the</w:t>
      </w:r>
    </w:p>
    <w:p>
      <w:pPr>
        <w:sectPr>
          <w:pgSz w:w="11900" w:h="16838" w:orient="portrait"/>
          <w:cols w:equalWidth="0" w:num="1">
            <w:col w:w="11240"/>
          </w:cols>
          <w:pgMar w:left="320" w:top="34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341" w:right="339" w:bottom="1440" w:gutter="0" w:footer="0" w:header="0"/>
          <w:type w:val="continuous"/>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EBITDA may not be comparable to other similarly titled captions of other companies due to differences in the non-GAAP calculation</w:t>
      </w:r>
      <w:r>
        <w:rPr>
          <w:rFonts w:ascii="Arial" w:cs="Arial" w:eastAsia="Arial" w:hAnsi="Arial"/>
          <w:sz w:val="17"/>
          <w:szCs w:val="17"/>
          <w:i w:val="1"/>
          <w:iCs w:val="1"/>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fifty-two week period ended August 29, 2020, the fifty-three week period ended August 31, 2019, and the fifty-two week period ended August 25, 2018:</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 Reconciliation:</w:t>
            </w: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2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53-Weeks Ended</w:t>
            </w:r>
          </w:p>
        </w:tc>
        <w:tc>
          <w:tcPr>
            <w:tcW w:w="14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w w:val="91"/>
              </w:rPr>
              <w:t>52-Weeks Ended</w:t>
            </w:r>
          </w:p>
        </w:tc>
      </w:tr>
      <w:tr>
        <w:trPr>
          <w:trHeight w:val="283"/>
        </w:trPr>
        <w:tc>
          <w:tcPr>
            <w:tcW w:w="54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40" w:type="dxa"/>
            <w:vAlign w:val="bottom"/>
          </w:tcPr>
          <w:p>
            <w:pPr>
              <w:spacing w:after="0"/>
              <w:rPr>
                <w:sz w:val="24"/>
                <w:szCs w:val="24"/>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4"/>
              </w:rPr>
              <w:t>August 25, 2018</w:t>
            </w:r>
          </w:p>
        </w:tc>
      </w:tr>
      <w:tr>
        <w:trPr>
          <w:trHeight w:val="33"/>
        </w:trPr>
        <w:tc>
          <w:tcPr>
            <w:tcW w:w="5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34,700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70,455</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12,551</w:t>
            </w: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(17,364)</w:t>
            </w: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7,672</w:t>
            </w:r>
          </w:p>
        </w:tc>
      </w:tr>
      <w:tr>
        <w:trPr>
          <w:trHeight w:val="33"/>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73,013</w:t>
            </w:r>
          </w:p>
        </w:tc>
      </w:tr>
      <w:tr>
        <w:trPr>
          <w:trHeight w:val="237"/>
        </w:trPr>
        <w:tc>
          <w:tcPr>
            <w:tcW w:w="5460" w:type="dxa"/>
            <w:vAlign w:val="bottom"/>
            <w:gridSpan w:val="2"/>
          </w:tcPr>
          <w:p>
            <w:pPr>
              <w:ind w:left="160"/>
              <w:spacing w:after="0"/>
              <w:rPr>
                <w:sz w:val="20"/>
                <w:szCs w:val="20"/>
                <w:color w:val="auto"/>
              </w:rPr>
            </w:pPr>
            <w:r>
              <w:rPr>
                <w:rFonts w:ascii="Arial" w:cs="Arial" w:eastAsia="Arial" w:hAnsi="Arial"/>
                <w:sz w:val="16"/>
                <w:szCs w:val="16"/>
                <w:color w:val="auto"/>
              </w:rPr>
              <w:t>Business transaction costs</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2,259</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4,029</w:t>
            </w:r>
          </w:p>
        </w:tc>
      </w:tr>
      <w:tr>
        <w:trPr>
          <w:trHeight w:val="237"/>
        </w:trPr>
        <w:tc>
          <w:tcPr>
            <w:tcW w:w="5460" w:type="dxa"/>
            <w:vAlign w:val="bottom"/>
            <w:gridSpan w:val="2"/>
          </w:tcPr>
          <w:p>
            <w:pPr>
              <w:ind w:left="160"/>
              <w:spacing w:after="0"/>
              <w:rPr>
                <w:sz w:val="20"/>
                <w:szCs w:val="20"/>
                <w:color w:val="auto"/>
              </w:rPr>
            </w:pPr>
            <w:r>
              <w:rPr>
                <w:rFonts w:ascii="Arial" w:cs="Arial" w:eastAsia="Arial" w:hAnsi="Arial"/>
                <w:sz w:val="16"/>
                <w:szCs w:val="16"/>
                <w:color w:val="auto"/>
              </w:rPr>
              <w:t>Inventory step-up</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Integration of Quest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460" w:type="dxa"/>
            <w:vAlign w:val="bottom"/>
            <w:gridSpan w:val="2"/>
          </w:tcPr>
          <w:p>
            <w:pPr>
              <w:ind w:left="160"/>
              <w:spacing w:after="0"/>
              <w:rPr>
                <w:sz w:val="20"/>
                <w:szCs w:val="20"/>
                <w:color w:val="auto"/>
              </w:rPr>
            </w:pPr>
            <w:r>
              <w:rPr>
                <w:rFonts w:ascii="Arial" w:cs="Arial" w:eastAsia="Arial" w:hAnsi="Arial"/>
                <w:sz w:val="16"/>
                <w:szCs w:val="16"/>
                <w:color w:val="auto"/>
              </w:rPr>
              <w:t>Restructuring</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Non-core legal costs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r>
      <w:tr>
        <w:trPr>
          <w:trHeight w:val="237"/>
        </w:trPr>
        <w:tc>
          <w:tcPr>
            <w:tcW w:w="5460" w:type="dxa"/>
            <w:vAlign w:val="bottom"/>
            <w:gridSpan w:val="2"/>
          </w:tcPr>
          <w:p>
            <w:pPr>
              <w:ind w:left="160"/>
              <w:spacing w:after="0"/>
              <w:rPr>
                <w:sz w:val="20"/>
                <w:szCs w:val="20"/>
                <w:color w:val="auto"/>
              </w:rPr>
            </w:pPr>
            <w:r>
              <w:rPr>
                <w:rFonts w:ascii="Arial" w:cs="Arial" w:eastAsia="Arial" w:hAnsi="Arial"/>
                <w:sz w:val="16"/>
                <w:szCs w:val="16"/>
                <w:color w:val="auto"/>
              </w:rPr>
              <w:t>Loss (gain) in fair value change of contingent consideration - TRA liability</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(2,848)</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Gain on settlement of TRA</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w:t>
            </w:r>
          </w:p>
        </w:tc>
      </w:tr>
      <w:tr>
        <w:trPr>
          <w:trHeight w:val="243"/>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2888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40" w:hanging="165"/>
        <w:spacing w:after="0"/>
        <w:tabs>
          <w:tab w:leader="none" w:pos="24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Diluted Earnings Per Share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Adjusted Diluted Earnings Per Share</w:t>
      </w:r>
      <w:r>
        <w:rPr>
          <w:rFonts w:ascii="Arial" w:cs="Arial" w:eastAsia="Arial" w:hAnsi="Arial"/>
          <w:sz w:val="17"/>
          <w:szCs w:val="17"/>
          <w:color w:val="auto"/>
        </w:rPr>
        <w:t>. Adjusted Diluted Earnings Per Share is a non-GAAP financial measure commonly used in our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should not be construed as an alternative to diluted earnings per share as an indicator of operating performance. Simply Good Foods defines Adjusted Diluted Earnings Per Share as diluted earnings per share before depreciation and amortization, business transaction costs, stock-based compensation expense, inventory step-up, integration costs, restructuring costs, non-core legal costs, change in fair value of contingent consideration - TRA liability, gain on settlement of TRA liability and other non-core expenses, on a theoretical tax effected basis of such adjustments at an assumed statutory rate and adjusting for the effects of the Tax Cuts and Job Act tax reform. The Company believes that the inclusion of these supplementary adjustments in presenting Adjusted Diluted Earnings per Share, when used in conjunction with diluted earnings per share, are appropriate to provide additional information to investors, and management of the Company uses Adjusted Diluted Earnings Per Share to supplement diluted earnings per shares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Diluted Earnings per Share may not be comparable to other similarly titled captions of other companies due to differences in the non-GAAP calculation.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63" w:lineRule="auto"/>
        <w:rPr>
          <w:sz w:val="20"/>
          <w:szCs w:val="20"/>
          <w:color w:val="auto"/>
        </w:rPr>
      </w:pPr>
      <w:r>
        <w:rPr>
          <w:rFonts w:ascii="Arial" w:cs="Arial" w:eastAsia="Arial" w:hAnsi="Arial"/>
          <w:sz w:val="18"/>
          <w:szCs w:val="18"/>
          <w:color w:val="auto"/>
        </w:rPr>
        <w:t>The following unaudited tables below provide a reconciliation of Adjusted Diluted Earnings Per Share to its most directly comparable GAAP measure, which is diluted earnings per share, for the fifty-two week period ended August 29, 2020, the fifty-three week period ended August 31, 2019, and the fifty-two week period ended August 25, 2018:</w:t>
      </w:r>
    </w:p>
    <w:p>
      <w:pPr>
        <w:spacing w:after="0" w:line="36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53-Weeks Ended</w:t>
            </w:r>
          </w:p>
        </w:tc>
        <w:tc>
          <w:tcPr>
            <w:tcW w:w="140" w:type="dxa"/>
            <w:vAlign w:val="bottom"/>
          </w:tcPr>
          <w:p>
            <w:pPr>
              <w:spacing w:after="0"/>
              <w:rPr>
                <w:sz w:val="17"/>
                <w:szCs w:val="17"/>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w w:val="91"/>
              </w:rPr>
              <w:t>52-Weeks Ended</w:t>
            </w:r>
          </w:p>
        </w:tc>
        <w:tc>
          <w:tcPr>
            <w:tcW w:w="0" w:type="dxa"/>
            <w:vAlign w:val="bottom"/>
          </w:tcPr>
          <w:p>
            <w:pPr>
              <w:spacing w:after="0"/>
              <w:rPr>
                <w:sz w:val="1"/>
                <w:szCs w:val="1"/>
                <w:color w:val="auto"/>
              </w:rPr>
            </w:pPr>
          </w:p>
        </w:tc>
      </w:tr>
      <w:tr>
        <w:trPr>
          <w:trHeight w:val="270"/>
        </w:trPr>
        <w:tc>
          <w:tcPr>
            <w:tcW w:w="5460" w:type="dxa"/>
            <w:vAlign w:val="bottom"/>
            <w:gridSpan w:val="4"/>
          </w:tcPr>
          <w:p>
            <w:pPr>
              <w:ind w:left="20"/>
              <w:spacing w:after="0"/>
              <w:rPr>
                <w:sz w:val="20"/>
                <w:szCs w:val="20"/>
                <w:color w:val="auto"/>
              </w:rPr>
            </w:pPr>
            <w:r>
              <w:rPr>
                <w:rFonts w:ascii="Arial" w:cs="Arial" w:eastAsia="Arial" w:hAnsi="Arial"/>
                <w:sz w:val="16"/>
                <w:szCs w:val="16"/>
                <w:b w:val="1"/>
                <w:bCs w:val="1"/>
                <w:color w:val="auto"/>
              </w:rPr>
              <w:t>Adjusted Diluted Earnings Per Share Reconciliation:</w:t>
            </w: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4"/>
              </w:rPr>
              <w:t>August 25, 2018</w:t>
            </w: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Diluted earnings per share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Business transaction costs</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Stock-based compensation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Inventory step-up</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Integration of Quest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Restructuring</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Non-core legal costs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Loss (gain) in fair value change of contingent consideration - TRA liability</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Gain on settlement of TRA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Tax Cuts and Jobs Act tax benefit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Other</w:t>
            </w:r>
          </w:p>
        </w:tc>
        <w:tc>
          <w:tcPr>
            <w:tcW w:w="4920" w:type="dxa"/>
            <w:vAlign w:val="bottom"/>
            <w:shd w:val="clear" w:color="auto" w:fill="CCEEFF"/>
          </w:tcPr>
          <w:p>
            <w:pPr>
              <w:jc w:val="right"/>
              <w:ind w:right="4746"/>
              <w:spacing w:after="0"/>
              <w:rPr>
                <w:sz w:val="20"/>
                <w:szCs w:val="20"/>
                <w:color w:val="auto"/>
              </w:rPr>
            </w:pPr>
            <w:r>
              <w:rPr>
                <w:rFonts w:ascii="Arial" w:cs="Arial" w:eastAsia="Arial" w:hAnsi="Arial"/>
                <w:sz w:val="11"/>
                <w:szCs w:val="11"/>
                <w:color w:val="auto"/>
                <w:w w:val="74"/>
                <w:shd w:val="clear" w:color="auto" w:fill="CCEEFF"/>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vMerge w:val="continue"/>
            <w:shd w:val="clear" w:color="auto" w:fill="CCEEFF"/>
          </w:tcPr>
          <w:p>
            <w:pPr>
              <w:spacing w:after="0"/>
              <w:rPr>
                <w:sz w:val="7"/>
                <w:szCs w:val="7"/>
                <w:color w:val="auto"/>
              </w:rPr>
            </w:pPr>
          </w:p>
        </w:tc>
        <w:tc>
          <w:tcPr>
            <w:tcW w:w="4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gridSpan w:val="2"/>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460" w:type="dxa"/>
            <w:vAlign w:val="bottom"/>
            <w:gridSpan w:val="4"/>
          </w:tcPr>
          <w:p>
            <w:pPr>
              <w:ind w:left="20"/>
              <w:spacing w:after="0"/>
              <w:rPr>
                <w:sz w:val="20"/>
                <w:szCs w:val="20"/>
                <w:color w:val="auto"/>
              </w:rPr>
            </w:pPr>
            <w:r>
              <w:rPr>
                <w:rFonts w:ascii="Arial" w:cs="Arial" w:eastAsia="Arial" w:hAnsi="Arial"/>
                <w:sz w:val="16"/>
                <w:szCs w:val="16"/>
                <w:color w:val="auto"/>
              </w:rPr>
              <w:t xml:space="preserve">Rounding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Adjusted diluted earnings per share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240" w:hanging="165"/>
        <w:spacing w:after="0"/>
        <w:tabs>
          <w:tab w:leader="none" w:pos="24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ind w:left="240" w:hanging="165"/>
        <w:spacing w:after="0" w:line="209" w:lineRule="auto"/>
        <w:tabs>
          <w:tab w:leader="none" w:pos="257"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Adjusted Diluted Earnings Per Share amounts are computed independently for each quarter. Therefore, the sum of the quarterly Adjusted Diluted Earnings Per Share amounts may not equal the year to date Adjusted Diluted Earnings Per Share amounts due to rounding.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$95.8 million in cash and cash equivalents as of August 29, 2020.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July 7, 2017, we entered into a credit agreement with Barclays Bank PLC and other parties (as amended to date, the "Credit Agreement"). The Credit Agreement provides for (i) a term facility of $200.0 million (“Term Facility”) with a seven-year maturity and (ii) a revolving credit facility of up to $75.0 million (the “Revolving Credit Facility”) with a five-year maturity. Substantially concurrent with the consummation of the Acquisition of Atkins, the full $200.0 million of the Term Facility (the “Term Loan”) was drawn. The interest rate per annum is based on either (i) a base rate equaling the higher of</w:t>
      </w:r>
    </w:p>
    <w:p>
      <w:pPr>
        <w:spacing w:after="0" w:line="1" w:lineRule="exact"/>
        <w:rPr>
          <w:sz w:val="20"/>
          <w:szCs w:val="20"/>
          <w:color w:val="auto"/>
        </w:rPr>
      </w:pPr>
    </w:p>
    <w:p>
      <w:pPr>
        <w:jc w:val="both"/>
        <w:ind w:firstLine="8"/>
        <w:spacing w:after="0" w:line="273"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“prime rate”, (b) the federal funds effective rate plus 0.50% and (c) the Euro-currency rate applicable for an interest period of one month plus 1.00% plus (x) 3.00% margin for Term Loan or (y) 2.00% margin for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we have pledged certain equity interests in its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in connection with the Repricing Amendment. The incremental fees paid to the administrative</w:t>
      </w:r>
    </w:p>
    <w:p>
      <w:pPr>
        <w:sectPr>
          <w:pgSz w:w="11900" w:h="16838" w:orient="portrait"/>
          <w:cols w:equalWidth="0" w:num="1">
            <w:col w:w="11240"/>
          </w:cols>
          <w:pgMar w:left="320" w:top="34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34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agent are reflected as additional debt discount and are amortized over the terms of the long-term financing agreements using the effective-interest method.</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7, 2019, we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date is July 7, 2024.</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the third anniversary of the closing date of the credit facilities)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29, 2020 and August 31, 2019, respectively.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August 29, 2020, the outstanding balances of the Term Facility was $606.5 million. We are not required to make principal payments on the Term Facility over the twelve months following the period ended August 29, 2020. During the third fiscal quarter of 2020, we borrowed $25.0 million under the Revolving Credit Facility. This was a precautionary measure to preserve financial flexibility and to maintain liquidity in response to the spread of COVID-19 and uncertainty around consumer behavior. We used the proceeds of the Revolving Credit Facility to meet initial elevated customer orders in response to COVID-19, build finished goods inventory of some of its high velocity items, support working capital and support general corporate purposes. In the fourth fiscal quarter of 2020, we repaid the $25.0 million borrowing under the Revolving Credit Facility. The Company may repay borrowings under the Revolving Credit Facility at any time without penalty. As of August 29, 2020, there were no amounts drawn against the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Acquisition of Quest.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Quest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21, 2019, our wholly-owned subsidiary Simply Good Foods USA, Inc., formerly known as Atkins Nutritionals, Inc. (“Simply Good USA”) entered into a Stock and Unit Purchase Agreement (the "Purchase Agreement") with VMG Voyage Holdings, LLC, VMG Tax-Exempt II, L.P., Voyage Employee Holdings, LLC, and other sellers, as defined in the Purchase Agreement, to acquire Quest, a healthy lifestyle food company. On November 7, 2019, pursuant to the Purchase Agreement, Simply Good USA completed the Acquisition of Quest, for a cash purchase price of approximately $1.0 billion, subject to customary post-closing adjustments.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Acquisition of Quest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we received a post-closing release from escrow of approximately $2.1 million related to net working capital adjustments, resulting in a total net consideration paid of $986.8 million as of August 29, 2020. </w:t>
      </w:r>
      <w:r>
        <w:rPr>
          <w:rFonts w:ascii="Arial" w:cs="Arial" w:eastAsia="Arial" w:hAnsi="Arial"/>
          <w:sz w:val="18"/>
          <w:szCs w:val="18"/>
          <w:i w:val="1"/>
          <w:iCs w:val="1"/>
          <w:color w:val="auto"/>
        </w:rPr>
        <w:t>Business transaction costs</w:t>
      </w:r>
      <w:r>
        <w:rPr>
          <w:rFonts w:ascii="Arial" w:cs="Arial" w:eastAsia="Arial" w:hAnsi="Arial"/>
          <w:sz w:val="18"/>
          <w:szCs w:val="18"/>
          <w:color w:val="auto"/>
        </w:rPr>
        <w:t xml:space="preserve"> within the Consolidated Statements of Operations and Comprehensive Income for fifty-two week period ended August 29, 2020 was $27.1 million, which included $14.5 million of transaction advisory fees related to the Acquisition of Quest, $3.2 million of banker commitment fees, $6.1 million of non-deferrable debt issuance costs related to the incremental term loan, and $3.3 million of other costs, including legal, due diligence, and accounting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August 26, 2018 through October 5, 2018, public warrants to purchase an aggregate of 9,866,451 shares of common stock were exercised for cash at an exercise price of $11.50 per share, resulting in aggregate gross proceeds of $113.5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648"/>
        <w:spacing w:after="0" w:line="271" w:lineRule="auto"/>
        <w:rPr>
          <w:sz w:val="20"/>
          <w:szCs w:val="20"/>
          <w:color w:val="auto"/>
        </w:rPr>
      </w:pPr>
      <w:r>
        <w:rPr>
          <w:rFonts w:ascii="Arial" w:cs="Arial" w:eastAsia="Arial" w:hAnsi="Arial"/>
          <w:sz w:val="17"/>
          <w:szCs w:val="17"/>
          <w:color w:val="auto"/>
        </w:rPr>
        <w:t>On October 4, 2018, we delivered a notice for the redemption (the “Redemption Notice”) of all of our public warrants that remained unexercised immediately after November 5, 2018. Exercises of public warrants following the Redemption Notice were required to be done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common stock for each public warrant surrendered for exercise. Following the Redemption Notice, 3,499,639 public warrants were exercised on a cashless basis. An aggregate of 1,333,848 shares of common stock were issued in connection with these exercises of the public warrants. All remaining public warrants were redeemed as of November 5, 2018 for an immaterial amount.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29, 2020, our private warrants to purchase 6,700,000 shares of common stock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53-Weeks Ended</w:t>
            </w: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w w:val="91"/>
              </w:rPr>
              <w:t>52-Weeks Ended</w:t>
            </w:r>
          </w:p>
        </w:tc>
      </w:tr>
      <w:tr>
        <w:trPr>
          <w:trHeight w:val="283"/>
        </w:trPr>
        <w:tc>
          <w:tcPr>
            <w:tcW w:w="5460" w:type="dxa"/>
            <w:vAlign w:val="bottom"/>
            <w:gridSpan w:val="2"/>
          </w:tcPr>
          <w:p>
            <w:pPr>
              <w:ind w:left="6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40" w:type="dxa"/>
            <w:vAlign w:val="bottom"/>
          </w:tcPr>
          <w:p>
            <w:pPr>
              <w:spacing w:after="0"/>
              <w:rPr>
                <w:sz w:val="24"/>
                <w:szCs w:val="24"/>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4"/>
              </w:rPr>
              <w:t>August 25, 2018</w:t>
            </w:r>
          </w:p>
        </w:tc>
      </w:tr>
      <w:tr>
        <w:trPr>
          <w:trHeight w:val="33"/>
        </w:trPr>
        <w:tc>
          <w:tcPr>
            <w:tcW w:w="5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460" w:type="dxa"/>
            <w:vAlign w:val="bottom"/>
            <w:gridSpan w:val="2"/>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58,921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73,042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61,038</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237"/>
        </w:trPr>
        <w:tc>
          <w:tcPr>
            <w:tcW w:w="5460" w:type="dxa"/>
            <w:vAlign w:val="bottom"/>
            <w:gridSpan w:val="2"/>
          </w:tcPr>
          <w:p>
            <w:pPr>
              <w:ind w:left="6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754,652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83,376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(1,587)</w:t>
            </w:r>
          </w:p>
        </w:tc>
      </w:tr>
    </w:tbl>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provided by operating activities decreased $14.1 million to $58.9 million for the fifty-two week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29, 2020 compared to $73.0 million for the fifty-three week period ended August 31, 2019. The decrease in cash provided by operating activities was primarily driven by significant business transaction and integration costs as well as changes in working capital. The decrease was partially offset by increased cash from operations related to the Acquisition of 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provided by operating activities was $73.0 million for the fifty-three week period ended August 31, 2019, an increase of $12.0 million compared to net cash used in operating activities of $61.0 million for the fifty-two week period ended August 25, 2018. The increase was primarily driven by higher income before taxes.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net cash used in investing activities increased to $984.0 million for the fifty-two week period ended August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 million of net cash used in investing activities for the fifty-three week period ended August 31, 2019. The increase in cash used in investing activities was primarily due to the Acquisition of Quest of $982.1 million, net of cash acquired.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net cash used in investing activities was $1.8 million for the fifty-three week period ended August 31, 2019, which was a decrease of $1.7 million compared to the investing activities for the fifty-two week period ended August 25, 2018. The decrease in cash used in investing activities was primarily the result of a payment for a working capital adjustment of $1.8 million to the former owners of Atkins in the prior period.</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provided by financing activities was $754.7 million for the fifty-two week period ended August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$83.4 million for the fifty-three week period ended August 31, 2019. Net cash provided by financing activities for the fifty-two week period ended August 29, 2020 includes gross proceeds of $352.5 million from the Offering offset by issuance costs of $3.3 million, proceeds of $460.0 million from the Term Facility borrowing related to the Incremental Facility Amendment offset by issuance costs of $8.2 million, and $25.0 million of proceeds from the borrowing under the Revolving Credit Facility. The cash provided by financing activities for the fifty-two week period ended August 29, 2020 was offset by $50.0 million of principal payments on the Term Facility, an increase of $48.0 million compared to the prior year, and $25.0 million of repayments of the Revolving Credit Facility. Our net cash provided by financing activities for the fifty-three week period ended August 31, 2019 also included $113.5 million of cash received from warrant exercises, and was partially offset by the payment of the TRA liability of $26.5 million and debt principal payments of $2.0 million on the Term Facility</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cash provided by financing activities was $83.4 million for the fifty-three week period ended August 31, 2019, compared to net cash used in financing activities of $1.6 million for the fifty-two week period ended August 25, 2018. Net cash provided by financing activities for the fifty-three week period ended August 31, 2019 included $113.5 million of cash received from warrant exercises, and was partially offset by the payment of the TRA liability of $26.5 million, repurchases of common stock of $2.1 million and debt principal payments of $2.0 million. Debt principal payments for the fifty-two week period ended August 25, 2018 were $1.5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August 29, 2020, we had no material off-balance sheet arrangements that have or are reasonably likely to have a current or future material effect on our financial condition, changes in financial condition, income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contractual obligations are related to its Credit Agreement and its finance and operating leases. On November 7, 2019, the Company entered the Incremental Facility Amendment to increase the principal borrowed under the Term Facility by $460.0 million. As a result of the Acquisition of Quest, the Company obtained additional lease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expected contractual obligations related to our debt and leases as of August 29, 2020 are included in the table below.</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206"/>
        </w:trPr>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4"/>
          </w:tcPr>
          <w:p>
            <w:pPr>
              <w:ind w:left="60"/>
              <w:spacing w:after="0"/>
              <w:rPr>
                <w:sz w:val="20"/>
                <w:szCs w:val="20"/>
                <w:color w:val="auto"/>
              </w:rPr>
            </w:pPr>
            <w:r>
              <w:rPr>
                <w:rFonts w:ascii="Arial" w:cs="Arial" w:eastAsia="Arial" w:hAnsi="Arial"/>
                <w:sz w:val="16"/>
                <w:szCs w:val="16"/>
                <w:color w:val="auto"/>
                <w:w w:val="89"/>
              </w:rPr>
              <w:t>Payments due by period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6"/>
        </w:trPr>
        <w:tc>
          <w:tcPr>
            <w:tcW w:w="25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Year 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Years 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Years 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Thereafter</w:t>
            </w:r>
          </w:p>
        </w:tc>
      </w:tr>
      <w:tr>
        <w:trPr>
          <w:trHeight w:val="236"/>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606,500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130,609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67,486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w:t>
            </w:r>
          </w:p>
        </w:tc>
      </w:tr>
      <w:tr>
        <w:trPr>
          <w:trHeight w:val="27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771,613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39,799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11,014</w:t>
            </w:r>
          </w:p>
        </w:tc>
      </w:tr>
      <w:tr>
        <w:trPr>
          <w:trHeight w:val="20"/>
        </w:trPr>
        <w:tc>
          <w:tcPr>
            <w:tcW w:w="2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8255</wp:posOffset>
            </wp:positionV>
            <wp:extent cx="47402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w:t>
      </w:r>
    </w:p>
    <w:p>
      <w:pPr>
        <w:spacing w:after="0" w:line="49" w:lineRule="exact"/>
        <w:rPr>
          <w:sz w:val="20"/>
          <w:szCs w:val="20"/>
          <w:color w:val="auto"/>
        </w:rPr>
      </w:pPr>
    </w:p>
    <w:p>
      <w:pPr>
        <w:jc w:val="both"/>
        <w:ind w:left="340" w:hanging="332"/>
        <w:spacing w:after="0" w:line="26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August 29, 2020, we had entered into a lease with estimated total minimum future lease payments of $32.2 million over a 10.0-year minimum lease term that had not yet commenced. Because the lease has not yet commenced, it is excluded from the contractual obligations above. We expect the lease to commence in fiscal year 2021.</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Finance lease payments include both the principal and interest portions of the payments.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consolidated financial statements have been prepared in accordance with accounting principles generally accepted in the U.S. While the majority of our revenue, expenses, assets and liabilities are not based on estimates, there are certain accounting principles that requires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of our Consolidated Financial Statements in this filing; however, the following discussion pertains to accounting policies we believe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 when performance obligations under the terms of a contract with its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makes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ectPr>
          <w:pgSz w:w="11900" w:h="16838" w:orient="portrait"/>
          <w:cols w:equalWidth="0" w:num="1">
            <w:col w:w="11240"/>
          </w:cols>
          <w:pgMar w:left="320" w:top="337"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337" w:right="339" w:bottom="1440" w:gutter="0" w:footer="0" w:header="0"/>
          <w:type w:val="continuous"/>
        </w:sectPr>
      </w:pPr>
    </w:p>
    <w:bookmarkStart w:id="45" w:name="page46"/>
    <w:bookmarkEnd w:id="45"/>
    <w:p>
      <w:pPr>
        <w:jc w:val="both"/>
        <w:ind w:right="20" w:firstLine="648"/>
        <w:spacing w:after="0" w:line="277" w:lineRule="auto"/>
        <w:rPr>
          <w:sz w:val="20"/>
          <w:szCs w:val="20"/>
          <w:color w:val="auto"/>
        </w:rPr>
      </w:pPr>
      <w:r>
        <w:rPr>
          <w:rFonts w:ascii="Arial" w:cs="Arial" w:eastAsia="Arial" w:hAnsi="Arial"/>
          <w:sz w:val="18"/>
          <w:szCs w:val="18"/>
          <w:color w:val="auto"/>
        </w:rPr>
        <w:t>Although some payment terms may be more extended, the majority of our payment terms are less than 60 days. As a result, we do not have any material significant payments terms as payment is received shortly after the time of sale.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our revenue recognition does not involve significant judgment, it represents a key accounting policy.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Promotions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performance of similar trade promotional activities, market data from IRI, and the Company's best estimates of current activity. Our consolidated financial statements could be materially affected if the actual promotion rates are different from the estimated rates.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August 29, 2020 and August 31, 2019, the allowance for trade promotions was $25.2 million and $10.3 million, respectively. Differences between estimated expense and actual redemptions are recognized as a change in management estimate in a subsequent period. These differences have historically been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7, 2019, pursuant to the Purchase Agreement, we completed the Acquisition of Quest for a cash purchase price of approximately $1.0 billion, subject to customary post-closing adjustments. The Acquisition of Quest was accounted for using the acquisition method of accounting prescribed by Accounting Standard Codification ("ASC") Topic 805, Business Combinations (“ASC 805”), whereby the results of operations, including the revenues and earnings of Quest,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Significant judgment is required to determine the fair value of certain tangible and intangible assets.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acquisition date. We expect to complete the final fair value determination of the assets acquired and liabilities assumed as soon as practicable within the measurement period, but not to exceed one year from the acquisition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and indefinite-lived intangible assets are not amortized, but instead are tested for impairment at least annually, or more frequently if indicators of impairment exist. We conduct our annual impairment tests at the beginning of the fourth fiscal quarter. The process of evaluating goodwill and indefinite lived intangibles for impairment is subjective and requires significant judgment at many points during the analysis.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assess goodwill and indefinite-lived intangible assets using either a qualitative or quantitative approach to determine whether it is more likely than not that the fair values of the reporting units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fiscal year 2020, we elected to perform both qualitative and quantitative assessments of goodwill and indefinite-lived intangible assets. The inputs and assumptions used require considerable management judgment and are based on expectations of future operating performance. During the fourth quarter of fiscal 2020, we determined there were indicators of impairment related to the SimplyProtein brand intangible asset. Therefore, we performed a quantitative assessment of our brand intangible asset, which indicated the fair value exceeded the carrying value, resulting in a loss on impairment of $3.0 million in the fifty-two week period ended August 29, 2020. There were no impairment charges related to goodwill in the fifty-two week period ended August 29, 2020. Additionally, for fiscal year 2019, we elected to perform quantitative assessments of goodwill and indefinite-lived intangible assets. No impairment charges related to goodwill or indefinite-lived intangibles were recognized in the fifty-three week period ended August 31, 2019.</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performed qualitative assessments of goodwill and indefinite-lived intangible assets for fiscal year 2018. The qualitative assessments determined that it was more likely than not the reporting unit, brands and trademarks had a fair value in excess of their carrying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value. Accordingly, no further impairment assessment was necessary, and no impairment charges related to goodwill or indefinite-lived intangibles were recognized in the fifty-two week period ended August 25, 2018.</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 circumstances indicated that the carrying amount may not be recoverable. For the fiscal years ended August 29, 2020, August 31, 2019 or August 25, 2018, there were no impairments recorded related to finite-lived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adoption of ASC Topic 842 resulted in a change to our lease accounting policy, as discussed in Note 11 of our Consolidated Financial Statements included herein.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Consolidated Financial Statements in this Report for further information regarding recently issued accounting standards.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COVID-19. </w:t>
      </w:r>
      <w:r>
        <w:rPr>
          <w:rFonts w:ascii="Arial" w:cs="Arial" w:eastAsia="Arial" w:hAnsi="Arial"/>
          <w:sz w:val="18"/>
          <w:szCs w:val="18"/>
          <w:color w:val="auto"/>
        </w:rPr>
        <w:t>The current COVID-19 outbreak situation remains dynamic and subject to rapid and possibly material change, including but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to changes that may materially affect the operations of our customers and supply chain partners, which ultimately could result in material negative effects on our business and results of operations. Refer to Item 1A, Risk Factors. for additional discussion of our risks associated pandemics, epidemics or disease outbreaks, such as COVID-19.</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are subject to interest rate risk in connection with borrowing based on a variable interest rate. Derivative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such as interest rate swap agreements and interest rate cap agreements,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Assuming average variable rate debt levels during the year, a 1% increase in interest rates would have increased interest expense by approximately $6.4 million for the fifty-two week period ended August 29, 2020.</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risk. </w:t>
      </w:r>
      <w:r>
        <w:rPr>
          <w:rFonts w:ascii="Arial" w:cs="Arial" w:eastAsia="Arial" w:hAnsi="Arial"/>
          <w:sz w:val="16"/>
          <w:szCs w:val="16"/>
          <w:color w:val="auto"/>
        </w:rPr>
        <w:t>We are exposed to changes in currency rates as a result of investments in foreign operations and revenue generated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currencies other than U.S. dollar. Revenue and profit generated by international operations will increase or decrease compared to prior periods as a result of changes in foreign currency exchange rates. Foreign currency risk is primarily related to operations in Canada. A 10% increase or decrease in the Canadian Dollar against the U.S. Dollar would result in less than a 1% change in our net income for the fifty-two week period ended August 29, 2020.</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While inflation may affect our revenue and cost of services and products, we believe the effects of inflation, if any, on our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financial condition have not been significant. However, there can be no assurance that results of operations and financial condition will not be materially impacted by inflation in the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TABLE OF CONTENTS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00" w:type="dxa"/>
            <w:vAlign w:val="bottom"/>
            <w:gridSpan w:val="2"/>
          </w:tcPr>
          <w:p>
            <w:pPr>
              <w:jc w:val="center"/>
              <w:ind w:left="1379"/>
              <w:spacing w:after="0"/>
              <w:rPr>
                <w:sz w:val="20"/>
                <w:szCs w:val="20"/>
                <w:color w:val="auto"/>
              </w:rPr>
            </w:pPr>
            <w:r>
              <w:rPr>
                <w:rFonts w:ascii="Arial" w:cs="Arial" w:eastAsia="Arial" w:hAnsi="Arial"/>
                <w:sz w:val="16"/>
                <w:szCs w:val="16"/>
                <w:b w:val="1"/>
                <w:bCs w:val="1"/>
                <w:color w:val="auto"/>
                <w:w w:val="88"/>
              </w:rPr>
              <w:t>Page</w:t>
            </w:r>
          </w:p>
        </w:tc>
      </w:tr>
      <w:tr>
        <w:trPr>
          <w:trHeight w:val="271"/>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180" w:type="dxa"/>
            <w:vAlign w:val="bottom"/>
            <w:gridSpan w:val="2"/>
          </w:tcPr>
          <w:p>
            <w:pPr>
              <w:jc w:val="center"/>
              <w:ind w:right="620"/>
              <w:spacing w:after="0"/>
              <w:rPr>
                <w:rFonts w:ascii="Arial" w:cs="Arial" w:eastAsia="Arial" w:hAnsi="Arial"/>
                <w:sz w:val="16"/>
                <w:szCs w:val="16"/>
                <w:u w:val="single" w:color="auto"/>
                <w:color w:val="0000EE"/>
                <w:w w:val="90"/>
              </w:rPr>
            </w:pPr>
            <w:hyperlink w:anchor="page48">
              <w:r>
                <w:rPr>
                  <w:rFonts w:ascii="Arial" w:cs="Arial" w:eastAsia="Arial" w:hAnsi="Arial"/>
                  <w:sz w:val="16"/>
                  <w:szCs w:val="16"/>
                  <w:u w:val="single" w:color="auto"/>
                  <w:color w:val="0000EE"/>
                  <w:w w:val="90"/>
                </w:rPr>
                <w:t>Index to the Financial Statements</w:t>
              </w:r>
            </w:hyperlink>
          </w:p>
        </w:tc>
        <w:tc>
          <w:tcPr>
            <w:tcW w:w="14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r>
      <w:tr>
        <w:trPr>
          <w:trHeight w:val="270"/>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Reports of Independent Registered Public Accounting Firms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49">
              <w:r>
                <w:rPr>
                  <w:rFonts w:ascii="Arial" w:cs="Arial" w:eastAsia="Arial" w:hAnsi="Arial"/>
                  <w:sz w:val="16"/>
                  <w:szCs w:val="16"/>
                  <w:u w:val="single" w:color="auto"/>
                  <w:color w:val="0000EE"/>
                  <w:w w:val="89"/>
                </w:rPr>
                <w:t>48</w:t>
              </w:r>
            </w:hyperlink>
          </w:p>
        </w:tc>
      </w:tr>
      <w:tr>
        <w:trPr>
          <w:trHeight w:val="270"/>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Consolidated Balance Sheets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2">
              <w:r>
                <w:rPr>
                  <w:rFonts w:ascii="Arial" w:cs="Arial" w:eastAsia="Arial" w:hAnsi="Arial"/>
                  <w:sz w:val="16"/>
                  <w:szCs w:val="16"/>
                  <w:u w:val="single" w:color="auto"/>
                  <w:color w:val="0000EE"/>
                  <w:w w:val="89"/>
                </w:rPr>
                <w:t>51</w:t>
              </w:r>
            </w:hyperlink>
          </w:p>
        </w:tc>
      </w:tr>
      <w:tr>
        <w:trPr>
          <w:trHeight w:val="270"/>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Consolidated Statements of Operations and Comprehensive Income</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3">
              <w:r>
                <w:rPr>
                  <w:rFonts w:ascii="Arial" w:cs="Arial" w:eastAsia="Arial" w:hAnsi="Arial"/>
                  <w:sz w:val="16"/>
                  <w:szCs w:val="16"/>
                  <w:u w:val="single" w:color="auto"/>
                  <w:color w:val="0000EE"/>
                  <w:w w:val="89"/>
                </w:rPr>
                <w:t>52</w:t>
              </w:r>
            </w:hyperlink>
          </w:p>
        </w:tc>
      </w:tr>
      <w:tr>
        <w:trPr>
          <w:trHeight w:val="270"/>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Consolidated Statements of Cash Flows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4">
              <w:r>
                <w:rPr>
                  <w:rFonts w:ascii="Arial" w:cs="Arial" w:eastAsia="Arial" w:hAnsi="Arial"/>
                  <w:sz w:val="16"/>
                  <w:szCs w:val="16"/>
                  <w:u w:val="single" w:color="auto"/>
                  <w:color w:val="0000EE"/>
                  <w:w w:val="89"/>
                </w:rPr>
                <w:t>53</w:t>
              </w:r>
            </w:hyperlink>
          </w:p>
        </w:tc>
      </w:tr>
      <w:tr>
        <w:trPr>
          <w:trHeight w:val="270"/>
        </w:trPr>
        <w:tc>
          <w:tcPr>
            <w:tcW w:w="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Consolidated Statements of Stockholders' Equity</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7">
              <w:r>
                <w:rPr>
                  <w:rFonts w:ascii="Arial" w:cs="Arial" w:eastAsia="Arial" w:hAnsi="Arial"/>
                  <w:sz w:val="16"/>
                  <w:szCs w:val="16"/>
                  <w:u w:val="single" w:color="auto"/>
                  <w:color w:val="0000EE"/>
                  <w:w w:val="89"/>
                </w:rPr>
                <w:t>55</w:t>
              </w:r>
            </w:hyperlink>
          </w:p>
        </w:tc>
      </w:tr>
      <w:tr>
        <w:trPr>
          <w:trHeight w:val="580"/>
        </w:trPr>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80" w:type="dxa"/>
            <w:vAlign w:val="bottom"/>
            <w:gridSpan w:val="2"/>
          </w:tcPr>
          <w:p>
            <w:pPr>
              <w:jc w:val="center"/>
              <w:ind w:right="620"/>
              <w:spacing w:after="0"/>
              <w:rPr>
                <w:rFonts w:ascii="Arial" w:cs="Arial" w:eastAsia="Arial" w:hAnsi="Arial"/>
                <w:sz w:val="16"/>
                <w:szCs w:val="16"/>
                <w:u w:val="single" w:color="auto"/>
                <w:color w:val="0000EE"/>
                <w:w w:val="91"/>
              </w:rPr>
            </w:pPr>
            <w:hyperlink w:anchor="page58">
              <w:r>
                <w:rPr>
                  <w:rFonts w:ascii="Arial" w:cs="Arial" w:eastAsia="Arial" w:hAnsi="Arial"/>
                  <w:sz w:val="16"/>
                  <w:szCs w:val="16"/>
                  <w:u w:val="single" w:color="auto"/>
                  <w:color w:val="0000EE"/>
                  <w:w w:val="91"/>
                </w:rPr>
                <w:t>Notes to Consolidated Financial Statements</w:t>
              </w:r>
            </w:hyperlink>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Note 1.</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Nature of Operations and Principles of Consolidation</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8">
              <w:r>
                <w:rPr>
                  <w:rFonts w:ascii="Arial" w:cs="Arial" w:eastAsia="Arial" w:hAnsi="Arial"/>
                  <w:sz w:val="16"/>
                  <w:szCs w:val="16"/>
                  <w:u w:val="single" w:color="auto"/>
                  <w:color w:val="0000EE"/>
                  <w:w w:val="89"/>
                </w:rPr>
                <w:t>56</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Note 2.</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Change in Accounting Principle</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9">
              <w:r>
                <w:rPr>
                  <w:rFonts w:ascii="Arial" w:cs="Arial" w:eastAsia="Arial" w:hAnsi="Arial"/>
                  <w:sz w:val="16"/>
                  <w:szCs w:val="16"/>
                  <w:u w:val="single" w:color="auto"/>
                  <w:color w:val="0000EE"/>
                  <w:w w:val="89"/>
                </w:rPr>
                <w:t>57</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Note 3.</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Summary of Significant Accounting Policies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59">
              <w:r>
                <w:rPr>
                  <w:rFonts w:ascii="Arial" w:cs="Arial" w:eastAsia="Arial" w:hAnsi="Arial"/>
                  <w:sz w:val="16"/>
                  <w:szCs w:val="16"/>
                  <w:u w:val="single" w:color="auto"/>
                  <w:color w:val="0000EE"/>
                  <w:w w:val="89"/>
                </w:rPr>
                <w:t>57</w:t>
              </w:r>
            </w:hyperlink>
          </w:p>
        </w:tc>
      </w:tr>
      <w:tr>
        <w:trPr>
          <w:trHeight w:val="222"/>
        </w:trPr>
        <w:tc>
          <w:tcPr>
            <w:tcW w:w="4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Note 4.</w:t>
            </w:r>
          </w:p>
        </w:tc>
        <w:tc>
          <w:tcPr>
            <w:tcW w:w="1320" w:type="dxa"/>
            <w:vAlign w:val="bottom"/>
          </w:tcPr>
          <w:p>
            <w:pPr>
              <w:spacing w:after="0"/>
              <w:rPr>
                <w:sz w:val="19"/>
                <w:szCs w:val="19"/>
                <w:color w:val="auto"/>
              </w:rPr>
            </w:pPr>
          </w:p>
        </w:tc>
        <w:tc>
          <w:tcPr>
            <w:tcW w:w="6080" w:type="dxa"/>
            <w:vAlign w:val="bottom"/>
            <w:gridSpan w:val="3"/>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Business Combination</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64">
              <w:r>
                <w:rPr>
                  <w:rFonts w:ascii="Arial" w:cs="Arial" w:eastAsia="Arial" w:hAnsi="Arial"/>
                  <w:sz w:val="16"/>
                  <w:szCs w:val="16"/>
                  <w:u w:val="single" w:color="auto"/>
                  <w:color w:val="0000EE"/>
                  <w:w w:val="89"/>
                </w:rPr>
                <w:t>62</w:t>
              </w:r>
            </w:hyperlink>
          </w:p>
        </w:tc>
      </w:tr>
      <w:tr>
        <w:trPr>
          <w:trHeight w:val="271"/>
        </w:trPr>
        <w:tc>
          <w:tcPr>
            <w:tcW w:w="1800" w:type="dxa"/>
            <w:vAlign w:val="bottom"/>
            <w:gridSpan w:val="2"/>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Note 5.</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Property and Equipment, Net</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67">
              <w:r>
                <w:rPr>
                  <w:rFonts w:ascii="Arial" w:cs="Arial" w:eastAsia="Arial" w:hAnsi="Arial"/>
                  <w:sz w:val="16"/>
                  <w:szCs w:val="16"/>
                  <w:u w:val="single" w:color="auto"/>
                  <w:color w:val="0000EE"/>
                  <w:w w:val="89"/>
                </w:rPr>
                <w:t>65</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Note 6.</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Goodwill and Intangibles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67">
              <w:r>
                <w:rPr>
                  <w:rFonts w:ascii="Arial" w:cs="Arial" w:eastAsia="Arial" w:hAnsi="Arial"/>
                  <w:sz w:val="16"/>
                  <w:szCs w:val="16"/>
                  <w:u w:val="single" w:color="auto"/>
                  <w:color w:val="0000EE"/>
                  <w:w w:val="89"/>
                </w:rPr>
                <w:t>65</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Note 7.</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Accrued Expenses and Other Current Liabilities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68">
              <w:r>
                <w:rPr>
                  <w:rFonts w:ascii="Arial" w:cs="Arial" w:eastAsia="Arial" w:hAnsi="Arial"/>
                  <w:sz w:val="16"/>
                  <w:szCs w:val="16"/>
                  <w:u w:val="single" w:color="auto"/>
                  <w:color w:val="0000EE"/>
                  <w:w w:val="89"/>
                </w:rPr>
                <w:t>66</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Note 8.</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Long-Term Debt and Line of Credit</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69">
              <w:r>
                <w:rPr>
                  <w:rFonts w:ascii="Arial" w:cs="Arial" w:eastAsia="Arial" w:hAnsi="Arial"/>
                  <w:sz w:val="16"/>
                  <w:szCs w:val="16"/>
                  <w:u w:val="single" w:color="auto"/>
                  <w:color w:val="0000EE"/>
                  <w:w w:val="89"/>
                </w:rPr>
                <w:t>67</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Note 9.</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Fair Value of Financial Instruments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0">
              <w:r>
                <w:rPr>
                  <w:rFonts w:ascii="Arial" w:cs="Arial" w:eastAsia="Arial" w:hAnsi="Arial"/>
                  <w:sz w:val="16"/>
                  <w:szCs w:val="16"/>
                  <w:u w:val="single" w:color="auto"/>
                  <w:color w:val="0000EE"/>
                  <w:w w:val="89"/>
                </w:rPr>
                <w:t>68</w:t>
              </w:r>
            </w:hyperlink>
          </w:p>
        </w:tc>
      </w:tr>
      <w:tr>
        <w:trPr>
          <w:trHeight w:val="222"/>
        </w:trPr>
        <w:tc>
          <w:tcPr>
            <w:tcW w:w="1800" w:type="dxa"/>
            <w:vAlign w:val="bottom"/>
            <w:gridSpan w:val="2"/>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Note 10.</w:t>
              </w:r>
            </w:hyperlink>
          </w:p>
        </w:tc>
        <w:tc>
          <w:tcPr>
            <w:tcW w:w="9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7"/>
              </w:rPr>
              <w:t>Income Taxes</w:t>
            </w:r>
          </w:p>
        </w:tc>
        <w:tc>
          <w:tcPr>
            <w:tcW w:w="5180" w:type="dxa"/>
            <w:vAlign w:val="bottom"/>
            <w:gridSpan w:val="2"/>
          </w:tcPr>
          <w:p>
            <w:pPr>
              <w:spacing w:after="0"/>
              <w:rPr>
                <w:sz w:val="19"/>
                <w:szCs w:val="19"/>
                <w:color w:val="auto"/>
              </w:rPr>
            </w:pPr>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0">
              <w:r>
                <w:rPr>
                  <w:rFonts w:ascii="Arial" w:cs="Arial" w:eastAsia="Arial" w:hAnsi="Arial"/>
                  <w:sz w:val="16"/>
                  <w:szCs w:val="16"/>
                  <w:u w:val="single" w:color="auto"/>
                  <w:color w:val="0000EE"/>
                  <w:w w:val="89"/>
                </w:rPr>
                <w:t>68</w:t>
              </w:r>
            </w:hyperlink>
          </w:p>
        </w:tc>
      </w:tr>
      <w:tr>
        <w:trPr>
          <w:trHeight w:val="271"/>
        </w:trPr>
        <w:tc>
          <w:tcPr>
            <w:tcW w:w="1800" w:type="dxa"/>
            <w:vAlign w:val="bottom"/>
            <w:gridSpan w:val="2"/>
          </w:tcPr>
          <w:p>
            <w:pPr>
              <w:spacing w:after="0"/>
              <w:rPr>
                <w:rFonts w:ascii="Arial" w:cs="Arial" w:eastAsia="Arial" w:hAnsi="Arial"/>
                <w:sz w:val="16"/>
                <w:szCs w:val="16"/>
                <w:color w:val="0000EE"/>
              </w:rPr>
            </w:pPr>
            <w:hyperlink w:anchor="page73">
              <w:r>
                <w:rPr>
                  <w:rFonts w:ascii="Arial" w:cs="Arial" w:eastAsia="Arial" w:hAnsi="Arial"/>
                  <w:sz w:val="16"/>
                  <w:szCs w:val="16"/>
                  <w:u w:val="single" w:color="auto"/>
                  <w:color w:val="0000EE"/>
                </w:rPr>
                <w:t>Note 11</w:t>
              </w:r>
              <w:r>
                <w:rPr>
                  <w:rFonts w:ascii="Arial" w:cs="Arial" w:eastAsia="Arial" w:hAnsi="Arial"/>
                  <w:sz w:val="16"/>
                  <w:szCs w:val="16"/>
                  <w:color w:val="0000EE"/>
                </w:rPr>
                <w:t>.</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Leases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3">
              <w:r>
                <w:rPr>
                  <w:rFonts w:ascii="Arial" w:cs="Arial" w:eastAsia="Arial" w:hAnsi="Arial"/>
                  <w:sz w:val="16"/>
                  <w:szCs w:val="16"/>
                  <w:u w:val="single" w:color="auto"/>
                  <w:color w:val="0000EE"/>
                  <w:w w:val="89"/>
                </w:rPr>
                <w:t>71</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Note 12.</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Commitments and Contingencies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5">
              <w:r>
                <w:rPr>
                  <w:rFonts w:ascii="Arial" w:cs="Arial" w:eastAsia="Arial" w:hAnsi="Arial"/>
                  <w:sz w:val="16"/>
                  <w:szCs w:val="16"/>
                  <w:u w:val="single" w:color="auto"/>
                  <w:color w:val="0000EE"/>
                  <w:w w:val="89"/>
                </w:rPr>
                <w:t>73</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Note 13.</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Stockholder’s Equity</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5">
              <w:r>
                <w:rPr>
                  <w:rFonts w:ascii="Arial" w:cs="Arial" w:eastAsia="Arial" w:hAnsi="Arial"/>
                  <w:sz w:val="16"/>
                  <w:szCs w:val="16"/>
                  <w:u w:val="single" w:color="auto"/>
                  <w:color w:val="0000EE"/>
                  <w:w w:val="89"/>
                </w:rPr>
                <w:t>73</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Note 14.</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Earnings Per Share</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6">
              <w:r>
                <w:rPr>
                  <w:rFonts w:ascii="Arial" w:cs="Arial" w:eastAsia="Arial" w:hAnsi="Arial"/>
                  <w:sz w:val="16"/>
                  <w:szCs w:val="16"/>
                  <w:u w:val="single" w:color="auto"/>
                  <w:color w:val="0000EE"/>
                  <w:w w:val="89"/>
                </w:rPr>
                <w:t>74</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Note 15.</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Omnibus Incentive Plan</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77">
              <w:r>
                <w:rPr>
                  <w:rFonts w:ascii="Arial" w:cs="Arial" w:eastAsia="Arial" w:hAnsi="Arial"/>
                  <w:sz w:val="16"/>
                  <w:szCs w:val="16"/>
                  <w:u w:val="single" w:color="auto"/>
                  <w:color w:val="0000EE"/>
                  <w:w w:val="89"/>
                </w:rPr>
                <w:t>75</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Note 16.</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Related Party Transactions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80">
              <w:r>
                <w:rPr>
                  <w:rFonts w:ascii="Arial" w:cs="Arial" w:eastAsia="Arial" w:hAnsi="Arial"/>
                  <w:sz w:val="16"/>
                  <w:szCs w:val="16"/>
                  <w:u w:val="single" w:color="auto"/>
                  <w:color w:val="0000EE"/>
                  <w:w w:val="89"/>
                </w:rPr>
                <w:t>78</w:t>
              </w:r>
            </w:hyperlink>
          </w:p>
        </w:tc>
      </w:tr>
      <w:tr>
        <w:trPr>
          <w:trHeight w:val="222"/>
        </w:trPr>
        <w:tc>
          <w:tcPr>
            <w:tcW w:w="1800" w:type="dxa"/>
            <w:vAlign w:val="bottom"/>
            <w:gridSpan w:val="2"/>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Note 17.</w:t>
              </w:r>
            </w:hyperlink>
          </w:p>
        </w:tc>
        <w:tc>
          <w:tcPr>
            <w:tcW w:w="23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0"/>
              </w:rPr>
              <w:t>Segment and Customer Information</w:t>
            </w:r>
          </w:p>
        </w:tc>
        <w:tc>
          <w:tcPr>
            <w:tcW w:w="3760" w:type="dxa"/>
            <w:vAlign w:val="bottom"/>
          </w:tcPr>
          <w:p>
            <w:pPr>
              <w:spacing w:after="0"/>
              <w:rPr>
                <w:sz w:val="19"/>
                <w:szCs w:val="19"/>
                <w:color w:val="auto"/>
              </w:rPr>
            </w:pPr>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80">
              <w:r>
                <w:rPr>
                  <w:rFonts w:ascii="Arial" w:cs="Arial" w:eastAsia="Arial" w:hAnsi="Arial"/>
                  <w:sz w:val="16"/>
                  <w:szCs w:val="16"/>
                  <w:u w:val="single" w:color="auto"/>
                  <w:color w:val="0000EE"/>
                  <w:w w:val="89"/>
                </w:rPr>
                <w:t>78</w:t>
              </w:r>
            </w:hyperlink>
          </w:p>
        </w:tc>
      </w:tr>
      <w:tr>
        <w:trPr>
          <w:trHeight w:val="271"/>
        </w:trPr>
        <w:tc>
          <w:tcPr>
            <w:tcW w:w="1800" w:type="dxa"/>
            <w:vAlign w:val="bottom"/>
            <w:gridSpan w:val="2"/>
          </w:tcPr>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Note 18.</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Restructuring and Related Charges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81">
              <w:r>
                <w:rPr>
                  <w:rFonts w:ascii="Arial" w:cs="Arial" w:eastAsia="Arial" w:hAnsi="Arial"/>
                  <w:sz w:val="16"/>
                  <w:szCs w:val="16"/>
                  <w:u w:val="single" w:color="auto"/>
                  <w:color w:val="0000EE"/>
                  <w:w w:val="89"/>
                </w:rPr>
                <w:t>79</w:t>
              </w:r>
            </w:hyperlink>
          </w:p>
        </w:tc>
      </w:tr>
      <w:tr>
        <w:trPr>
          <w:trHeight w:val="256"/>
        </w:trPr>
        <w:tc>
          <w:tcPr>
            <w:tcW w:w="1800" w:type="dxa"/>
            <w:vAlign w:val="bottom"/>
            <w:gridSpan w:val="2"/>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Note 19.</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Unaudited Quarterly Financial Data</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82">
              <w:r>
                <w:rPr>
                  <w:rFonts w:ascii="Arial" w:cs="Arial" w:eastAsia="Arial" w:hAnsi="Arial"/>
                  <w:sz w:val="16"/>
                  <w:szCs w:val="16"/>
                  <w:u w:val="single" w:color="auto"/>
                  <w:color w:val="0000EE"/>
                  <w:w w:val="89"/>
                </w:rPr>
                <w:t>80</w:t>
              </w:r>
            </w:hyperlink>
          </w:p>
        </w:tc>
      </w:tr>
      <w:tr>
        <w:trPr>
          <w:trHeight w:val="257"/>
        </w:trPr>
        <w:tc>
          <w:tcPr>
            <w:tcW w:w="1800" w:type="dxa"/>
            <w:vAlign w:val="bottom"/>
            <w:gridSpan w:val="2"/>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Note 20.</w:t>
              </w:r>
            </w:hyperlink>
          </w:p>
        </w:tc>
        <w:tc>
          <w:tcPr>
            <w:tcW w:w="6080" w:type="dxa"/>
            <w:vAlign w:val="bottom"/>
            <w:gridSpan w:val="3"/>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Subsequent Events</w:t>
              </w:r>
            </w:hyperlink>
          </w:p>
        </w:tc>
        <w:tc>
          <w:tcPr>
            <w:tcW w:w="1800" w:type="dxa"/>
            <w:vAlign w:val="bottom"/>
            <w:gridSpan w:val="2"/>
          </w:tcPr>
          <w:p>
            <w:pPr>
              <w:jc w:val="center"/>
              <w:ind w:left="1359"/>
              <w:spacing w:after="0"/>
              <w:rPr>
                <w:rFonts w:ascii="Arial" w:cs="Arial" w:eastAsia="Arial" w:hAnsi="Arial"/>
                <w:sz w:val="16"/>
                <w:szCs w:val="16"/>
                <w:u w:val="single" w:color="auto"/>
                <w:color w:val="0000EE"/>
                <w:w w:val="89"/>
              </w:rPr>
            </w:pPr>
            <w:hyperlink w:anchor="page82">
              <w:r>
                <w:rPr>
                  <w:rFonts w:ascii="Arial" w:cs="Arial" w:eastAsia="Arial" w:hAnsi="Arial"/>
                  <w:sz w:val="16"/>
                  <w:szCs w:val="16"/>
                  <w:u w:val="single" w:color="auto"/>
                  <w:color w:val="0000EE"/>
                  <w:w w:val="89"/>
                </w:rPr>
                <w:t>80</w:t>
              </w:r>
            </w:hyperlink>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320"/>
          </w:cols>
          <w:pgMar w:left="320" w:top="337" w:right="1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The Simply Good Foods Company and subsidiaries (the "Company") as of August 29, 2020 and August 31, 2019, the related consolidated statements of operations and comprehensive income, stockholders’ equity, and cash flows, for the fifty-two week period ended August 29, 2020 and the fifty-three week period ended August 31, 2019, and the related notes (collectively referred to as the "financial statements"). In our opinion, the financial statements present fairly, in all material respects, the financial position of the Company as of August 29, 2020 and August 31, 2019, and the results of its operations and its cash flows for each of the two years in the period ended August 29, 2020,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August 29,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October 28,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Trade Promotions </w:t>
      </w:r>
      <w:r>
        <w:rPr>
          <w:rFonts w:ascii="Arial" w:cs="Arial" w:eastAsia="Arial" w:hAnsi="Arial"/>
          <w:sz w:val="18"/>
          <w:szCs w:val="18"/>
          <w:b w:val="1"/>
          <w:bCs w:val="1"/>
          <w:i w:val="1"/>
          <w:iCs w:val="1"/>
          <w:color w:val="auto"/>
        </w:rPr>
        <w:t>- Refer to Note 3 to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36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costs. These estimates are made using various information including historical data on performance of similar trade promotional activities, current market data, and the Company's best estimates of current activity. As of August 29, 2020, the allowance for trade promotions balance, which is recorded as a reduction to accounts receivable, was approximately $25.2 million.</w:t>
      </w:r>
    </w:p>
    <w:p>
      <w:pPr>
        <w:spacing w:after="0" w:line="2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Given the subjectivity of estimating the expected promotional claims and the volume of trade promotions, performing audit procedures to evaluate whether the allowance for trade promotion balance is appropriately recorded as of August 29, 2020, required a high degree of auditor judgment and an increased extent of effort.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auditing procedures related to the allowance for trade promotion balance included the following, among others: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337" w:right="339" w:bottom="1440" w:gutter="0" w:footer="0" w:header="0"/>
          <w:type w:val="continuous"/>
        </w:sectPr>
      </w:pPr>
    </w:p>
    <w:bookmarkStart w:id="49" w:name="page50"/>
    <w:bookmarkEnd w:id="49"/>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 selection of allowances for trade promotion balances recorded as of August 29, 2020, we: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Confirmed contract terms directly with the customer.</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Agreed contract terms from the accounting records to the promotion agreement with the customer and verified the promotion period was prior to August 30, 2020.</w:t>
      </w:r>
    </w:p>
    <w:p>
      <w:pPr>
        <w:spacing w:after="0" w:line="129"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spacing w:after="0" w:line="129"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 selection of customer promotional claims presented or resolved after August 29, 2020, we compared that amount to the August 29, 2020 allowance for promotion balance and traced presented or resolved deduction to a properly recorded sale.</w:t>
      </w:r>
    </w:p>
    <w:p>
      <w:pPr>
        <w:spacing w:after="0" w:line="30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Business Combination - Voyage Holdings, LLC and VMG Quest Blocker, Inc. - Valuation of brand and trademark and customer relationships intangible assets </w:t>
      </w:r>
      <w:r>
        <w:rPr>
          <w:rFonts w:ascii="Arial" w:cs="Arial" w:eastAsia="Arial" w:hAnsi="Arial"/>
          <w:sz w:val="18"/>
          <w:szCs w:val="18"/>
          <w:b w:val="1"/>
          <w:bCs w:val="1"/>
          <w:i w:val="1"/>
          <w:iCs w:val="1"/>
          <w:color w:val="auto"/>
        </w:rPr>
        <w:t>- Refer to Note 4 to the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completed the acquisition of Voyage Holdings, LLC and VMG Quest Blocker, Inc. for $986.8 million on November 7, 2019. The Company accounted for the acquisition under the acquisition method of accounting for business combinations. Accordingly, the purchase price was allocated to the assets acquired and liabilities assumed based on their respective fair values, including brand and trademark intangible asset of $750.0 million and customer relationship intangible asset of $115.0 million. Management estimated the fair value of the brand and trademark and customer relationship intangible assets using an income approach and the with/without method, which estimates the value using the cash flow impact in a hypothetical scenario where the customer relationships are not in place.</w:t>
      </w:r>
    </w:p>
    <w:p>
      <w:pPr>
        <w:spacing w:after="0" w:line="3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Given the fair value determination of brand and trademark intangible asset and customer relationship intangible asset for Voyage Holdings, LLC and VMG Quest Blocker Inc. requires management to make significant estimates and assumptions related to the forecasts of future cash flows and the selection of the discount rate, performing audit procedures to evaluate the reasonableness of these estimates and assumptions required a high degree of auditor judgment and an increased extent of effort, including the need to involve our fair value specialists.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Our auditing procedures related to the forecasts of future cash flows and the selection of the discount rate included the following, among others:</w:t>
      </w:r>
    </w:p>
    <w:p>
      <w:pPr>
        <w:spacing w:after="0" w:line="23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obtained an understanding of management’s key assumptions in developing the forecast.</w:t>
      </w:r>
    </w:p>
    <w:p>
      <w:pPr>
        <w:spacing w:after="0" w:line="184"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comparing the projections to historical results and certain peer companies.</w:t>
      </w:r>
    </w:p>
    <w:p>
      <w:pPr>
        <w:spacing w:after="0" w:line="129"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whether the estimated future cash flows were consistent with projections used by the Company, as well as evidence obtained in other areas of the audit.</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 by: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Testing the source information underlying the determination of the discount rate and testing the mathematical accuracy of the calculation.</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comparing those to the discount rate selected by management.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341"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Simply Good Foods Company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statements of operations and comprehensive income, changes in stockholders’ equity, and cash flows of The Simply Good Foods Company and subsidiaries (successor) for the 52-weeks ended August 25, 2018 and the related notes. In our opinion, the consolidated statements of operations and comprehensive income, changes in stockholders’ equity, cash flows, and the related notes present fairly, in all material respects, the results of its operations and its cash flows for the 52-weeks ended August 25, 2018,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to the consolidated financial statements, during the fourth quarter ended August 31, 2019 the Company elected to change its principle of accounting for the classification of shipping &amp; handling costs relating to the delivery of products to customers from operating expenses to cost of sales and this change in accounting principle has been retrospectively applied to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2011 to February 25,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with respect to our opinion on the consolidated financial statements insofar as it relates to the effects of the accounting principle change discussed in Note 2, as to which the date 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auto"/>
              </w:rPr>
              <w:t>August 29, 2020</w:t>
            </w:r>
          </w:p>
        </w:tc>
        <w:tc>
          <w:tcPr>
            <w:tcW w:w="14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w w:val="90"/>
              </w:rPr>
              <w:t>August 31, 2019</w:t>
            </w:r>
          </w:p>
        </w:tc>
      </w:tr>
      <w:tr>
        <w:trPr>
          <w:trHeight w:val="46"/>
        </w:trPr>
        <w:tc>
          <w:tcPr>
            <w:tcW w:w="7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1"/>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95,847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266,341</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44,240</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38,085</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6,059</w:t>
            </w:r>
          </w:p>
        </w:tc>
      </w:tr>
      <w:tr>
        <w:trPr>
          <w:trHeight w:val="33"/>
        </w:trPr>
        <w:tc>
          <w:tcPr>
            <w:tcW w:w="7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357,607</w:t>
            </w:r>
          </w:p>
        </w:tc>
      </w:tr>
      <w:tr>
        <w:trPr>
          <w:trHeight w:val="270"/>
        </w:trPr>
        <w:tc>
          <w:tcPr>
            <w:tcW w:w="7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2,456</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306,139</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544,774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471,427</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r>
      <w:tr>
        <w:trPr>
          <w:trHeight w:val="217"/>
        </w:trPr>
        <w:tc>
          <w:tcPr>
            <w:tcW w:w="716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2,008,445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1,141,650</w:t>
            </w:r>
          </w:p>
        </w:tc>
      </w:tr>
      <w:tr>
        <w:trPr>
          <w:trHeight w:val="73"/>
        </w:trPr>
        <w:tc>
          <w:tcPr>
            <w:tcW w:w="71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51"/>
        </w:trPr>
        <w:tc>
          <w:tcPr>
            <w:tcW w:w="7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7"/>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32,240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15,730</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29,933</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maturities of 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17"/>
        </w:trPr>
        <w:tc>
          <w:tcPr>
            <w:tcW w:w="716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48,032</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Long-term liabilities: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7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190,259</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84,352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65,383</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7160" w:type="dxa"/>
            <w:vAlign w:val="bottom"/>
          </w:tcPr>
          <w:p>
            <w:pPr>
              <w:ind w:left="160"/>
              <w:spacing w:after="0"/>
              <w:rPr>
                <w:sz w:val="20"/>
                <w:szCs w:val="20"/>
                <w:color w:val="auto"/>
              </w:rPr>
            </w:pPr>
            <w:r>
              <w:rPr>
                <w:rFonts w:ascii="Arial" w:cs="Arial" w:eastAsia="Arial" w:hAnsi="Arial"/>
                <w:sz w:val="16"/>
                <w:szCs w:val="16"/>
                <w:color w:val="auto"/>
              </w:rPr>
              <w:t>Total liabilities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775,474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304,206</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See commitments and contingencies (Note 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7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7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Common stock, $0.01 par value, 600,000,000 shares authorized, 95,751,845 and 81,973,284 issued at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August 29, 2020 and August 31, 2019,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w w:val="95"/>
              </w:rPr>
              <w:t>Treasury stock, 98,234 and 98,234 shares at cost at August 29, 2020 and August 31, 2019, 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(2,145)</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paid-in-capital</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733,775</w:t>
            </w:r>
          </w:p>
        </w:tc>
      </w:tr>
      <w:tr>
        <w:trPr>
          <w:trHeight w:val="237"/>
        </w:trPr>
        <w:tc>
          <w:tcPr>
            <w:tcW w:w="7180" w:type="dxa"/>
            <w:vAlign w:val="bottom"/>
            <w:gridSpan w:val="2"/>
          </w:tcPr>
          <w:p>
            <w:pPr>
              <w:ind w:left="16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140,530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105,830</w:t>
            </w:r>
          </w:p>
        </w:tc>
      </w:tr>
      <w:tr>
        <w:trPr>
          <w:trHeight w:val="33"/>
        </w:trPr>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17"/>
        </w:trPr>
        <w:tc>
          <w:tcPr>
            <w:tcW w:w="716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1,232,971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837,444</w:t>
            </w:r>
          </w:p>
        </w:tc>
      </w:tr>
      <w:tr>
        <w:trPr>
          <w:trHeight w:val="33"/>
        </w:trPr>
        <w:tc>
          <w:tcPr>
            <w:tcW w:w="7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1,141,650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180" w:type="dxa"/>
            <w:vAlign w:val="bottom"/>
            <w:gridSpan w:val="2"/>
          </w:tcPr>
          <w:p>
            <w:pPr>
              <w:ind w:left="2840"/>
              <w:spacing w:after="0"/>
              <w:rPr>
                <w:sz w:val="20"/>
                <w:szCs w:val="20"/>
                <w:color w:val="auto"/>
              </w:rPr>
            </w:pPr>
            <w:r>
              <w:rPr>
                <w:rFonts w:ascii="Arial" w:cs="Arial" w:eastAsia="Arial" w:hAnsi="Arial"/>
                <w:sz w:val="16"/>
                <w:szCs w:val="16"/>
                <w:i w:val="1"/>
                <w:iCs w:val="1"/>
                <w:color w:val="auto"/>
                <w:w w:val="90"/>
              </w:rPr>
              <w:t>See accompanying Notes to the Consolidated Financial Statements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40"/>
          </w:cols>
          <w:pgMar w:left="320" w:top="125" w:right="9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680" w:right="166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Consolidated Statements of Operations and Comprehensive Income </w:t>
      </w:r>
      <w:r>
        <w:rPr>
          <w:rFonts w:ascii="Arial" w:cs="Arial" w:eastAsia="Arial" w:hAnsi="Arial"/>
          <w:sz w:val="18"/>
          <w:szCs w:val="18"/>
          <w:i w:val="1"/>
          <w:iCs w:val="1"/>
          <w:color w:val="auto"/>
        </w:rPr>
        <w:t>(In thousands, except share and per share data)</w:t>
      </w:r>
    </w:p>
    <w:p>
      <w:pPr>
        <w:spacing w:after="0" w:line="130"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auto"/>
              </w:rPr>
              <w:t>53-Weeks Ended</w:t>
            </w: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w w:val="89"/>
              </w:rPr>
              <w:t>52-Weeks Ended</w:t>
            </w:r>
          </w:p>
        </w:tc>
      </w:tr>
      <w:tr>
        <w:trPr>
          <w:trHeight w:val="270"/>
        </w:trPr>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3"/>
                <w:szCs w:val="23"/>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August 31, 2019</w:t>
            </w:r>
          </w:p>
        </w:tc>
        <w:tc>
          <w:tcPr>
            <w:tcW w:w="1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w w:val="92"/>
              </w:rPr>
              <w:t>August 25, 2018</w:t>
            </w:r>
          </w:p>
        </w:tc>
      </w:tr>
      <w:tr>
        <w:trPr>
          <w:trHeight w:val="33"/>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816,641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523,383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431,429</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492,313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251,063</w:t>
            </w: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324,328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217,405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180,366</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59,092</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61,972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49,635</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7,498</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Business transaction costs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2,259</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220" w:type="dxa"/>
            <w:vAlign w:val="bottom"/>
          </w:tcPr>
          <w:p>
            <w:pPr>
              <w:ind w:left="160"/>
              <w:spacing w:after="0"/>
              <w:rPr>
                <w:sz w:val="20"/>
                <w:szCs w:val="20"/>
                <w:color w:val="auto"/>
              </w:rPr>
            </w:pPr>
            <w:r>
              <w:rPr>
                <w:rFonts w:ascii="Arial" w:cs="Arial" w:eastAsia="Arial" w:hAnsi="Arial"/>
                <w:sz w:val="16"/>
                <w:szCs w:val="16"/>
                <w:color w:val="auto"/>
                <w:w w:val="96"/>
              </w:rPr>
              <w:t>Loss (gain) in fair value change of contingent consideration</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6"/>
        </w:trPr>
        <w:tc>
          <w:tcPr>
            <w:tcW w:w="4220" w:type="dxa"/>
            <w:vAlign w:val="bottom"/>
          </w:tcPr>
          <w:p>
            <w:pPr>
              <w:ind w:left="160"/>
              <w:spacing w:after="0"/>
              <w:rPr>
                <w:sz w:val="20"/>
                <w:szCs w:val="20"/>
                <w:color w:val="auto"/>
              </w:rPr>
            </w:pPr>
            <w:r>
              <w:rPr>
                <w:rFonts w:ascii="Arial" w:cs="Arial" w:eastAsia="Arial" w:hAnsi="Arial"/>
                <w:sz w:val="16"/>
                <w:szCs w:val="16"/>
                <w:color w:val="auto"/>
              </w:rPr>
              <w:t>- TRA liability</w:t>
            </w:r>
          </w:p>
        </w:tc>
        <w:tc>
          <w:tcPr>
            <w:tcW w:w="1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(2,848)</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246,104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115,636</w:t>
            </w:r>
          </w:p>
        </w:tc>
      </w:tr>
      <w:tr>
        <w:trPr>
          <w:trHeight w:val="297"/>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64,730</w:t>
            </w:r>
          </w:p>
        </w:tc>
      </w:tr>
      <w:tr>
        <w:trPr>
          <w:trHeight w:val="297"/>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(12,551)</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Gain on settlement of TRA liability</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(loss) on foreign currency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(11,639)</w:t>
            </w:r>
          </w:p>
        </w:tc>
      </w:tr>
      <w:tr>
        <w:trPr>
          <w:trHeight w:val="297"/>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53,091</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(17,364)</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70,455</w:t>
            </w:r>
          </w:p>
        </w:tc>
      </w:tr>
      <w:tr>
        <w:trPr>
          <w:trHeight w:val="297"/>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69,638</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93,968,953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80,734,091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70,582,149</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98,343,722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85,243,909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73,681,355</w:t>
            </w:r>
          </w:p>
        </w:tc>
      </w:tr>
      <w:tr>
        <w:trPr>
          <w:trHeight w:val="230"/>
        </w:trPr>
        <w:tc>
          <w:tcPr>
            <w:tcW w:w="7160" w:type="dxa"/>
            <w:vAlign w:val="bottom"/>
            <w:gridSpan w:val="7"/>
          </w:tcPr>
          <w:p>
            <w:pPr>
              <w:ind w:left="2100"/>
              <w:spacing w:after="0"/>
              <w:rPr>
                <w:sz w:val="20"/>
                <w:szCs w:val="20"/>
                <w:color w:val="auto"/>
              </w:rPr>
            </w:pPr>
            <w:r>
              <w:rPr>
                <w:rFonts w:ascii="Arial" w:cs="Arial" w:eastAsia="Arial" w:hAnsi="Arial"/>
                <w:sz w:val="16"/>
                <w:szCs w:val="16"/>
                <w:i w:val="1"/>
                <w:iCs w:val="1"/>
                <w:color w:val="auto"/>
              </w:rPr>
              <w:t>See accompanying Notes to the Consolidated Financial Statements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3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139"/>
          </w:cols>
          <w:pgMar w:left="320" w:top="125"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0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53-Weeks Ended</w:t>
            </w:r>
          </w:p>
        </w:tc>
        <w:tc>
          <w:tcPr>
            <w:tcW w:w="1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w w:val="89"/>
              </w:rPr>
              <w:t>52-Weeks Ended</w:t>
            </w: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August 29, 2020</w:t>
            </w: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August 31, 2019</w:t>
            </w:r>
          </w:p>
        </w:tc>
        <w:tc>
          <w:tcPr>
            <w:tcW w:w="100" w:type="dxa"/>
            <w:vAlign w:val="bottom"/>
          </w:tcPr>
          <w:p>
            <w:pPr>
              <w:spacing w:after="0"/>
              <w:rPr>
                <w:sz w:val="24"/>
                <w:szCs w:val="24"/>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w w:val="92"/>
              </w:rPr>
              <w:t>August 25, 2018</w:t>
            </w:r>
          </w:p>
        </w:tc>
        <w:tc>
          <w:tcPr>
            <w:tcW w:w="0" w:type="dxa"/>
            <w:vAlign w:val="bottom"/>
          </w:tcPr>
          <w:p>
            <w:pPr>
              <w:spacing w:after="0"/>
              <w:rPr>
                <w:sz w:val="1"/>
                <w:szCs w:val="1"/>
                <w:color w:val="auto"/>
              </w:rPr>
            </w:pPr>
          </w:p>
        </w:tc>
      </w:tr>
      <w:tr>
        <w:trPr>
          <w:trHeight w:val="33"/>
        </w:trPr>
        <w:tc>
          <w:tcPr>
            <w:tcW w:w="5440" w:type="dxa"/>
            <w:vAlign w:val="bottom"/>
            <w:vMerge w:val="restart"/>
          </w:tcPr>
          <w:p>
            <w:pPr>
              <w:ind w:left="60"/>
              <w:spacing w:after="0"/>
              <w:rPr>
                <w:sz w:val="20"/>
                <w:szCs w:val="20"/>
                <w:color w:val="auto"/>
              </w:rPr>
            </w:pPr>
            <w:r>
              <w:rPr>
                <w:rFonts w:ascii="Arial" w:cs="Arial" w:eastAsia="Arial" w:hAnsi="Arial"/>
                <w:sz w:val="16"/>
                <w:szCs w:val="16"/>
                <w:color w:val="auto"/>
              </w:rPr>
              <w:t>Operating activities</w:t>
            </w: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70,455</w:t>
            </w:r>
          </w:p>
        </w:tc>
        <w:tc>
          <w:tcPr>
            <w:tcW w:w="0" w:type="dxa"/>
            <w:vAlign w:val="bottom"/>
          </w:tcPr>
          <w:p>
            <w:pPr>
              <w:spacing w:after="0"/>
              <w:rPr>
                <w:sz w:val="1"/>
                <w:szCs w:val="1"/>
                <w:color w:val="auto"/>
              </w:rPr>
            </w:pPr>
          </w:p>
        </w:tc>
      </w:tr>
      <w:tr>
        <w:trPr>
          <w:trHeight w:val="220"/>
        </w:trPr>
        <w:tc>
          <w:tcPr>
            <w:tcW w:w="5440" w:type="dxa"/>
            <w:vAlign w:val="bottom"/>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220"/>
              <w:spacing w:after="0"/>
              <w:rPr>
                <w:sz w:val="20"/>
                <w:szCs w:val="20"/>
                <w:color w:val="auto"/>
              </w:rPr>
            </w:pPr>
            <w:r>
              <w:rPr>
                <w:rFonts w:ascii="Arial" w:cs="Arial" w:eastAsia="Arial" w:hAnsi="Arial"/>
                <w:sz w:val="16"/>
                <w:szCs w:val="16"/>
                <w:color w:val="auto"/>
              </w:rPr>
              <w:t>activities:</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Amortization of deferred financing costs and debt discount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Stock compensation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4,029</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Loss on impairment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(gain) in fair value change of contingent consideration - TRA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Gain on settlement of TRA liability</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Unrealized loss (gain) on foreign currency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(21,108)</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Amortization of operating lease right-of-use asset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acquisition:</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3,094</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61,038</w:t>
            </w:r>
          </w:p>
        </w:tc>
        <w:tc>
          <w:tcPr>
            <w:tcW w:w="0" w:type="dxa"/>
            <w:vAlign w:val="bottom"/>
          </w:tcPr>
          <w:p>
            <w:pPr>
              <w:spacing w:after="0"/>
              <w:rPr>
                <w:sz w:val="1"/>
                <w:szCs w:val="1"/>
                <w:color w:val="auto"/>
              </w:rPr>
            </w:pPr>
          </w:p>
        </w:tc>
      </w:tr>
      <w:tr>
        <w:trPr>
          <w:trHeight w:val="230"/>
        </w:trPr>
        <w:tc>
          <w:tcPr>
            <w:tcW w:w="5440" w:type="dxa"/>
            <w:vAlign w:val="bottom"/>
          </w:tcPr>
          <w:p>
            <w:pPr>
              <w:ind w:left="60"/>
              <w:spacing w:after="0"/>
              <w:rPr>
                <w:sz w:val="20"/>
                <w:szCs w:val="20"/>
                <w:color w:val="auto"/>
              </w:rPr>
            </w:pPr>
            <w:r>
              <w:rPr>
                <w:rFonts w:ascii="Arial" w:cs="Arial" w:eastAsia="Arial" w:hAnsi="Arial"/>
                <w:sz w:val="16"/>
                <w:szCs w:val="16"/>
                <w:color w:val="auto"/>
              </w:rPr>
              <w:t>Investing activities</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note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Proceeds from note receivable</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business, net of cash acquired</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(982,075)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Investments in intangible assets and other assets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(983,994)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230"/>
        </w:trPr>
        <w:tc>
          <w:tcPr>
            <w:tcW w:w="5440" w:type="dxa"/>
            <w:vAlign w:val="bottom"/>
          </w:tcPr>
          <w:p>
            <w:pPr>
              <w:ind w:left="60"/>
              <w:spacing w:after="0"/>
              <w:rPr>
                <w:sz w:val="20"/>
                <w:szCs w:val="20"/>
                <w:color w:val="auto"/>
              </w:rPr>
            </w:pPr>
            <w:r>
              <w:rPr>
                <w:rFonts w:ascii="Arial" w:cs="Arial" w:eastAsia="Arial" w:hAnsi="Arial"/>
                <w:sz w:val="16"/>
                <w:szCs w:val="16"/>
                <w:color w:val="auto"/>
              </w:rPr>
              <w:t>Financing activities</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option exercises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Cash received from warrant exercises</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113,464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 payments related to issuance of restricted stock units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352,542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Repurchase of common stock</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on finance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Principal payments of long-term debt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Repayments of Revolving Credit Facility</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Proceeds from issuance of long term debt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Revolving Credit Facility</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Settlement of TRA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40" w:type="dxa"/>
            <w:vAlign w:val="bottom"/>
          </w:tcPr>
          <w:p>
            <w:pPr>
              <w:ind w:left="6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754,652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83,376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6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(decrease) increase in cash</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55,938</w:t>
            </w:r>
          </w:p>
        </w:tc>
        <w:tc>
          <w:tcPr>
            <w:tcW w:w="0" w:type="dxa"/>
            <w:vAlign w:val="bottom"/>
          </w:tcPr>
          <w:p>
            <w:pPr>
              <w:spacing w:after="0"/>
              <w:rPr>
                <w:sz w:val="1"/>
                <w:szCs w:val="1"/>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6"/>
                <w:szCs w:val="16"/>
                <w:color w:val="auto"/>
              </w:rPr>
              <w:t>Effect of exchange rate on cash</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at beginning of period</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266,341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56,501</w:t>
            </w:r>
          </w:p>
        </w:tc>
        <w:tc>
          <w:tcPr>
            <w:tcW w:w="0" w:type="dxa"/>
            <w:vAlign w:val="bottom"/>
          </w:tcPr>
          <w:p>
            <w:pPr>
              <w:spacing w:after="0"/>
              <w:rPr>
                <w:sz w:val="1"/>
                <w:szCs w:val="1"/>
                <w:color w:val="auto"/>
              </w:rPr>
            </w:pPr>
          </w:p>
        </w:tc>
      </w:tr>
      <w:tr>
        <w:trPr>
          <w:trHeight w:val="217"/>
        </w:trPr>
        <w:tc>
          <w:tcPr>
            <w:tcW w:w="5440" w:type="dxa"/>
            <w:vAlign w:val="bottom"/>
          </w:tcPr>
          <w:p>
            <w:pPr>
              <w:ind w:left="6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95,847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266,341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111,971</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125" w:right="109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125"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0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53-Weeks Ended</w:t>
            </w:r>
          </w:p>
        </w:tc>
        <w:tc>
          <w:tcPr>
            <w:tcW w:w="1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w w:val="87"/>
              </w:rPr>
              <w:t>52-Weeks Ended</w:t>
            </w:r>
          </w:p>
        </w:tc>
        <w:tc>
          <w:tcPr>
            <w:tcW w:w="0" w:type="dxa"/>
            <w:vAlign w:val="bottom"/>
          </w:tcPr>
          <w:p>
            <w:pPr>
              <w:spacing w:after="0"/>
              <w:rPr>
                <w:sz w:val="1"/>
                <w:szCs w:val="1"/>
                <w:color w:val="auto"/>
              </w:rPr>
            </w:pPr>
          </w:p>
        </w:tc>
      </w:tr>
      <w:tr>
        <w:trPr>
          <w:trHeight w:val="28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August 29, 2020</w:t>
            </w:r>
          </w:p>
        </w:tc>
        <w:tc>
          <w:tcPr>
            <w:tcW w:w="1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August 31, 2019</w:t>
            </w:r>
          </w:p>
        </w:tc>
        <w:tc>
          <w:tcPr>
            <w:tcW w:w="120" w:type="dxa"/>
            <w:vAlign w:val="bottom"/>
          </w:tcPr>
          <w:p>
            <w:pPr>
              <w:spacing w:after="0"/>
              <w:rPr>
                <w:sz w:val="24"/>
                <w:szCs w:val="24"/>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w w:val="90"/>
              </w:rPr>
              <w:t>August 25, 2018</w:t>
            </w:r>
          </w:p>
        </w:tc>
        <w:tc>
          <w:tcPr>
            <w:tcW w:w="0" w:type="dxa"/>
            <w:vAlign w:val="bottom"/>
          </w:tcPr>
          <w:p>
            <w:pPr>
              <w:spacing w:after="0"/>
              <w:rPr>
                <w:sz w:val="1"/>
                <w:szCs w:val="1"/>
                <w:color w:val="auto"/>
              </w:rPr>
            </w:pPr>
          </w:p>
        </w:tc>
      </w:tr>
      <w:tr>
        <w:trPr>
          <w:trHeight w:val="33"/>
        </w:trPr>
        <w:tc>
          <w:tcPr>
            <w:tcW w:w="5480" w:type="dxa"/>
            <w:vAlign w:val="bottom"/>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interest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11,218</w:t>
            </w:r>
          </w:p>
        </w:tc>
        <w:tc>
          <w:tcPr>
            <w:tcW w:w="0" w:type="dxa"/>
            <w:vAlign w:val="bottom"/>
          </w:tcPr>
          <w:p>
            <w:pPr>
              <w:spacing w:after="0"/>
              <w:rPr>
                <w:sz w:val="1"/>
                <w:szCs w:val="1"/>
                <w:color w:val="auto"/>
              </w:rPr>
            </w:pPr>
          </w:p>
        </w:tc>
      </w:tr>
      <w:tr>
        <w:trPr>
          <w:trHeight w:val="237"/>
        </w:trPr>
        <w:tc>
          <w:tcPr>
            <w:tcW w:w="5480" w:type="dxa"/>
            <w:vAlign w:val="bottom"/>
          </w:tcPr>
          <w:p>
            <w:pPr>
              <w:ind w:left="160"/>
              <w:spacing w:after="0"/>
              <w:rPr>
                <w:sz w:val="20"/>
                <w:szCs w:val="20"/>
                <w:color w:val="auto"/>
              </w:rPr>
            </w:pPr>
            <w:r>
              <w:rPr>
                <w:rFonts w:ascii="Arial" w:cs="Arial" w:eastAsia="Arial" w:hAnsi="Arial"/>
                <w:sz w:val="16"/>
                <w:szCs w:val="16"/>
                <w:color w:val="auto"/>
              </w:rPr>
              <w:t>Cash paid for taxes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4,530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160"/>
              <w:spacing w:after="0"/>
              <w:rPr>
                <w:sz w:val="20"/>
                <w:szCs w:val="20"/>
                <w:color w:val="auto"/>
              </w:rPr>
            </w:pPr>
            <w:r>
              <w:rPr>
                <w:rFonts w:ascii="Arial" w:cs="Arial" w:eastAsia="Arial" w:hAnsi="Arial"/>
                <w:sz w:val="16"/>
                <w:szCs w:val="16"/>
                <w:color w:val="auto"/>
                <w:w w:val="97"/>
              </w:rPr>
              <w:t>Operating lease right-of-use assets recognized at ASU No 2016-02 transition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Finance lease right-of-use assets recognized at ASU No 2016-02 transition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80" w:type="dxa"/>
            <w:vAlign w:val="bottom"/>
          </w:tcPr>
          <w:p>
            <w:pPr>
              <w:ind w:left="160"/>
              <w:spacing w:after="0"/>
              <w:rPr>
                <w:sz w:val="20"/>
                <w:szCs w:val="20"/>
                <w:color w:val="auto"/>
              </w:rPr>
            </w:pPr>
            <w:r>
              <w:rPr>
                <w:rFonts w:ascii="Arial" w:cs="Arial" w:eastAsia="Arial" w:hAnsi="Arial"/>
                <w:sz w:val="16"/>
                <w:szCs w:val="16"/>
                <w:color w:val="auto"/>
                <w:w w:val="94"/>
              </w:rPr>
              <w:t>Operating lease right-of-use assets recognized after ASU No 2016-02 transition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759"/>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80"/>
          </w:cols>
          <w:pgMar w:left="320" w:top="125" w:right="10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The Simply Good Foods Company and Subsidiaries</w:t>
      </w:r>
    </w:p>
    <w:p>
      <w:pPr>
        <w:spacing w:after="0" w:line="50"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ectPr>
          <w:pgSz w:w="11900" w:h="16838" w:orient="portrait"/>
          <w:cols w:equalWidth="0" w:num="1">
            <w:col w:w="10640"/>
          </w:cols>
          <w:pgMar w:left="320" w:top="125" w:right="939" w:bottom="1440" w:gutter="0" w:footer="0" w:header="0"/>
        </w:sectPr>
      </w:pP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5"/>
                <w:szCs w:val="15"/>
                <w:color w:val="auto"/>
              </w:rPr>
              <w:t>Common 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right"/>
              <w:ind w:right="159"/>
              <w:spacing w:after="0"/>
              <w:rPr>
                <w:sz w:val="20"/>
                <w:szCs w:val="20"/>
                <w:color w:val="auto"/>
              </w:rPr>
            </w:pPr>
            <w:r>
              <w:rPr>
                <w:rFonts w:ascii="Arial" w:cs="Arial" w:eastAsia="Arial" w:hAnsi="Arial"/>
                <w:sz w:val="16"/>
                <w:szCs w:val="16"/>
                <w:color w:val="auto"/>
              </w:rPr>
              <w:t>Treasury Stock</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5"/>
                <w:szCs w:val="15"/>
                <w:color w:val="auto"/>
              </w:rPr>
              <w:t>Shares</w:t>
            </w:r>
          </w:p>
        </w:tc>
        <w:tc>
          <w:tcPr>
            <w:tcW w:w="82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Shares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35"/>
        </w:trPr>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66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Balance, August 26,</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70,562,477</w:t>
            </w:r>
          </w:p>
        </w:tc>
        <w:tc>
          <w:tcPr>
            <w:tcW w:w="100" w:type="dxa"/>
            <w:vAlign w:val="bottom"/>
          </w:tcPr>
          <w:p>
            <w:pPr>
              <w:spacing w:after="0"/>
              <w:rPr>
                <w:sz w:val="14"/>
                <w:szCs w:val="14"/>
                <w:color w:val="auto"/>
              </w:rPr>
            </w:pP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w w:val="95"/>
              </w:rPr>
              <w:t>706</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560" w:type="dxa"/>
            <w:vAlign w:val="bottom"/>
          </w:tcPr>
          <w:p>
            <w:pPr>
              <w:ind w:left="20"/>
              <w:spacing w:after="0"/>
              <w:rPr>
                <w:sz w:val="20"/>
                <w:szCs w:val="20"/>
                <w:color w:val="auto"/>
              </w:rPr>
            </w:pPr>
            <w:r>
              <w:rPr>
                <w:rFonts w:ascii="Arial" w:cs="Arial" w:eastAsia="Arial" w:hAnsi="Arial"/>
                <w:sz w:val="15"/>
                <w:szCs w:val="15"/>
                <w:color w:val="auto"/>
              </w:rPr>
              <w:t>2017</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Stock-based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compensation</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Foreign currency</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adjustments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Shares issued upon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vesting of restricted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 units</w:t>
            </w:r>
          </w:p>
        </w:tc>
        <w:tc>
          <w:tcPr>
            <w:tcW w:w="860" w:type="dxa"/>
            <w:vAlign w:val="bottom"/>
          </w:tcPr>
          <w:p>
            <w:pPr>
              <w:jc w:val="right"/>
              <w:spacing w:after="0"/>
              <w:rPr>
                <w:sz w:val="20"/>
                <w:szCs w:val="20"/>
                <w:color w:val="auto"/>
              </w:rPr>
            </w:pPr>
            <w:r>
              <w:rPr>
                <w:rFonts w:ascii="Arial" w:cs="Arial" w:eastAsia="Arial" w:hAnsi="Arial"/>
                <w:sz w:val="15"/>
                <w:szCs w:val="15"/>
                <w:color w:val="auto"/>
              </w:rPr>
              <w:t>12,986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Exercise of options to</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w:t>
            </w:r>
          </w:p>
        </w:tc>
        <w:tc>
          <w:tcPr>
            <w:tcW w:w="86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Warrant conversion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20,212</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Balance, August 25,</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70,605,675</w:t>
            </w:r>
          </w:p>
        </w:tc>
        <w:tc>
          <w:tcPr>
            <w:tcW w:w="100" w:type="dxa"/>
            <w:vAlign w:val="bottom"/>
          </w:tcPr>
          <w:p>
            <w:pPr>
              <w:spacing w:after="0"/>
              <w:rPr>
                <w:sz w:val="14"/>
                <w:szCs w:val="14"/>
                <w:color w:val="auto"/>
              </w:rPr>
            </w:pP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w w:val="95"/>
              </w:rPr>
              <w:t>706</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560" w:type="dxa"/>
            <w:vAlign w:val="bottom"/>
          </w:tcPr>
          <w:p>
            <w:pPr>
              <w:ind w:left="20"/>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Stock-based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compensation</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Foreign currency</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adjustments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Repurchase of</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common stock</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98,234</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Shares issued upon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vesting of Restricted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 Units</w:t>
            </w:r>
          </w:p>
        </w:tc>
        <w:tc>
          <w:tcPr>
            <w:tcW w:w="860" w:type="dxa"/>
            <w:vAlign w:val="bottom"/>
          </w:tcPr>
          <w:p>
            <w:pPr>
              <w:jc w:val="right"/>
              <w:spacing w:after="0"/>
              <w:rPr>
                <w:sz w:val="20"/>
                <w:szCs w:val="20"/>
                <w:color w:val="auto"/>
              </w:rPr>
            </w:pPr>
            <w:r>
              <w:rPr>
                <w:rFonts w:ascii="Arial" w:cs="Arial" w:eastAsia="Arial" w:hAnsi="Arial"/>
                <w:sz w:val="15"/>
                <w:szCs w:val="15"/>
                <w:color w:val="auto"/>
              </w:rPr>
              <w:t>80,293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Exercise of options to</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w:t>
            </w:r>
          </w:p>
        </w:tc>
        <w:tc>
          <w:tcPr>
            <w:tcW w:w="860" w:type="dxa"/>
            <w:vAlign w:val="bottom"/>
          </w:tcPr>
          <w:p>
            <w:pPr>
              <w:jc w:val="right"/>
              <w:spacing w:after="0"/>
              <w:rPr>
                <w:sz w:val="20"/>
                <w:szCs w:val="20"/>
                <w:color w:val="auto"/>
              </w:rPr>
            </w:pPr>
            <w:r>
              <w:rPr>
                <w:rFonts w:ascii="Arial" w:cs="Arial" w:eastAsia="Arial" w:hAnsi="Arial"/>
                <w:sz w:val="15"/>
                <w:szCs w:val="15"/>
                <w:color w:val="auto"/>
              </w:rPr>
              <w:t>87,017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Warrant conversion</w:t>
            </w:r>
          </w:p>
        </w:tc>
        <w:tc>
          <w:tcPr>
            <w:tcW w:w="860" w:type="dxa"/>
            <w:vAlign w:val="bottom"/>
          </w:tcPr>
          <w:p>
            <w:pPr>
              <w:jc w:val="right"/>
              <w:spacing w:after="0"/>
              <w:rPr>
                <w:sz w:val="20"/>
                <w:szCs w:val="20"/>
                <w:color w:val="auto"/>
              </w:rPr>
            </w:pPr>
            <w:r>
              <w:rPr>
                <w:rFonts w:ascii="Arial" w:cs="Arial" w:eastAsia="Arial" w:hAnsi="Arial"/>
                <w:sz w:val="15"/>
                <w:szCs w:val="15"/>
                <w:color w:val="auto"/>
              </w:rPr>
              <w:t>11,200,299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95"/>
              </w:rPr>
              <w:t>112</w:t>
            </w: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Balance, August 31,</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81,973,284</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820</w:t>
            </w:r>
          </w:p>
        </w:tc>
        <w:tc>
          <w:tcPr>
            <w:tcW w:w="120" w:type="dxa"/>
            <w:vAlign w:val="bottom"/>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98,234</w:t>
            </w:r>
          </w:p>
        </w:tc>
        <w:tc>
          <w:tcPr>
            <w:tcW w:w="100" w:type="dxa"/>
            <w:vAlign w:val="bottom"/>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194"/>
        </w:trPr>
        <w:tc>
          <w:tcPr>
            <w:tcW w:w="1560" w:type="dxa"/>
            <w:vAlign w:val="bottom"/>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Stock-based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compensation</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Foreign currency</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adjustments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Public equity offering</w:t>
            </w:r>
          </w:p>
        </w:tc>
        <w:tc>
          <w:tcPr>
            <w:tcW w:w="860" w:type="dxa"/>
            <w:vAlign w:val="bottom"/>
          </w:tcPr>
          <w:p>
            <w:pPr>
              <w:jc w:val="right"/>
              <w:spacing w:after="0"/>
              <w:rPr>
                <w:sz w:val="20"/>
                <w:szCs w:val="20"/>
                <w:color w:val="auto"/>
              </w:rPr>
            </w:pPr>
            <w:r>
              <w:rPr>
                <w:rFonts w:ascii="Arial" w:cs="Arial" w:eastAsia="Arial" w:hAnsi="Arial"/>
                <w:sz w:val="15"/>
                <w:szCs w:val="15"/>
                <w:color w:val="auto"/>
              </w:rPr>
              <w:t>13,379,205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95"/>
              </w:rPr>
              <w:t>134</w:t>
            </w: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Shares issued upon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vesting of restricted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 units</w:t>
            </w:r>
          </w:p>
        </w:tc>
        <w:tc>
          <w:tcPr>
            <w:tcW w:w="860" w:type="dxa"/>
            <w:vAlign w:val="bottom"/>
          </w:tcPr>
          <w:p>
            <w:pPr>
              <w:jc w:val="right"/>
              <w:spacing w:after="0"/>
              <w:rPr>
                <w:sz w:val="20"/>
                <w:szCs w:val="20"/>
                <w:color w:val="auto"/>
              </w:rPr>
            </w:pPr>
            <w:r>
              <w:rPr>
                <w:rFonts w:ascii="Arial" w:cs="Arial" w:eastAsia="Arial" w:hAnsi="Arial"/>
                <w:sz w:val="15"/>
                <w:szCs w:val="15"/>
                <w:color w:val="auto"/>
              </w:rPr>
              <w:t>58,974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Exercise of options to</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660" w:type="dxa"/>
            <w:vAlign w:val="bottom"/>
            <w:gridSpan w:val="2"/>
          </w:tcPr>
          <w:p>
            <w:pPr>
              <w:ind w:left="160"/>
              <w:spacing w:after="0"/>
              <w:rPr>
                <w:sz w:val="20"/>
                <w:szCs w:val="20"/>
                <w:color w:val="auto"/>
              </w:rPr>
            </w:pPr>
            <w:r>
              <w:rPr>
                <w:rFonts w:ascii="Arial" w:cs="Arial" w:eastAsia="Arial" w:hAnsi="Arial"/>
                <w:sz w:val="15"/>
                <w:szCs w:val="15"/>
                <w:color w:val="auto"/>
              </w:rPr>
              <w:t>stock</w:t>
            </w:r>
          </w:p>
        </w:tc>
        <w:tc>
          <w:tcPr>
            <w:tcW w:w="860" w:type="dxa"/>
            <w:vAlign w:val="bottom"/>
          </w:tcPr>
          <w:p>
            <w:pPr>
              <w:jc w:val="right"/>
              <w:spacing w:after="0"/>
              <w:rPr>
                <w:sz w:val="20"/>
                <w:szCs w:val="20"/>
                <w:color w:val="auto"/>
              </w:rPr>
            </w:pPr>
            <w:r>
              <w:rPr>
                <w:rFonts w:ascii="Arial" w:cs="Arial" w:eastAsia="Arial" w:hAnsi="Arial"/>
                <w:sz w:val="15"/>
                <w:szCs w:val="15"/>
                <w:color w:val="auto"/>
              </w:rPr>
              <w:t>340,382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Balance, August 29,</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95,751,845</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958</w:t>
            </w:r>
          </w:p>
        </w:tc>
        <w:tc>
          <w:tcPr>
            <w:tcW w:w="120" w:type="dxa"/>
            <w:vAlign w:val="bottom"/>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98,234</w:t>
            </w:r>
          </w:p>
        </w:tc>
        <w:tc>
          <w:tcPr>
            <w:tcW w:w="100" w:type="dxa"/>
            <w:vAlign w:val="bottom"/>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194"/>
        </w:trPr>
        <w:tc>
          <w:tcPr>
            <w:tcW w:w="1560" w:type="dxa"/>
            <w:vAlign w:val="bottom"/>
          </w:tcPr>
          <w:p>
            <w:pPr>
              <w:ind w:left="20"/>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color w:val="auto"/>
              </w:rPr>
              <w:t>Additional</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color w:val="auto"/>
                <w:w w:val="90"/>
              </w:rPr>
              <w:t>Retained Earnings</w:t>
            </w: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Accumulated 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Paid in</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5"/>
              </w:rPr>
              <w:t>(Accumulated</w:t>
            </w:r>
          </w:p>
        </w:tc>
        <w:tc>
          <w:tcPr>
            <w:tcW w:w="10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1"/>
              </w:rPr>
              <w:t>Comprehensive</w:t>
            </w:r>
          </w:p>
        </w:tc>
        <w:tc>
          <w:tcPr>
            <w:tcW w:w="180" w:type="dxa"/>
            <w:vAlign w:val="bottom"/>
          </w:tcPr>
          <w:p>
            <w:pPr>
              <w:spacing w:after="0"/>
              <w:rPr>
                <w:sz w:val="14"/>
                <w:szCs w:val="14"/>
                <w:color w:val="auto"/>
              </w:rPr>
            </w:pPr>
          </w:p>
        </w:tc>
        <w:tc>
          <w:tcPr>
            <w:tcW w:w="780" w:type="dxa"/>
            <w:vAlign w:val="bottom"/>
          </w:tcPr>
          <w:p>
            <w:pPr>
              <w:jc w:val="right"/>
              <w:ind w:right="264"/>
              <w:spacing w:after="0" w:line="162" w:lineRule="exact"/>
              <w:rPr>
                <w:sz w:val="20"/>
                <w:szCs w:val="20"/>
                <w:color w:val="auto"/>
              </w:rPr>
            </w:pPr>
            <w:r>
              <w:rPr>
                <w:rFonts w:ascii="Arial" w:cs="Arial" w:eastAsia="Arial" w:hAnsi="Arial"/>
                <w:sz w:val="15"/>
                <w:szCs w:val="15"/>
                <w:color w:val="auto"/>
              </w:rPr>
              <w:t>Total</w:t>
            </w:r>
          </w:p>
        </w:tc>
      </w:tr>
      <w:tr>
        <w:trPr>
          <w:trHeight w:val="194"/>
        </w:trPr>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Capital</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color w:val="auto"/>
              </w:rPr>
              <w:t>Deficit)</w:t>
            </w: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Income (Loss)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610,138</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(12,161)</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598,702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3"/>
        </w:trPr>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70,455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70,455</w:t>
            </w:r>
          </w:p>
        </w:tc>
      </w:tr>
      <w:tr>
        <w:trPr>
          <w:trHeight w:val="378"/>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4,029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4,029</w:t>
            </w:r>
          </w:p>
        </w:tc>
      </w:tr>
      <w:tr>
        <w:trPr>
          <w:trHeight w:val="540"/>
        </w:trPr>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(817)</w:t>
            </w:r>
          </w:p>
        </w:tc>
      </w:tr>
      <w:tr>
        <w:trPr>
          <w:trHeight w:val="540"/>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120</w:t>
            </w:r>
          </w:p>
        </w:tc>
      </w:tr>
      <w:tr>
        <w:trPr>
          <w:trHeight w:val="274"/>
        </w:trPr>
        <w:tc>
          <w:tcPr>
            <w:tcW w:w="12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232</w:t>
            </w:r>
          </w:p>
        </w:tc>
      </w:tr>
      <w:tr>
        <w:trPr>
          <w:trHeight w:val="344"/>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614,399</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58,294</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672,601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3"/>
        </w:trPr>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47,536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47,536</w:t>
            </w:r>
          </w:p>
        </w:tc>
      </w:tr>
      <w:tr>
        <w:trPr>
          <w:trHeight w:val="378"/>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5,501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5,501</w:t>
            </w:r>
          </w:p>
        </w:tc>
      </w:tr>
      <w:tr>
        <w:trPr>
          <w:trHeight w:val="540"/>
        </w:trPr>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378"/>
        </w:trPr>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(2,145)</w:t>
            </w:r>
          </w:p>
        </w:tc>
      </w:tr>
      <w:tr>
        <w:trPr>
          <w:trHeight w:val="540"/>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706</w:t>
            </w:r>
          </w:p>
        </w:tc>
      </w:tr>
      <w:tr>
        <w:trPr>
          <w:trHeight w:val="274"/>
        </w:trPr>
        <w:tc>
          <w:tcPr>
            <w:tcW w:w="12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113,352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113,464</w:t>
            </w:r>
          </w:p>
        </w:tc>
      </w:tr>
      <w:tr>
        <w:trPr>
          <w:trHeight w:val="344"/>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733,775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105,830</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837,444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3"/>
        </w:trPr>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34,700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34,700</w:t>
            </w:r>
          </w:p>
        </w:tc>
      </w:tr>
      <w:tr>
        <w:trPr>
          <w:trHeight w:val="378"/>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7,636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7,636</w:t>
            </w:r>
          </w:p>
        </w:tc>
      </w:tr>
      <w:tr>
        <w:trPr>
          <w:trHeight w:val="540"/>
        </w:trPr>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349,085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349,219</w:t>
            </w:r>
          </w:p>
        </w:tc>
      </w:tr>
      <w:tr>
        <w:trPr>
          <w:trHeight w:val="540"/>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(191)</w:t>
            </w:r>
          </w:p>
        </w:tc>
      </w:tr>
      <w:tr>
        <w:trPr>
          <w:trHeight w:val="544"/>
        </w:trPr>
        <w:tc>
          <w:tcPr>
            <w:tcW w:w="1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4,203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4,206</w:t>
            </w:r>
          </w:p>
        </w:tc>
      </w:tr>
      <w:tr>
        <w:trPr>
          <w:trHeight w:val="345"/>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1,094,507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140,530</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(879)</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1,232,971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-5836920</wp:posOffset>
            </wp:positionV>
            <wp:extent cx="635190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1905" cy="17970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-5417185</wp:posOffset>
            </wp:positionV>
            <wp:extent cx="6351905"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1905" cy="3429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-4731385</wp:posOffset>
            </wp:positionV>
            <wp:extent cx="635190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1905" cy="3429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-4217035</wp:posOffset>
            </wp:positionV>
            <wp:extent cx="635190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1905" cy="24003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-3796665</wp:posOffset>
            </wp:positionV>
            <wp:extent cx="635190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1905" cy="24003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-3214370</wp:posOffset>
            </wp:positionV>
            <wp:extent cx="635190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1905" cy="24003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-2630805</wp:posOffset>
            </wp:positionV>
            <wp:extent cx="635190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1905" cy="3429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-2116455</wp:posOffset>
            </wp:positionV>
            <wp:extent cx="635190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1905" cy="24003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-1696720</wp:posOffset>
            </wp:positionV>
            <wp:extent cx="635190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1905" cy="24003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-1113790</wp:posOffset>
            </wp:positionV>
            <wp:extent cx="63519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1905" cy="17145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-599440</wp:posOffset>
            </wp:positionV>
            <wp:extent cx="6351905"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1905"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120"/>
            <w:col w:w="4960"/>
          </w:cols>
          <w:pgMar w:left="320" w:top="125" w:right="939" w:bottom="1440" w:gutter="0" w:footer="0" w:header="0"/>
          <w:type w:val="continuous"/>
        </w:sect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640"/>
          </w:cols>
          <w:pgMar w:left="320" w:top="125" w:right="9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Simply Good Foods Company (“Simply Good Foods” or the "Company")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“Acquisition of Atkins”). The common stock of Simply Good Foods is listed on the Nasdaq Capital Market under the symbol “SMPL."</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"Acquisition of Quest"). On November 7, 2019, pursuant to the Purchase Agreement, Simply Good USA completed the Acquisition of Quest, via Simply Good USA’s direct or indirect acquisition of 100% of the equity interests of Voyage Holdings, LLC (“Voyage Holdings”), and VMG Quest Blocker, Inc. (“Voyage Blocker” and, together with Voyage Holdings, the “Target Companies”) for a cash purchase price of approximately $1.0 billion (subject to customary adjustments for the Target Companies’ levels of cash, indebtedness, net working capital and transaction expenses as of the closing date).</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 The Company's platform also positions it to continue to selectively pursue acquisition opportunities of brands in the nutritious snacking category.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Based on the duration and severity of economic effects from the novel coronavirus ("COVID-19") pandemic, including but not limited to stock market volatility, the potential for (i) continued increased rates of reported cases of COVID-19 (which has been referred to as a second wave), (ii) unexpected supply chain disruptions, (iii) changes to customer operations, (iv) continued or additional changes in consumer purchasing and consumption behavior beyond those evidenced to date, and (v) the closure of customer establishments, the Company remains uncertain of the ultimate effect COVID-19 could have on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29, 2020 and August 31, 2019. The remaining financial statements include the fifty-two week period ended August 29, 2020, the fifty-three week period ended August 31, 2019, and the fifty-two week period ended August 25, 2018.</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Amounts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Certain prior year amounts have been reclassified to conform to the current year presentation including (i)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expenses and </w:t>
      </w:r>
      <w:r>
        <w:rPr>
          <w:rFonts w:ascii="Arial" w:cs="Arial" w:eastAsia="Arial" w:hAnsi="Arial"/>
          <w:sz w:val="18"/>
          <w:szCs w:val="18"/>
          <w:i w:val="1"/>
          <w:iCs w:val="1"/>
          <w:color w:val="auto"/>
        </w:rPr>
        <w:t>Marketing</w:t>
      </w:r>
      <w:r>
        <w:rPr>
          <w:rFonts w:ascii="Arial" w:cs="Arial" w:eastAsia="Arial" w:hAnsi="Arial"/>
          <w:sz w:val="18"/>
          <w:szCs w:val="18"/>
          <w:color w:val="auto"/>
        </w:rPr>
        <w:t xml:space="preserve"> expenses, which have been combined as </w:t>
      </w:r>
      <w:r>
        <w:rPr>
          <w:rFonts w:ascii="Arial" w:cs="Arial" w:eastAsia="Arial" w:hAnsi="Arial"/>
          <w:sz w:val="18"/>
          <w:szCs w:val="18"/>
          <w:i w:val="1"/>
          <w:iCs w:val="1"/>
          <w:color w:val="auto"/>
        </w:rPr>
        <w:t>Selling and marketing</w:t>
      </w:r>
      <w:r>
        <w:rPr>
          <w:rFonts w:ascii="Arial" w:cs="Arial" w:eastAsia="Arial" w:hAnsi="Arial"/>
          <w:sz w:val="18"/>
          <w:szCs w:val="18"/>
          <w:color w:val="auto"/>
        </w:rPr>
        <w:t xml:space="preserve"> expenses on the Consolidated Statements of Operations and Comprehensive Income and (ii) </w:t>
      </w:r>
      <w:r>
        <w:rPr>
          <w:rFonts w:ascii="Arial" w:cs="Arial" w:eastAsia="Arial" w:hAnsi="Arial"/>
          <w:sz w:val="18"/>
          <w:szCs w:val="18"/>
          <w:i w:val="1"/>
          <w:iCs w:val="1"/>
          <w:color w:val="auto"/>
        </w:rPr>
        <w:t>Other operating expense</w:t>
      </w:r>
      <w:r>
        <w:rPr>
          <w:rFonts w:ascii="Arial" w:cs="Arial" w:eastAsia="Arial" w:hAnsi="Arial"/>
          <w:sz w:val="18"/>
          <w:szCs w:val="18"/>
          <w:color w:val="auto"/>
        </w:rPr>
        <w:t>, which has been combined with</w:t>
      </w:r>
      <w:r>
        <w:rPr>
          <w:rFonts w:ascii="Arial" w:cs="Arial" w:eastAsia="Arial" w:hAnsi="Arial"/>
          <w:sz w:val="18"/>
          <w:szCs w:val="18"/>
          <w:i w:val="1"/>
          <w:iCs w:val="1"/>
          <w:color w:val="auto"/>
        </w:rPr>
        <w:t xml:space="preserve"> General and administrative </w:t>
      </w:r>
      <w:r>
        <w:rPr>
          <w:rFonts w:ascii="Arial" w:cs="Arial" w:eastAsia="Arial" w:hAnsi="Arial"/>
          <w:sz w:val="18"/>
          <w:szCs w:val="18"/>
          <w:color w:val="auto"/>
        </w:rPr>
        <w:t>expenses on the Consolidated Statements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Accounting Principle</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During the fourth quarter ended August 31, 2019, the Company changed its accounting principle related to the presentation of third-party delivery costs associated with shipping and handling activities previously included as operating expenses in </w:t>
      </w:r>
      <w:r>
        <w:rPr>
          <w:rFonts w:ascii="Arial" w:cs="Arial" w:eastAsia="Arial" w:hAnsi="Arial"/>
          <w:sz w:val="16"/>
          <w:szCs w:val="16"/>
          <w:i w:val="1"/>
          <w:iCs w:val="1"/>
          <w:color w:val="auto"/>
        </w:rPr>
        <w:t>Distribution</w:t>
      </w:r>
      <w:r>
        <w:rPr>
          <w:rFonts w:ascii="Arial" w:cs="Arial" w:eastAsia="Arial" w:hAnsi="Arial"/>
          <w:sz w:val="16"/>
          <w:szCs w:val="16"/>
          <w:color w:val="auto"/>
        </w:rPr>
        <w:t xml:space="preserve"> in the Consolidated Statements of Operations and Comprehensive Income. The Company now presents these expenses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Consolidated Statements of Operations and Comprehensive Income. In connection with the change in accounting principle, the Company also changed its definition of shipping and handling costs to include costs paid to third-party warehouse operators associated with delivering product to a customer, previously included in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w:t>
      </w:r>
      <w:r>
        <w:rPr>
          <w:rFonts w:ascii="Arial" w:cs="Arial" w:eastAsia="Arial" w:hAnsi="Arial"/>
          <w:sz w:val="16"/>
          <w:szCs w:val="16"/>
          <w:i w:val="1"/>
          <w:iCs w:val="1"/>
          <w:color w:val="auto"/>
        </w:rPr>
        <w:t>and administrative</w:t>
      </w:r>
      <w:r>
        <w:rPr>
          <w:rFonts w:ascii="Arial" w:cs="Arial" w:eastAsia="Arial" w:hAnsi="Arial"/>
          <w:sz w:val="16"/>
          <w:szCs w:val="16"/>
          <w:color w:val="auto"/>
        </w:rPr>
        <w:t>, and</w:t>
      </w:r>
      <w:r>
        <w:rPr>
          <w:rFonts w:ascii="Arial" w:cs="Arial" w:eastAsia="Arial" w:hAnsi="Arial"/>
          <w:sz w:val="16"/>
          <w:szCs w:val="16"/>
          <w:i w:val="1"/>
          <w:iCs w:val="1"/>
          <w:color w:val="auto"/>
        </w:rPr>
        <w:t xml:space="preserve"> Depreciation and amortization </w:t>
      </w:r>
      <w:r>
        <w:rPr>
          <w:rFonts w:ascii="Arial" w:cs="Arial" w:eastAsia="Arial" w:hAnsi="Arial"/>
          <w:sz w:val="16"/>
          <w:szCs w:val="16"/>
          <w:color w:val="auto"/>
        </w:rPr>
        <w:t>of the assets at the third-party warehouse, previously included in</w:t>
      </w:r>
      <w:r>
        <w:rPr>
          <w:rFonts w:ascii="Arial" w:cs="Arial" w:eastAsia="Arial" w:hAnsi="Arial"/>
          <w:sz w:val="16"/>
          <w:szCs w:val="16"/>
          <w:i w:val="1"/>
          <w:iCs w:val="1"/>
          <w:color w:val="auto"/>
        </w:rPr>
        <w:t xml:space="preserve"> Depreciation and amortization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previous definition of shipping and handling costs, the Company only included delivery costs in </w:t>
      </w:r>
      <w:r>
        <w:rPr>
          <w:rFonts w:ascii="Arial" w:cs="Arial" w:eastAsia="Arial" w:hAnsi="Arial"/>
          <w:sz w:val="16"/>
          <w:szCs w:val="16"/>
          <w:i w:val="1"/>
          <w:iCs w:val="1"/>
          <w:color w:val="auto"/>
        </w:rPr>
        <w:t>Distribution</w:t>
      </w:r>
      <w:r>
        <w:rPr>
          <w:rFonts w:ascii="Arial" w:cs="Arial" w:eastAsia="Arial" w:hAnsi="Arial"/>
          <w:sz w:val="16"/>
          <w:szCs w:val="16"/>
          <w:color w:val="auto"/>
        </w:rPr>
        <w:t>. The accounting policy change was applied retrospectively to all periods presented and the Consolidated Statements of Operations and Comprehensive Income reflect the effect of this accounting principle change for all periods presented. The effect of the adjustment is as follows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color w:val="auto"/>
              </w:rPr>
              <w:t>Change in Accounting</w:t>
            </w: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auto"/>
              </w:rPr>
              <w:t>Other Operating</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Fifty-Two Weeks Ended August 25, 2018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As Reported</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Principle and Presentation</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line="239"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As Adjusted</w:t>
            </w:r>
          </w:p>
        </w:tc>
      </w:tr>
      <w:tr>
        <w:trPr>
          <w:trHeight w:val="23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251,063</w:t>
            </w: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(19,685)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49,635</w:t>
            </w: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7,672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7,498</w:t>
            </w:r>
          </w:p>
        </w:tc>
      </w:tr>
    </w:tbl>
    <w:p>
      <w:pPr>
        <w:spacing w:after="0" w:line="334" w:lineRule="exact"/>
        <w:rPr>
          <w:sz w:val="20"/>
          <w:szCs w:val="20"/>
          <w:color w:val="auto"/>
        </w:rPr>
      </w:pPr>
    </w:p>
    <w:p>
      <w:pPr>
        <w:ind w:left="500" w:hanging="382"/>
        <w:spacing w:after="0"/>
        <w:tabs>
          <w:tab w:leader="none" w:pos="500" w:val="left"/>
        </w:tabs>
        <w:numPr>
          <w:ilvl w:val="1"/>
          <w:numId w:val="24"/>
        </w:numPr>
        <w:rPr>
          <w:rFonts w:ascii="Arial" w:cs="Arial" w:eastAsia="Arial" w:hAnsi="Arial"/>
          <w:sz w:val="25"/>
          <w:szCs w:val="25"/>
          <w:color w:val="auto"/>
          <w:vertAlign w:val="superscript"/>
        </w:rPr>
      </w:pPr>
      <w:r>
        <w:rPr>
          <w:rFonts w:ascii="Arial" w:cs="Arial" w:eastAsia="Arial" w:hAnsi="Arial"/>
          <w:sz w:val="14"/>
          <w:szCs w:val="14"/>
          <w:color w:val="auto"/>
        </w:rPr>
        <w:t xml:space="preserve">Other operating expenses have been combined with </w:t>
      </w:r>
      <w:r>
        <w:rPr>
          <w:rFonts w:ascii="Arial" w:cs="Arial" w:eastAsia="Arial" w:hAnsi="Arial"/>
          <w:sz w:val="14"/>
          <w:szCs w:val="14"/>
          <w:i w:val="1"/>
          <w:iCs w:val="1"/>
          <w:color w:val="auto"/>
        </w:rPr>
        <w:t>General and administrative</w:t>
      </w:r>
      <w:r>
        <w:rPr>
          <w:rFonts w:ascii="Arial" w:cs="Arial" w:eastAsia="Arial" w:hAnsi="Arial"/>
          <w:sz w:val="14"/>
          <w:szCs w:val="14"/>
          <w:color w:val="auto"/>
        </w:rPr>
        <w:t xml:space="preserve"> expenses on the Consolidated Statements of Operations and Comprehensive Income.</w:t>
      </w:r>
    </w:p>
    <w:p>
      <w:pPr>
        <w:spacing w:after="0" w:line="200" w:lineRule="exact"/>
        <w:rPr>
          <w:rFonts w:ascii="Arial" w:cs="Arial" w:eastAsia="Arial" w:hAnsi="Arial"/>
          <w:sz w:val="25"/>
          <w:szCs w:val="25"/>
          <w:color w:val="auto"/>
          <w:vertAlign w:val="superscript"/>
        </w:rPr>
      </w:pPr>
    </w:p>
    <w:p>
      <w:pPr>
        <w:spacing w:after="0" w:line="260"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7, 2019, pursuant to the Purchase Agreement, the Company completed the Acquisition of Quest for a cash purchase price of approximately $1.0 billion, subject to customary post-closing adjustments. The Acquisition of Quest was accounted for using the acquisition method of accounting prescribed by Accounting Standard Codification ("ASC") Topic 805, Business Combinations (“ASC 805”), whereby the results of operations, including the revenues and earnings of Quest,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 estimating fair values requires the use of significant estimates, assumptions and judgments, including determining the timing and estimates of future cash flows and developing appropriate discount rates. ASC 805 establishes a measurement period to provide the Company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acquisition date. The Company expects to complete the final fair value determination of the assets acquired and liabilities assumed as soon as practicable within the measurement period, but not to exceed one year from the acquisition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 of cash on hand, deposits available on demand and other short-term, highly liquid investments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Cash equivalents are carried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Accounts receivable, net </w:t>
      </w:r>
      <w:r>
        <w:rPr>
          <w:rFonts w:ascii="Arial" w:cs="Arial" w:eastAsia="Arial" w:hAnsi="Arial"/>
          <w:sz w:val="16"/>
          <w:szCs w:val="16"/>
          <w:color w:val="auto"/>
        </w:rPr>
        <w:t>consists primarily of trade receivables, net of allowances for doubtful accounts, returns and trade promotions.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sells its products for cash or on credit terms, which are established in accordance with local and industry practices and typically require payment within 30 days of delivery and may allow discounts for early payment. The Company estimates an allowance for doubtful accounts based upon a review of outstanding receivables, historical collection information and an analysis of customer data. Accounts receivable are written off when determined to be uncollectible. At August 29, 2020 and August 31, 2019, the allowance for doubtful accounts was $0.5 million and $0.6 million, respectively.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are valued at the lower of cost or net realizable value on a first-in, first-out basis, adjusted for the value of inventory that is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 At August 29, 2020 and August 31, 2019, the provision for obsolete inventory was $0.5 million and $0.4 million, respectively.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is stated at the allocated fair value for acquired assets. Additions to property and equipment are recorded at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on a straight-line basis over their estimated useful lives. The general ranges of estimated useful lives are:</w:t>
      </w:r>
    </w:p>
    <w:p>
      <w:pPr>
        <w:spacing w:after="0" w:line="104" w:lineRule="exact"/>
        <w:rPr>
          <w:sz w:val="20"/>
          <w:szCs w:val="20"/>
          <w:color w:val="auto"/>
        </w:rPr>
      </w:pPr>
    </w:p>
    <w:tbl>
      <w:tblPr>
        <w:tblLayout w:type="fixed"/>
        <w:tblInd w:w="3040" w:type="dxa"/>
        <w:tblCellMar>
          <w:top w:w="0" w:type="dxa"/>
          <w:left w:w="0" w:type="dxa"/>
          <w:bottom w:w="0" w:type="dxa"/>
          <w:right w:w="0" w:type="dxa"/>
        </w:tblCellMar>
      </w:tblP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7 years</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w w:val="94"/>
              </w:rPr>
              <w:t>Computer equipment, software and website development costs</w:t>
            </w: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40"/>
              <w:spacing w:after="0"/>
              <w:rPr>
                <w:sz w:val="20"/>
                <w:szCs w:val="20"/>
                <w:color w:val="auto"/>
              </w:rPr>
            </w:pPr>
            <w:r>
              <w:rPr>
                <w:rFonts w:ascii="Arial" w:cs="Arial" w:eastAsia="Arial" w:hAnsi="Arial"/>
                <w:sz w:val="16"/>
                <w:szCs w:val="16"/>
                <w:color w:val="auto"/>
                <w:w w:val="91"/>
              </w:rPr>
              <w:t>5 years</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7 years</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40"/>
              <w:spacing w:after="0"/>
              <w:rPr>
                <w:sz w:val="20"/>
                <w:szCs w:val="20"/>
                <w:color w:val="auto"/>
              </w:rPr>
            </w:pPr>
            <w:r>
              <w:rPr>
                <w:rFonts w:ascii="Arial" w:cs="Arial" w:eastAsia="Arial" w:hAnsi="Arial"/>
                <w:sz w:val="16"/>
                <w:szCs w:val="16"/>
                <w:color w:val="auto"/>
                <w:w w:val="91"/>
              </w:rPr>
              <w:t>5 years</w:t>
            </w:r>
          </w:p>
        </w:tc>
      </w:tr>
    </w:tbl>
    <w:p>
      <w:pPr>
        <w:spacing w:after="0" w:line="200" w:lineRule="exact"/>
        <w:rPr>
          <w:sz w:val="20"/>
          <w:szCs w:val="20"/>
          <w:color w:val="auto"/>
        </w:rPr>
      </w:pP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Leasehold improvements are amortized over the shorter of the remaining term of the lease or the useful life of the improvement utilizing the straight-line method.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performs impairment tests for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when circumstances indicate that the carrying value of the asset may not be recoverable. There were no indicators of impairment in the fifty-two week period ended August 29, 2020, the fifty-three week period ended August 31, 2019, or the fifty-two week period ended August 25,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and</w:t>
      </w:r>
      <w:r>
        <w:rPr>
          <w:rFonts w:ascii="Arial" w:cs="Arial" w:eastAsia="Arial" w:hAnsi="Arial"/>
          <w:sz w:val="16"/>
          <w:szCs w:val="16"/>
          <w:i w:val="1"/>
          <w:iCs w:val="1"/>
          <w:color w:val="auto"/>
        </w:rPr>
        <w:t xml:space="preserve"> Intangible assets, net </w:t>
      </w:r>
      <w:r>
        <w:rPr>
          <w:rFonts w:ascii="Arial" w:cs="Arial" w:eastAsia="Arial" w:hAnsi="Arial"/>
          <w:sz w:val="16"/>
          <w:szCs w:val="16"/>
          <w:color w:val="auto"/>
        </w:rPr>
        <w:t>result primarily from the Business Combination and acquisitions.</w:t>
      </w:r>
      <w:r>
        <w:rPr>
          <w:rFonts w:ascii="Arial" w:cs="Arial" w:eastAsia="Arial" w:hAnsi="Arial"/>
          <w:sz w:val="16"/>
          <w:szCs w:val="16"/>
          <w:i w:val="1"/>
          <w:iCs w:val="1"/>
          <w:color w:val="auto"/>
        </w:rPr>
        <w:t xml:space="preserve"> Intangible assets </w:t>
      </w:r>
      <w:r>
        <w:rPr>
          <w:rFonts w:ascii="Arial" w:cs="Arial" w:eastAsia="Arial" w:hAnsi="Arial"/>
          <w:sz w:val="16"/>
          <w:szCs w:val="16"/>
          <w:color w:val="auto"/>
        </w:rPr>
        <w:t>primarily include brands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values of the reporting units are less than their carrying amounts.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fiscal year 2020, the Company elected to perform both qualitative and quantitative assessments of its goodwill and indefinite-lived intangible assets. During the fourth quarter of fiscal 2020, the Company determined there were indicators of impairment related to the SimplyProtein brand intangible asset. Therefore, the Company performed a quantitative assessment of its brand intangible asset, which indicated the fair value exceeded the carrying value, resulting in a loss on impairment of $3.0 million in the fifty-two week period ended August 29, 2020. There were no impairment charges related to goodwill in the fifty-two week period ended August 29, 2020. Additionally, for fiscal year 2019, we elected to perform quantitative assessments of goodwill and indefinite-lived intangible assets. No impairment charges related to goodwill or indefinite-lived intangibles were recognized in the fifty-three week period ended August 31, 2019.</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performed qualitative assessments of goodwill and indefinite-lived intangible assets for fiscal year 2018. The qualitative assessments determined that it was more likely than not the reporting unit, brands and trademarks had a fair value in excess of their carrying value. Accordingly, no further impairment assessment was necessary, and no impairment charges related to goodwill or indefinite-lived intangibles were recognized in the fifty-two week period ended August 25, 2018.</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Financing Costs and Debt Discounts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Costs incurred in obtaining long-term financing paid to parties other than creditors are considered a deferred financing cost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At August 29, 2020 and August 31, 2019, the allowance for trade promotions was $25.2 million and $10.3 million, respectively.</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Estimates of variable consideration are made using various information including historical data on performance of similar trade promotional activities, market data from IRI,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on the Consolidated Balance Sheets.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utilizes third-party contract manufacturers for the manufacture of its products. The Company has evaluated whether the it is the principal or agent in these relationships. The Company has determined that it is the principal in all cases, as it maintains the responsibility for fulfillment, risk of loss and establishes the price.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Consolidated Statements of Operations and Comprehensive Income.</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Revenues from transactions with external customers for each of the Company's products would be impracticable to disclose and management does not view its business by product line. For revenue disaggregated by geographic area and brand refer to Note 17, Segment and Customer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Shipping and handling costs include costs paid to third-party warehouse operators associated with delivering product to customers and depreciation and amortization of assets at the third-party warehouse. Shipping and handling costs are recognized in </w:t>
      </w:r>
      <w:r>
        <w:rPr>
          <w:rFonts w:ascii="Arial" w:cs="Arial" w:eastAsia="Arial" w:hAnsi="Arial"/>
          <w:sz w:val="18"/>
          <w:szCs w:val="18"/>
          <w:i w:val="1"/>
          <w:iCs w:val="1"/>
          <w:color w:val="auto"/>
        </w:rPr>
        <w:t>Cost of goods sold</w:t>
      </w:r>
      <w:r>
        <w:rPr>
          <w:rFonts w:ascii="Arial" w:cs="Arial" w:eastAsia="Arial" w:hAnsi="Arial"/>
          <w:sz w:val="18"/>
          <w:szCs w:val="18"/>
          <w:color w:val="auto"/>
        </w:rPr>
        <w:t>. Costs of $49.8 million for the fifty-two week period ended August 29, 2020, $32.3 million for the fifty-three week period ended August 31, 2019, and $27.2 million for the fifty-two week period ended August 25, 2018 were recorded relating to products shipped to customers.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Production costs related to television commercials are expensed when first aired. All other advertising costs are expensed when incurred through </w:t>
      </w:r>
      <w:r>
        <w:rPr>
          <w:rFonts w:ascii="Arial" w:cs="Arial" w:eastAsia="Arial" w:hAnsi="Arial"/>
          <w:sz w:val="18"/>
          <w:szCs w:val="18"/>
          <w:i w:val="1"/>
          <w:iCs w:val="1"/>
          <w:color w:val="auto"/>
        </w:rPr>
        <w:t>Selling and marketing</w:t>
      </w:r>
      <w:r>
        <w:rPr>
          <w:rFonts w:ascii="Arial" w:cs="Arial" w:eastAsia="Arial" w:hAnsi="Arial"/>
          <w:sz w:val="18"/>
          <w:szCs w:val="18"/>
          <w:color w:val="auto"/>
        </w:rPr>
        <w:t>. Total advertising costs were $55.3 million for the fifty-two week period ended August 29, 2020, $35.4 million for the fifty-three</w:t>
      </w:r>
      <w:r>
        <w:rPr>
          <w:rFonts w:ascii="Arial" w:cs="Arial" w:eastAsia="Arial" w:hAnsi="Arial"/>
          <w:sz w:val="18"/>
          <w:szCs w:val="18"/>
          <w:i w:val="1"/>
          <w:iCs w:val="1"/>
          <w:color w:val="auto"/>
        </w:rPr>
        <w:t xml:space="preserve"> </w:t>
      </w:r>
      <w:r>
        <w:rPr>
          <w:rFonts w:ascii="Arial" w:cs="Arial" w:eastAsia="Arial" w:hAnsi="Arial"/>
          <w:sz w:val="18"/>
          <w:szCs w:val="18"/>
          <w:color w:val="auto"/>
        </w:rPr>
        <w:t>week period ended August 31, 2019, and $34.0 million for the fifty-two week period ended August 25, 2018.</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Production costs related to television commercials not yet aired are included in </w:t>
      </w:r>
      <w:r>
        <w:rPr>
          <w:rFonts w:ascii="Arial" w:cs="Arial" w:eastAsia="Arial" w:hAnsi="Arial"/>
          <w:sz w:val="18"/>
          <w:szCs w:val="18"/>
          <w:i w:val="1"/>
          <w:iCs w:val="1"/>
          <w:color w:val="auto"/>
        </w:rPr>
        <w:t>Prepaid expenses</w:t>
      </w:r>
      <w:r>
        <w:rPr>
          <w:rFonts w:ascii="Arial" w:cs="Arial" w:eastAsia="Arial" w:hAnsi="Arial"/>
          <w:sz w:val="18"/>
          <w:szCs w:val="18"/>
          <w:color w:val="auto"/>
        </w:rPr>
        <w:t xml:space="preserve"> in the accompanying Consolidated Balance Sheets. There were no productions costs related to television commercials not yet aired at August 29, 2020 or August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The Company’s total research and development expenses were $4.0 million for the fifty-two week period ended August 29, 2020, $2.2 million for the fifty-three week period ended August 31, 2019, and $2.5 million for the fifty-two week period ended August 25,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uses share-based compensation, including stock options, restricted stock units and performance stock units, to provide long-term performance incentives for its employees and directors. Share-based compensation is recognized on a straight-line basis over the requisite service period of the award based on their grant-date fair value. Forfeitures are recognized as they occur. Share-based compensation expense is included in </w:t>
      </w:r>
      <w:r>
        <w:rPr>
          <w:rFonts w:ascii="Arial" w:cs="Arial" w:eastAsia="Arial" w:hAnsi="Arial"/>
          <w:sz w:val="18"/>
          <w:szCs w:val="18"/>
          <w:i w:val="1"/>
          <w:iCs w:val="1"/>
          <w:color w:val="auto"/>
        </w:rPr>
        <w:t>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$1.3 million for the fifty-two week period ended August 29, 2020, $0.6 million for the fifty-three week period ended August 31, 2019, and $0.4 million for the fifty-two week period ended August 25,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Gains or losses resulting from transactions in foreign currencies are included in </w:t>
      </w:r>
      <w:r>
        <w:rPr>
          <w:rFonts w:ascii="Arial" w:cs="Arial" w:eastAsia="Arial" w:hAnsi="Arial"/>
          <w:sz w:val="18"/>
          <w:szCs w:val="18"/>
          <w:i w:val="1"/>
          <w:iCs w:val="1"/>
          <w:color w:val="auto"/>
        </w:rPr>
        <w:t>Other income (expense)</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Financial Accounting Standards Board (the “FASB”) issued Accounting Standards Update (“ASU”) No. 2016-13, Financial Instruments-Credit Losses (Topic 326), which modifies disclosure requirements for fair value measurements by removing, modifying or adding certain disclosures. This ASU is effective for fiscal years beginning after December 15, 2019, with early adoption permitted. The amendments of this ASU should be applied on a retrospective basis to all periods presented. The Company is currently evaluating the effects adoption of this guidance will have on the consolidated financial statements.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2018-13, Fair Value Measurement (Topic 820), which modifies disclosure requirements on fair value measurements of Accounting Standards Codification (“ASC”) 820. This ASU is effective for all entities for fiscal years beginning after December 15, 2019, including interim periods therein. Early adoption is permitted including in any interim period for which financial statements have not yet been issued. Entities are permitted to early adopt the eliminated or modified disclosure requirements and delay the adoption new disclosure requirements until their effective date. The Company is currently evaluating the effects adoption of this guidance will have on the consolidated financial statements and does not anticipate adoption of this ASU will be material to its consolidated financial statements.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amends the existing guidance relating to the accounting for income taxes. This ASU is intended to simplify the accounting for income taxes by removing certain exceptions to the general principles of accounting for income taxes and to improve the consistent application of U.S. GAAP for other areas of accounting for income taxes by clarifying and amending existing guidance. This ASU is effective for fiscal years beginning after December 15, 2021, with early adoption permitted.. The Company does not expect that the adoption of this new guidance will have a material effect on its consolidated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as of March 12, 2020 through December 31, 2022. The amendments of this ASU should be applied on a prospective basis. The Company is currently evaluating the effects adoption of this guidance will have on the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2016, the FASB issued ASU No. 2016-02, Leases (Topic 842). The standard requires lessees to recognize the assets and liabilities that arise from leases on the balance sheet. A lessee should recognize in the statement of financial position a liability to make lease payments (the lease liability) and a right-of-use asset representing its right to use the underlying asset for the lease term. In July 2018, the FASB issued ASU 2018-11, Leases (Topic 842): Targeted Improvements. ASU 2018-11 provides entities another option for transition, allowing entities to not apply the new standard in the comparative periods they present in their financial statements in the year of adoption. The amendments provide the option for the ASU to be applied at the beginning of the period adopted using a modified retrospective approach with earlier application permitted as of the beginning of an interim or annual reporting period.</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September 1, 2019, the Company adopted ASU No. 2016-02 using the alternative transition method under ASU No. 2018-11, which permits application of the new lease guidance at the beginning of the period of adoption, with comparative periods continuing to be reporting under Topic 840. Upon adoption, the Company recorded the following within the Condensed Consolidated Balance Sheet: operating lease right-of-use assets of $5.1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long-term operating lease liabilities of $3.8 million included within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finance lease right-of-use assets of $1.2 million included within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current finance lease liabilities of $0.2 million included within </w:t>
      </w:r>
      <w:r>
        <w:rPr>
          <w:rFonts w:ascii="Arial" w:cs="Arial" w:eastAsia="Arial" w:hAnsi="Arial"/>
          <w:sz w:val="17"/>
          <w:szCs w:val="17"/>
          <w:i w:val="1"/>
          <w:iCs w:val="1"/>
          <w:color w:val="auto"/>
        </w:rPr>
        <w:t>Current maturities of long term debt,</w:t>
      </w:r>
      <w:r>
        <w:rPr>
          <w:rFonts w:ascii="Arial" w:cs="Arial" w:eastAsia="Arial" w:hAnsi="Arial"/>
          <w:sz w:val="17"/>
          <w:szCs w:val="17"/>
          <w:color w:val="auto"/>
        </w:rPr>
        <w:t xml:space="preserve"> and long-term finance lease liabilities of $1.0 million included within </w:t>
      </w:r>
      <w:r>
        <w:rPr>
          <w:rFonts w:ascii="Arial" w:cs="Arial" w:eastAsia="Arial" w:hAnsi="Arial"/>
          <w:sz w:val="17"/>
          <w:szCs w:val="17"/>
          <w:i w:val="1"/>
          <w:iCs w:val="1"/>
          <w:color w:val="auto"/>
        </w:rPr>
        <w:t>Long-term debt less current maturities</w:t>
      </w:r>
      <w:r>
        <w:rPr>
          <w:rFonts w:ascii="Arial" w:cs="Arial" w:eastAsia="Arial" w:hAnsi="Arial"/>
          <w:sz w:val="17"/>
          <w:szCs w:val="17"/>
          <w:color w:val="auto"/>
        </w:rPr>
        <w:t xml:space="preserve">. Following the Acquisition of Quest, the Company recorded the following amounts in the Condensed Consolidated Balance Sheet as of the closing date on November 7, 2019: operating lease right-of-use assets of $21.1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Accrued expenses and other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and long-term operating lease liabilities of $18.9 million included within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The adoption of these ASUs did not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a cumulative-effect adjustment to the opening balance of retained earnings.</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guidance provided a number of optional practical expedients in adoption. The Company elected to adopt the package of practical expedients permitted under the transition guidance within the standard, which among other things, permits it to not reassess prior conclusions about lease identification, lease classification and initial direct costs under the new standard. The Company did not elect the use-of-hindsight practical expedient or the practical expedient pertaining to land easements, the latter not being applicable. Additionally, the Company elected to include both lease and non-lease components as a single component for all asset classes in which the Company is the lessee. For additional information regarding leases, refer to Note 11.</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This ASU simplifies aspects of share-based compensation issued to non-employees by aligning the guidance with accounting for employee share-based compensation. The Company adopted this ASU as of the first day of fiscal 2020. The adoption of this ASU did not have a material effect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ASU as of the first day of fiscal 2020. The adoption of this ASU did not have a material effect on the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21, 2019, Simply Good USA entered into the Purchase Agreement with VMG Voyage Holdings, LLC, VMG Tax-Exempt II, L.P., Voyage Employee Holdings, LLC, and other sellers defined in the Purchase Agreement. On November 7, 2019, pursuant to the Purchase Agreement, Simply Good USA completed the Acquisition of Quest for a cash purchase price at closing of $988.9 million subject to customary post-closing adjustments.</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Acquisition of Quest was funded by the Company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the Company received a post-closing release from escrow of approximately $2.1 million related to net working capital adjustments, resulting in a total net consideration paid of $986.8 million as of August 29, 2020. </w:t>
      </w:r>
      <w:r>
        <w:rPr>
          <w:rFonts w:ascii="Arial" w:cs="Arial" w:eastAsia="Arial" w:hAnsi="Arial"/>
          <w:sz w:val="17"/>
          <w:szCs w:val="17"/>
          <w:i w:val="1"/>
          <w:iCs w:val="1"/>
          <w:color w:val="auto"/>
        </w:rPr>
        <w:t>Business transaction costs</w:t>
      </w:r>
      <w:r>
        <w:rPr>
          <w:rFonts w:ascii="Arial" w:cs="Arial" w:eastAsia="Arial" w:hAnsi="Arial"/>
          <w:sz w:val="17"/>
          <w:szCs w:val="17"/>
          <w:color w:val="auto"/>
        </w:rPr>
        <w:t xml:space="preserve"> within the Consolidated Statements of Operations and Comprehensive Income for fifty-two week period ended August 29, 2020 was $27.1 million, which included $14.5 million of transaction advisory fees related to the Acquisition of Quest, $3.2 million of banker commitment fees, $6.1 million of non-deferrable debt</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related to the incremental term loan, and $3.3 million of other costs, including legal, due diligence, and accounting fees.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transaction advisory fees paid for the Acquisition of Quest is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represents approximately 1.2% of the total cash purchase price paid by the Company on the closing date of the Acquisition of Quest. All transaction advisory fees relating to the Acquisition of Quest were approved by the Company’s Audit Committee.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the preliminary purchase price allocation of the Acquisition of Quest to the estimated fair value of the net assets acquired at the date of acquisition. The preliminary purchase price allocation may be adjusted as a result of the finalization of our purchase price allocation procedures related to the assets acquired and liabilities assumed.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preliminary November 7, 2019 fair value is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600" w:type="dxa"/>
            <w:vAlign w:val="bottom"/>
          </w:tcPr>
          <w:p>
            <w:pPr>
              <w:ind w:left="20"/>
              <w:spacing w:after="0"/>
              <w:rPr>
                <w:sz w:val="20"/>
                <w:szCs w:val="20"/>
                <w:color w:val="auto"/>
              </w:rPr>
            </w:pPr>
            <w:r>
              <w:rPr>
                <w:rFonts w:ascii="Arial" w:cs="Arial" w:eastAsia="Arial" w:hAnsi="Arial"/>
                <w:sz w:val="16"/>
                <w:szCs w:val="16"/>
                <w:color w:val="auto"/>
              </w:rPr>
              <w:t>Assets acquired: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4,745</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26,537</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44,032</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Prepaid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3,812</w:t>
            </w:r>
          </w:p>
        </w:tc>
      </w:tr>
      <w:tr>
        <w:trPr>
          <w:trHeight w:val="270"/>
        </w:trPr>
        <w:tc>
          <w:tcPr>
            <w:tcW w:w="8600" w:type="dxa"/>
            <w:vAlign w:val="bottom"/>
          </w:tcPr>
          <w:p>
            <w:pPr>
              <w:ind w:left="26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9,843</w:t>
            </w: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868,375</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long-term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20,997</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assumed:</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25,200</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11,237</w:t>
            </w:r>
          </w:p>
        </w:tc>
      </w:tr>
      <w:tr>
        <w:trPr>
          <w:trHeight w:val="270"/>
        </w:trPr>
        <w:tc>
          <w:tcPr>
            <w:tcW w:w="8600" w:type="dxa"/>
            <w:vAlign w:val="bottom"/>
          </w:tcPr>
          <w:p>
            <w:pPr>
              <w:ind w:left="26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10,754</w:t>
            </w:r>
          </w:p>
        </w:tc>
      </w:tr>
      <w:tr>
        <w:trPr>
          <w:trHeight w:val="27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long-term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18,891</w:t>
            </w:r>
          </w:p>
        </w:tc>
      </w:tr>
      <w:tr>
        <w:trPr>
          <w:trHeight w:val="217"/>
        </w:trPr>
        <w:tc>
          <w:tcPr>
            <w:tcW w:w="8600" w:type="dxa"/>
            <w:vAlign w:val="bottom"/>
          </w:tcPr>
          <w:p>
            <w:pPr>
              <w:ind w:left="20"/>
              <w:spacing w:after="0"/>
              <w:rPr>
                <w:sz w:val="20"/>
                <w:szCs w:val="20"/>
                <w:color w:val="auto"/>
              </w:rPr>
            </w:pPr>
            <w:r>
              <w:rPr>
                <w:rFonts w:ascii="Arial" w:cs="Arial" w:eastAsia="Arial" w:hAnsi="Arial"/>
                <w:sz w:val="16"/>
                <w:szCs w:val="16"/>
                <w:color w:val="auto"/>
              </w:rPr>
              <w:t>Total identifiable net assets</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913,473</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73,347</w:t>
            </w:r>
          </w:p>
        </w:tc>
      </w:tr>
      <w:tr>
        <w:trPr>
          <w:trHeight w:val="243"/>
        </w:trPr>
        <w:tc>
          <w:tcPr>
            <w:tcW w:w="8600" w:type="dxa"/>
            <w:vAlign w:val="bottom"/>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986,820</w:t>
            </w:r>
          </w:p>
        </w:tc>
      </w:tr>
      <w:tr>
        <w:trPr>
          <w:trHeight w:val="20"/>
        </w:trPr>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right="20" w:firstLine="8"/>
        <w:spacing w:after="0" w:line="261" w:lineRule="auto"/>
        <w:tabs>
          <w:tab w:leader="none" w:pos="2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Property and equipment, net primarily consists of leasehold improvements for the Quest headquarters of $6.9 million, furniture and fixtures of $2.2 million, and equipment of $0.7 million. The Quest headquarters lease ends in April 2029. The useful lives of the leasehold improvements, furniture and fixtures, and equipment is consistent with the Company's accounting policies.</w:t>
      </w:r>
    </w:p>
    <w:p>
      <w:pPr>
        <w:spacing w:after="0" w:line="74" w:lineRule="exact"/>
        <w:rPr>
          <w:rFonts w:ascii="Arial" w:cs="Arial" w:eastAsia="Arial" w:hAnsi="Arial"/>
          <w:sz w:val="16"/>
          <w:szCs w:val="16"/>
          <w:color w:val="auto"/>
        </w:rPr>
      </w:pPr>
    </w:p>
    <w:p>
      <w:pPr>
        <w:jc w:val="both"/>
        <w:ind w:firstLine="8"/>
        <w:spacing w:after="0" w:line="250" w:lineRule="auto"/>
        <w:tabs>
          <w:tab w:leader="none" w:pos="2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Intangible assets were recorded at fair value consistent with ASC 820 as a result of the Acquisition of Quest. Intangible assets consist of $750.0 million of indefinite brand and trademark, $115.0 million of amortizable customer relationships, and $3.4 million of internally developed software. The useful lives of the intangible assets are disclosed in Note 6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86"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as a result of the fair value attributable to the identifiable intangible assets, the deferred income tax liability was $10.8 million.</w:t>
      </w:r>
    </w:p>
    <w:p>
      <w:pPr>
        <w:spacing w:after="0" w:line="113"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is estimated to be $67.7 million. Goodwill represents the future economic benefits arising from other assets acquired that could not be individually identified and separately recognized.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final determination of the fair value of the assets acquired and liabilities assumed is expected to be completed in the first fiscal quarter of 2021. Since the initial preliminary estimates reported in the first fiscal quarter of 2020, the Company has updated certain amounts reflected in the preliminary purchase price allocation, as summarized in the fair values of assets acquired and liabilities assumed as set forth above. Specifically, the carrying amount of the intangible assets, net were increased by $20.0 million as a result of valuation adjustments related to the Company's finalization of tax attributes, which also resulted in a decrease to deferred income taxes of $3.2 million. Additionally, accounts receivable, net decreased $3.1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has decreased $22.7 million.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Measurement period adjustments are recognized in the reporting period in which the adjustments are determined and calculated as if the accounting had been completed at the acquisition date. The final fair value determination of the assets acquired and liabilities assumed will be completed prior to one year from the transaction completion, consistent with ASC 805.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Quest's operations have been included in the Simply Good Foods' Consolidated Financial Statements since November 7, 2019, the date of acquisition. The following table provides net sales from the acquired Quest business included in the Company's results:</w:t>
      </w:r>
    </w:p>
    <w:p>
      <w:pPr>
        <w:spacing w:after="0" w:line="350" w:lineRule="exact"/>
        <w:rPr>
          <w:sz w:val="20"/>
          <w:szCs w:val="20"/>
          <w:color w:val="auto"/>
        </w:rPr>
      </w:pPr>
    </w:p>
    <w:tbl>
      <w:tblPr>
        <w:tblLayout w:type="fixed"/>
        <w:tblInd w:w="3240" w:type="dxa"/>
        <w:tblCellMar>
          <w:top w:w="0" w:type="dxa"/>
          <w:left w:w="0" w:type="dxa"/>
          <w:bottom w:w="0" w:type="dxa"/>
          <w:right w:w="0" w:type="dxa"/>
        </w:tblCellMar>
      </w:tblPr>
      <w:tr>
        <w:trPr>
          <w:trHeight w:val="206"/>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40"/>
              <w:spacing w:after="0"/>
              <w:rPr>
                <w:sz w:val="20"/>
                <w:szCs w:val="20"/>
                <w:color w:val="auto"/>
              </w:rPr>
            </w:pPr>
            <w:r>
              <w:rPr>
                <w:rFonts w:ascii="Arial" w:cs="Arial" w:eastAsia="Arial" w:hAnsi="Arial"/>
                <w:sz w:val="16"/>
                <w:szCs w:val="16"/>
                <w:color w:val="auto"/>
              </w:rPr>
              <w:t>52-Weeks Ended</w:t>
            </w:r>
          </w:p>
        </w:tc>
      </w:tr>
      <w:tr>
        <w:trPr>
          <w:trHeight w:val="270"/>
        </w:trPr>
        <w:tc>
          <w:tcPr>
            <w:tcW w:w="3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3"/>
                <w:szCs w:val="23"/>
                <w:color w:val="auto"/>
              </w:rPr>
            </w:pPr>
          </w:p>
        </w:tc>
        <w:tc>
          <w:tcPr>
            <w:tcW w:w="1300" w:type="dxa"/>
            <w:vAlign w:val="bottom"/>
          </w:tcPr>
          <w:p>
            <w:pPr>
              <w:ind w:left="40"/>
              <w:spacing w:after="0"/>
              <w:rPr>
                <w:sz w:val="20"/>
                <w:szCs w:val="20"/>
                <w:color w:val="auto"/>
              </w:rPr>
            </w:pPr>
            <w:r>
              <w:rPr>
                <w:rFonts w:ascii="Arial" w:cs="Arial" w:eastAsia="Arial" w:hAnsi="Arial"/>
                <w:sz w:val="16"/>
                <w:szCs w:val="16"/>
                <w:color w:val="auto"/>
              </w:rPr>
              <w:t>August 29, 2020</w:t>
            </w:r>
          </w:p>
        </w:tc>
      </w:tr>
      <w:tr>
        <w:trPr>
          <w:trHeight w:val="33"/>
        </w:trPr>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286,803</w:t>
            </w:r>
          </w:p>
        </w:tc>
      </w:tr>
      <w:tr>
        <w:trPr>
          <w:trHeight w:val="33"/>
        </w:trPr>
        <w:tc>
          <w:tcPr>
            <w:tcW w:w="3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unaudited pro forma combined financial information is prepared based on Article 11 of Regulation S-X period end guidance. The Company and the legacy Quest entity have different fiscal year ends, with Simply Good Foods’ fiscal year being the last Saturday of August while the legacy Quest business fiscal year end was December 31. Because the year ends differ by more than 93 days, Quest's financial information is required to be adjusted to a period within 93 days of Simply Good Foods’ fiscal period end. For the purposes of preparing the unaudited pro forma combined financial information for the fifty-three week period ended August 31, 2019, the Company added Quest’s unaudited consolidated statement of operations for the six months ended June 30, 2019 to Quest's unaudited consolidated statement of operations for the six months ended December 31, 2018, which was derived by deducting the historical unaudited consolidated statement of operations for the six months ended June 30, 2018, from the unaudited consolidated statement of operations for the fiscal year ended December 31, 2018.</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the above period end adjustments, the pro forma results include certain adjustments, as required under ASC 805, which are different than Article 11 pro forma requirements. ASC 805 requires pro forma adjustments to reflect the effects of fair value adjustments, transaction costs, capital structure changes, the tax effects of such adjustments, and also requires nonrecurring adjustments be prepared as though the Acquisition of Quest had occurred as of the beginning of the earliest period presented. The adjustments to the historical Quest financial results include the exclusion of legacy derivatives and interest expense that were settled in the execution of the Acquisition of Quest. Additional adjustments include non-recurring transaction costs and the portion of the inventory fair value adjustment recorded by the Company during the fifty-two week period ended August 29, 2020. Both periods were further adjusted to reflect a full period of (a) fair value adjustments related to inventory and incremental customer relationship amortization,</w:t>
      </w:r>
    </w:p>
    <w:p>
      <w:pPr>
        <w:spacing w:after="0" w:line="2" w:lineRule="exact"/>
        <w:rPr>
          <w:sz w:val="20"/>
          <w:szCs w:val="20"/>
          <w:color w:val="auto"/>
        </w:rPr>
      </w:pPr>
    </w:p>
    <w:p>
      <w:pPr>
        <w:ind w:right="20" w:firstLine="8"/>
        <w:spacing w:after="0" w:line="260" w:lineRule="auto"/>
        <w:tabs>
          <w:tab w:leader="none" w:pos="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expense with the higher principal and interest rates associated with the Company's new term loan debt incurred to finance, in part, the Acquisition of Quest, and (c) the effects of the adjustments on income taxes and net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pro forma combined financial information presents combined results of the Company and Quest as if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Quest has occurred at the beginning of fiscal 2019:</w:t>
      </w:r>
    </w:p>
    <w:p>
      <w:pPr>
        <w:spacing w:after="0" w:line="296" w:lineRule="exact"/>
        <w:rPr>
          <w:sz w:val="20"/>
          <w:szCs w:val="20"/>
          <w:color w:val="auto"/>
        </w:rPr>
      </w:pPr>
    </w:p>
    <w:tbl>
      <w:tblPr>
        <w:tblLayout w:type="fixed"/>
        <w:tblInd w:w="2120" w:type="dxa"/>
        <w:tblCellMar>
          <w:top w:w="0" w:type="dxa"/>
          <w:left w:w="0" w:type="dxa"/>
          <w:bottom w:w="0" w:type="dxa"/>
          <w:right w:w="0" w:type="dxa"/>
        </w:tblCellMar>
      </w:tblPr>
      <w:tr>
        <w:trPr>
          <w:trHeight w:val="206"/>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w w:val="91"/>
              </w:rPr>
              <w:t>53-Weeks Ended</w:t>
            </w: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4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w w:val="94"/>
              </w:rPr>
              <w:t>August 31, 2019</w:t>
            </w:r>
          </w:p>
        </w:tc>
      </w:tr>
      <w:tr>
        <w:trPr>
          <w:trHeight w:val="33"/>
        </w:trPr>
        <w:tc>
          <w:tcPr>
            <w:tcW w:w="3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885,044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832,254</w:t>
            </w: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355,395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317,480</w:t>
            </w:r>
          </w:p>
        </w:tc>
      </w:tr>
      <w:tr>
        <w:trPr>
          <w:trHeight w:val="3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30,143</w:t>
            </w:r>
          </w:p>
        </w:tc>
      </w:tr>
      <w:tr>
        <w:trPr>
          <w:trHeight w:val="33"/>
        </w:trPr>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and equipment, net</w:t>
      </w:r>
      <w:r>
        <w:rPr>
          <w:rFonts w:ascii="Arial" w:cs="Arial" w:eastAsia="Arial" w:hAnsi="Arial"/>
          <w:sz w:val="18"/>
          <w:szCs w:val="18"/>
          <w:color w:val="auto"/>
        </w:rPr>
        <w:t>, as presented with the Consolidated Balance Sheets, are summarized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8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80" w:type="dxa"/>
            <w:vAlign w:val="bottom"/>
          </w:tcPr>
          <w:p>
            <w:pPr>
              <w:spacing w:after="0"/>
              <w:rPr>
                <w:sz w:val="19"/>
                <w:szCs w:val="19"/>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w w:val="94"/>
              </w:rPr>
              <w:t>August 31, 2019</w:t>
            </w:r>
          </w:p>
        </w:tc>
      </w:tr>
      <w:tr>
        <w:trPr>
          <w:trHeight w:val="33"/>
        </w:trPr>
        <w:tc>
          <w:tcPr>
            <w:tcW w:w="6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Furniture and fixtures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Machinery and equipment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Website development costs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w:t>
            </w: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right-of-use-assets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(2,337)</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as of August 29, 2020 as compared to August 31, 2019 was primarily a result of the Acquisition of Quest. Total depreciation expense was $1.8 million for the fifty-two week period ended August 29, 2020, $1.1 million for the fifty-three week period ended August 31, 2019, and $1.2 million for the fifty-two week period ended August 25, 2018.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includes a $0.1 million loss on disposal of property and equipment in the fifty-two week period ended August 25,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Changes to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during the fifty-two week period ended August 29, 2020 were as follows:</w:t>
      </w:r>
    </w:p>
    <w:p>
      <w:pPr>
        <w:spacing w:after="0" w:line="189" w:lineRule="exact"/>
        <w:rPr>
          <w:sz w:val="20"/>
          <w:szCs w:val="20"/>
          <w:color w:val="auto"/>
        </w:rPr>
      </w:pPr>
    </w:p>
    <w:tbl>
      <w:tblPr>
        <w:tblLayout w:type="fixed"/>
        <w:tblInd w:w="2700" w:type="dxa"/>
        <w:tblCellMar>
          <w:top w:w="0" w:type="dxa"/>
          <w:left w:w="0" w:type="dxa"/>
          <w:bottom w:w="0" w:type="dxa"/>
          <w:right w:w="0" w:type="dxa"/>
        </w:tblCellMar>
      </w:tblPr>
      <w:tr>
        <w:trPr>
          <w:trHeight w:val="206"/>
        </w:trPr>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color w:val="auto"/>
              </w:rPr>
              <w:t>Goodwill</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August 31, 2019</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Acquisition of business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73,347</w:t>
            </w: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August 29, 2020</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544,774</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during the fifty-two week period ended August 29, 2020 was the result of the acquisition method of accounting related to the Acquisition of Quest as described in Note 4. There were no changes in the Company's goodwill in the fifty-three week period ended August 31, 2019. There were no impairment charges related to goodwill in the fifty-two week period ended August 29, 2020 or since the inception of the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 of the following:</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August 29, 2020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Gross carrying</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w w:val="95"/>
              </w:rPr>
              <w:t>Net carrying</w:t>
            </w:r>
          </w:p>
        </w:tc>
      </w:tr>
      <w:tr>
        <w:trPr>
          <w:trHeight w:val="206"/>
        </w:trPr>
        <w:tc>
          <w:tcPr>
            <w:tcW w:w="36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6"/>
                <w:szCs w:val="16"/>
                <w:color w:val="auto"/>
                <w:w w:val="96"/>
              </w:rPr>
              <w:t>Useful life</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amount</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amortization</w:t>
            </w:r>
          </w:p>
        </w:tc>
        <w:tc>
          <w:tcPr>
            <w:tcW w:w="14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amount</w:t>
            </w:r>
          </w:p>
        </w:tc>
      </w:tr>
      <w:tr>
        <w:trPr>
          <w:trHeight w:val="33"/>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Brands and trademarks</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color w:val="auto"/>
                <w:w w:val="97"/>
              </w:rPr>
              <w:t>Indefinite life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979,000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979,000</w:t>
            </w: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Customer relationships</w:t>
            </w:r>
          </w:p>
        </w:tc>
        <w:tc>
          <w:tcPr>
            <w:tcW w:w="38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6"/>
                <w:szCs w:val="16"/>
                <w:color w:val="auto"/>
                <w:w w:val="91"/>
              </w:rPr>
              <w:t>15 years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155,497</w:t>
            </w: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Proprietary recipes and formulas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6"/>
                <w:szCs w:val="16"/>
                <w:color w:val="auto"/>
                <w:w w:val="91"/>
              </w:rPr>
              <w:t>7 years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r>
      <w:tr>
        <w:trPr>
          <w:trHeight w:val="237"/>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Licensing agreements</w:t>
            </w:r>
          </w:p>
        </w:tc>
        <w:tc>
          <w:tcPr>
            <w:tcW w:w="38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6"/>
                <w:szCs w:val="16"/>
                <w:color w:val="auto"/>
                <w:w w:val="91"/>
              </w:rPr>
              <w:t>14 years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17,080</w:t>
            </w: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Software and website development costs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   5 years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r>
      <w:tr>
        <w:trPr>
          <w:trHeight w:val="21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1,187,967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1,158,768</w:t>
            </w: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August 31, 2019</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Gross carrying</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3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Useful life</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amount</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amortization</w:t>
            </w: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w w:val="95"/>
              </w:rPr>
              <w:t>Net carrying amount</w:t>
            </w:r>
          </w:p>
        </w:tc>
      </w:tr>
      <w:tr>
        <w:trPr>
          <w:trHeight w:val="3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Brands and trademarks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232,000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232,000</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Customer relationships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50,618</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7 years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4,869</w:t>
            </w:r>
          </w:p>
        </w:tc>
      </w:tr>
      <w:tr>
        <w:trPr>
          <w:trHeight w:val="237"/>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Licensing agreements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14 years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18,652</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306,139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changed due to the Acquisition of Quest, amortization expense, and an impairment loss related to brand and trademark</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During the fourth quarter of fiscal 2020, the Company determined there were indicators of impairment related to the SimplyProtein brand intangible asset. Therefore, the Company performed a quantitative assessment of its brand intangible asset, which indicated its fair value exceeded its carrying value, resulting in a loss on impairment of $3.0 million.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related to intangible assets was $14.0 million for the fifty-two week period ended August 29, 2020, $6.5 million for the fifty-three week period ended August 31, 2019, and $6.5 million for the fifty-two week period ended August 25, 2018. Estimated future amortization for each of the next five fiscal years and thereafter is as follows:</w:t>
      </w:r>
    </w:p>
    <w:p>
      <w:pPr>
        <w:spacing w:after="0" w:line="148" w:lineRule="exact"/>
        <w:rPr>
          <w:sz w:val="20"/>
          <w:szCs w:val="20"/>
          <w:color w:val="auto"/>
        </w:rPr>
      </w:pPr>
    </w:p>
    <w:tbl>
      <w:tblPr>
        <w:tblLayout w:type="fixed"/>
        <w:tblInd w:w="2700" w:type="dxa"/>
        <w:tblCellMar>
          <w:top w:w="0" w:type="dxa"/>
          <w:left w:w="0" w:type="dxa"/>
          <w:bottom w:w="0" w:type="dxa"/>
          <w:right w:w="0" w:type="dxa"/>
        </w:tblCellMar>
      </w:tblPr>
      <w:tr>
        <w:trPr>
          <w:trHeight w:val="206"/>
        </w:trPr>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7"/>
                <w:szCs w:val="17"/>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15,446</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15,212</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14,281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13,171</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106,720</w:t>
            </w: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179,768</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in the Consolidated Balance Sheets were comprised of the following:</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9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w w:val="94"/>
              </w:rPr>
              <w:t>August 31, 2019</w:t>
            </w:r>
          </w:p>
        </w:tc>
      </w:tr>
      <w:tr>
        <w:trPr>
          <w:trHeight w:val="33"/>
        </w:trPr>
        <w:tc>
          <w:tcPr>
            <w:tcW w:w="6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Accrued professional fees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8,903</w:t>
            </w:r>
          </w:p>
        </w:tc>
      </w:tr>
      <w:tr>
        <w:trPr>
          <w:trHeight w:val="33"/>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advertising allowances and claims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Accrued bonus expenses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10,908</w:t>
            </w:r>
          </w:p>
        </w:tc>
      </w:tr>
      <w:tr>
        <w:trPr>
          <w:trHeight w:val="33"/>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freight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Accrued payroll-related expenses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33"/>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33"/>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VAT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Accrued restructuring</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29,933</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as of August 29, 2020 as compared to August 31, 2019 was primarily a result of the Acquisition of Quest.</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and Line of Credit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provides for (i) a term facility of $200.0 million (“Term Facility”) with a seven-year maturity and (ii) a revolving credit facility of up to $75.0 million (the “Revolving Credit Facility”) with a five-year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and (c) the Euro-currency rate applicable for an interest period of one month plus 1.00% plus (x) 3.00% margin for Term Loan or (y) 2.00% margin for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third fiscal quarter of 2020, the Company borrowed $25.0 million under the Revolving Credit Facility. This was a precautionary measure to preserve financial flexibility and to maintain liquidity in response to the spread of COVID-19 and uncertainty around consumer behavior. The Company used the proceeds of the Revolving Credit Facility to meet initial elevated customer orders in response to COVID-19, build finished goods inventory of some of its high velocity items, support working capital and support general corporate purposes. In the fourth fiscal quarter of 2020, the Company repaid the $25.0 million borrowing under the Revolving Credit Facility. The Company may repay borrowings under the Revolving Credit Facility at any time without penalty. As of August 29, 2020 and August 31, 2019, there were no amounts drawn against the Revolving Credit Facility.</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the third anniversary of the closing date of the credit facilities)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29, 2020 and August 31, 2019,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consists of the following:</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8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80" w:type="dxa"/>
            <w:vAlign w:val="bottom"/>
          </w:tcPr>
          <w:p>
            <w:pPr>
              <w:spacing w:after="0"/>
              <w:rPr>
                <w:sz w:val="19"/>
                <w:szCs w:val="19"/>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w w:val="94"/>
              </w:rPr>
              <w:t>August 31, 2019</w:t>
            </w:r>
          </w:p>
        </w:tc>
      </w:tr>
      <w:tr>
        <w:trPr>
          <w:trHeight w:val="33"/>
        </w:trPr>
        <w:tc>
          <w:tcPr>
            <w:tcW w:w="6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Term Facility (effective rate of 4.8% at August 29, 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606,500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196,500</w:t>
            </w:r>
          </w:p>
        </w:tc>
      </w:tr>
      <w:tr>
        <w:trPr>
          <w:trHeight w:val="33"/>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liabilities (effective rate of 5.6% at August 29, 2020)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Less: Deferred financing fees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5,565</w:t>
            </w:r>
          </w:p>
        </w:tc>
      </w:tr>
      <w:tr>
        <w:trPr>
          <w:trHeight w:val="33"/>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597,150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190,935</w:t>
            </w:r>
          </w:p>
        </w:tc>
      </w:tr>
      <w:tr>
        <w:trPr>
          <w:trHeight w:val="220"/>
        </w:trPr>
        <w:tc>
          <w:tcPr>
            <w:tcW w:w="6820" w:type="dxa"/>
            <w:vAlign w:val="bottom"/>
            <w:gridSpan w:val="2"/>
          </w:tcPr>
          <w:p>
            <w:pPr>
              <w:ind w:left="20"/>
              <w:spacing w:after="0"/>
              <w:rPr>
                <w:sz w:val="20"/>
                <w:szCs w:val="20"/>
                <w:color w:val="auto"/>
              </w:rPr>
            </w:pPr>
            <w:r>
              <w:rPr>
                <w:rFonts w:ascii="Arial" w:cs="Arial" w:eastAsia="Arial" w:hAnsi="Arial"/>
                <w:sz w:val="16"/>
                <w:szCs w:val="16"/>
                <w:color w:val="auto"/>
                <w:w w:val="97"/>
              </w:rPr>
              <w:t>Less: Current maturities, net of deferred financing fees of $0.0 million at August 29, 2020 and $1.3</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6"/>
                <w:szCs w:val="16"/>
                <w:color w:val="auto"/>
              </w:rPr>
              <w:t>million at August 31, 2019, respectively</w:t>
            </w: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596,879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190,259</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29, 2020, aggregate principal maturities of debt for each of the next five fiscal years and thereafter are as follows:</w:t>
      </w:r>
    </w:p>
    <w:p>
      <w:pPr>
        <w:spacing w:after="0" w:line="189" w:lineRule="exact"/>
        <w:rPr>
          <w:sz w:val="20"/>
          <w:szCs w:val="20"/>
          <w:color w:val="auto"/>
        </w:rPr>
      </w:pPr>
    </w:p>
    <w:tbl>
      <w:tblPr>
        <w:tblLayout w:type="fixed"/>
        <w:tblInd w:w="2720" w:type="dxa"/>
        <w:tblCellMar>
          <w:top w:w="0" w:type="dxa"/>
          <w:left w:w="0" w:type="dxa"/>
          <w:bottom w:w="0" w:type="dxa"/>
          <w:right w:w="0" w:type="dxa"/>
        </w:tblCellMar>
      </w:tblPr>
      <w:tr>
        <w:trPr>
          <w:trHeight w:val="206"/>
        </w:trPr>
        <w:tc>
          <w:tcPr>
            <w:tcW w:w="43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w w:val="96"/>
              </w:rPr>
              <w:t>Principal Maturities</w:t>
            </w:r>
          </w:p>
        </w:tc>
      </w:tr>
      <w:tr>
        <w:trPr>
          <w:trHeight w:val="33"/>
        </w:trPr>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606,642</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607,422</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not required to make principal payments on the Term Facility over the twelve months following the period ended August 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August 29, 2020, the Company had letters of credit in the amount of $5.9 million outstanding. Our letters of credit offset against the availability of the Revolving Credit Facility. These letters of credit exist to support three of the Company's leased buildings and insurance programs relating to workers' compensation. No amounts were drawn against these letters of credit at August 29, 2020.</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29, 2020 and August 31, 2019, the book value of the Company’s debt approximated fair value. The estimated fair value of the Term Loan is valued based on observable inputs and classified as Level 2 in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A loss of $0.5 million and a benefit of $2.8 million was charged to the </w:t>
      </w:r>
      <w:r>
        <w:rPr>
          <w:rFonts w:ascii="Arial" w:cs="Arial" w:eastAsia="Arial" w:hAnsi="Arial"/>
          <w:sz w:val="17"/>
          <w:szCs w:val="17"/>
          <w:i w:val="1"/>
          <w:iCs w:val="1"/>
          <w:color w:val="auto"/>
        </w:rPr>
        <w:t>Loss (gain) in fair value change of contingent consideration - TRA liability</w:t>
      </w:r>
      <w:r>
        <w:rPr>
          <w:rFonts w:ascii="Arial" w:cs="Arial" w:eastAsia="Arial" w:hAnsi="Arial"/>
          <w:sz w:val="17"/>
          <w:szCs w:val="17"/>
          <w:color w:val="auto"/>
        </w:rPr>
        <w:t xml:space="preserve"> for the fifty-three week period ended August 31, 2019 and fifty-two week period ended August 25, 2018, respectively. The Company settled the Income Tax Receivable Agreement (the “TRA”) during the fifty-three week period ended August 31, 2019, which resulted in a $1.5 million gain. Following the settlement of the TRA liability, the Company did not have any Level 3 financial assets or liabilities as of August 29, 2020 or August 31, 2019. Refer to Note 10, Income Taxes, for additional details regarding the TRA liability settlement.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income before income taxes are as follows:</w:t>
      </w:r>
    </w:p>
    <w:p>
      <w:pPr>
        <w:spacing w:after="0" w:line="189" w:lineRule="exact"/>
        <w:rPr>
          <w:sz w:val="20"/>
          <w:szCs w:val="20"/>
          <w:color w:val="auto"/>
        </w:rPr>
      </w:pPr>
    </w:p>
    <w:tbl>
      <w:tblPr>
        <w:tblLayout w:type="fixed"/>
        <w:tblInd w:w="146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53-Weeks Ended</w:t>
            </w:r>
          </w:p>
        </w:tc>
        <w:tc>
          <w:tcPr>
            <w:tcW w:w="16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1"/>
              </w:rPr>
              <w:t>52-Weeks Ended</w:t>
            </w:r>
          </w:p>
        </w:tc>
      </w:tr>
      <w:tr>
        <w:trPr>
          <w:trHeight w:val="270"/>
        </w:trPr>
        <w:tc>
          <w:tcPr>
            <w:tcW w:w="36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3"/>
                <w:szCs w:val="23"/>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August 31, 2019</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August 25, 2018</w:t>
            </w:r>
          </w:p>
        </w:tc>
      </w:tr>
      <w:tr>
        <w:trPr>
          <w:trHeight w:val="33"/>
        </w:trPr>
        <w:tc>
          <w:tcPr>
            <w:tcW w:w="3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Domestic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47,480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64,244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49,748</w:t>
            </w: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244"/>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income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48,026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53,091</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(benefit) was comprised of the following:</w:t>
      </w:r>
    </w:p>
    <w:p>
      <w:pPr>
        <w:spacing w:after="0" w:line="189" w:lineRule="exact"/>
        <w:rPr>
          <w:sz w:val="20"/>
          <w:szCs w:val="20"/>
          <w:color w:val="auto"/>
        </w:rPr>
      </w:pPr>
    </w:p>
    <w:tbl>
      <w:tblPr>
        <w:tblLayout w:type="fixed"/>
        <w:tblInd w:w="146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53-Weeks Ended</w:t>
            </w:r>
          </w:p>
        </w:tc>
        <w:tc>
          <w:tcPr>
            <w:tcW w:w="18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1"/>
              </w:rPr>
              <w:t>52-Weeks Ended</w:t>
            </w:r>
          </w:p>
        </w:tc>
      </w:tr>
      <w:tr>
        <w:trPr>
          <w:trHeight w:val="270"/>
        </w:trPr>
        <w:tc>
          <w:tcPr>
            <w:tcW w:w="35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8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25, 2018</w:t>
            </w: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Current: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r>
      <w:tr>
        <w:trPr>
          <w:trHeight w:val="237"/>
        </w:trPr>
        <w:tc>
          <w:tcPr>
            <w:tcW w:w="3560" w:type="dxa"/>
            <w:vAlign w:val="bottom"/>
            <w:gridSpan w:val="2"/>
          </w:tcPr>
          <w:p>
            <w:pPr>
              <w:ind w:left="160"/>
              <w:spacing w:after="0"/>
              <w:rPr>
                <w:sz w:val="20"/>
                <w:szCs w:val="20"/>
                <w:color w:val="auto"/>
              </w:rPr>
            </w:pPr>
            <w:r>
              <w:rPr>
                <w:rFonts w:ascii="Arial" w:cs="Arial" w:eastAsia="Arial" w:hAnsi="Arial"/>
                <w:sz w:val="16"/>
                <w:szCs w:val="16"/>
                <w:color w:val="auto"/>
              </w:rPr>
              <w:t>State and local</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1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 current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3,744</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3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Deferred: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(21,223)</w:t>
            </w:r>
          </w:p>
        </w:tc>
      </w:tr>
      <w:tr>
        <w:trPr>
          <w:trHeight w:val="237"/>
        </w:trPr>
        <w:tc>
          <w:tcPr>
            <w:tcW w:w="3560" w:type="dxa"/>
            <w:vAlign w:val="bottom"/>
            <w:gridSpan w:val="2"/>
          </w:tcPr>
          <w:p>
            <w:pPr>
              <w:ind w:left="160"/>
              <w:spacing w:after="0"/>
              <w:rPr>
                <w:sz w:val="20"/>
                <w:szCs w:val="20"/>
                <w:color w:val="auto"/>
              </w:rPr>
            </w:pPr>
            <w:r>
              <w:rPr>
                <w:rFonts w:ascii="Arial" w:cs="Arial" w:eastAsia="Arial" w:hAnsi="Arial"/>
                <w:sz w:val="16"/>
                <w:szCs w:val="16"/>
                <w:color w:val="auto"/>
              </w:rPr>
              <w:t>State and local</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 deferred income tax expense (benefit)</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(21,108)</w:t>
            </w:r>
          </w:p>
        </w:tc>
      </w:tr>
      <w:tr>
        <w:trPr>
          <w:trHeight w:val="33"/>
        </w:trPr>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tax expense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(17,364)</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189" w:lineRule="exact"/>
        <w:rPr>
          <w:sz w:val="20"/>
          <w:szCs w:val="20"/>
          <w:color w:val="auto"/>
        </w:rPr>
      </w:pPr>
    </w:p>
    <w:tbl>
      <w:tblPr>
        <w:tblLayout w:type="fixed"/>
        <w:tblInd w:w="146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color w:val="auto"/>
              </w:rPr>
              <w:t>52-Weeks Ended</w:t>
            </w:r>
          </w:p>
        </w:tc>
        <w:tc>
          <w:tcPr>
            <w:tcW w:w="1640" w:type="dxa"/>
            <w:vAlign w:val="bottom"/>
            <w:gridSpan w:val="2"/>
          </w:tcPr>
          <w:p>
            <w:pPr>
              <w:ind w:left="220"/>
              <w:spacing w:after="0"/>
              <w:rPr>
                <w:sz w:val="20"/>
                <w:szCs w:val="20"/>
                <w:color w:val="auto"/>
              </w:rPr>
            </w:pPr>
            <w:r>
              <w:rPr>
                <w:rFonts w:ascii="Arial" w:cs="Arial" w:eastAsia="Arial" w:hAnsi="Arial"/>
                <w:sz w:val="16"/>
                <w:szCs w:val="16"/>
                <w:color w:val="auto"/>
              </w:rPr>
              <w:t>53-Weeks Ended</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52-Weeks Ended</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60" w:type="dxa"/>
            <w:vAlign w:val="bottom"/>
            <w:gridSpan w:val="2"/>
          </w:tcPr>
          <w:p>
            <w:pPr>
              <w:ind w:left="240"/>
              <w:spacing w:after="0"/>
              <w:rPr>
                <w:sz w:val="20"/>
                <w:szCs w:val="20"/>
                <w:color w:val="auto"/>
              </w:rPr>
            </w:pPr>
            <w:r>
              <w:rPr>
                <w:rFonts w:ascii="Arial" w:cs="Arial" w:eastAsia="Arial" w:hAnsi="Arial"/>
                <w:sz w:val="16"/>
                <w:szCs w:val="16"/>
                <w:color w:val="auto"/>
              </w:rPr>
              <w:t>August 29, 2020</w:t>
            </w:r>
          </w:p>
        </w:tc>
        <w:tc>
          <w:tcPr>
            <w:tcW w:w="1640" w:type="dxa"/>
            <w:vAlign w:val="bottom"/>
            <w:gridSpan w:val="2"/>
          </w:tcPr>
          <w:p>
            <w:pPr>
              <w:ind w:left="220"/>
              <w:spacing w:after="0"/>
              <w:rPr>
                <w:sz w:val="20"/>
                <w:szCs w:val="20"/>
                <w:color w:val="auto"/>
              </w:rPr>
            </w:pPr>
            <w:r>
              <w:rPr>
                <w:rFonts w:ascii="Arial" w:cs="Arial" w:eastAsia="Arial" w:hAnsi="Arial"/>
                <w:sz w:val="16"/>
                <w:szCs w:val="16"/>
                <w:color w:val="auto"/>
              </w:rPr>
              <w:t>August 31, 2019</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August 25, 2018</w:t>
            </w:r>
          </w:p>
        </w:tc>
      </w:tr>
      <w:tr>
        <w:trPr>
          <w:trHeight w:val="33"/>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Statutory income tax expense:</w:t>
            </w:r>
          </w:p>
        </w:tc>
        <w:tc>
          <w:tcPr>
            <w:tcW w:w="1540" w:type="dxa"/>
            <w:vAlign w:val="bottom"/>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25.5 %</w:t>
            </w:r>
          </w:p>
        </w:tc>
      </w:tr>
      <w:tr>
        <w:trPr>
          <w:trHeight w:val="3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State income tax expense, net of federal</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r>
      <w:tr>
        <w:trPr>
          <w:trHeight w:val="237"/>
        </w:trPr>
        <w:tc>
          <w:tcPr>
            <w:tcW w:w="3520" w:type="dxa"/>
            <w:vAlign w:val="bottom"/>
            <w:gridSpan w:val="2"/>
          </w:tcPr>
          <w:p>
            <w:pPr>
              <w:ind w:left="160"/>
              <w:spacing w:after="0"/>
              <w:rPr>
                <w:sz w:val="20"/>
                <w:szCs w:val="20"/>
                <w:color w:val="auto"/>
              </w:rPr>
            </w:pPr>
            <w:r>
              <w:rPr>
                <w:rFonts w:ascii="Arial" w:cs="Arial" w:eastAsia="Arial" w:hAnsi="Arial"/>
                <w:sz w:val="16"/>
                <w:szCs w:val="16"/>
                <w:color w:val="auto"/>
              </w:rPr>
              <w:t>Valuation allowance</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0.6</w:t>
            </w:r>
          </w:p>
        </w:tc>
      </w:tr>
      <w:tr>
        <w:trPr>
          <w:trHeight w:val="3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Taxes on foreign income above the U.S. tax</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r>
      <w:tr>
        <w:trPr>
          <w:trHeight w:val="237"/>
        </w:trPr>
        <w:tc>
          <w:tcPr>
            <w:tcW w:w="3520" w:type="dxa"/>
            <w:vAlign w:val="bottom"/>
            <w:gridSpan w:val="2"/>
          </w:tcPr>
          <w:p>
            <w:pPr>
              <w:ind w:left="160"/>
              <w:spacing w:after="0"/>
              <w:rPr>
                <w:sz w:val="20"/>
                <w:szCs w:val="20"/>
                <w:color w:val="auto"/>
              </w:rPr>
            </w:pPr>
            <w:r>
              <w:rPr>
                <w:rFonts w:ascii="Arial" w:cs="Arial" w:eastAsia="Arial" w:hAnsi="Arial"/>
                <w:sz w:val="16"/>
                <w:szCs w:val="16"/>
                <w:color w:val="auto"/>
              </w:rPr>
              <w:t>Tax Cuts and Jobs Act</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(58.4)</w:t>
            </w:r>
          </w:p>
        </w:tc>
      </w:tr>
      <w:tr>
        <w:trPr>
          <w:trHeight w:val="3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Change in tax rate</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37"/>
        </w:trPr>
        <w:tc>
          <w:tcPr>
            <w:tcW w:w="3520" w:type="dxa"/>
            <w:vAlign w:val="bottom"/>
            <w:gridSpan w:val="2"/>
          </w:tcPr>
          <w:p>
            <w:pPr>
              <w:ind w:left="160"/>
              <w:spacing w:after="0"/>
              <w:rPr>
                <w:sz w:val="20"/>
                <w:szCs w:val="20"/>
                <w:color w:val="auto"/>
              </w:rPr>
            </w:pPr>
            <w:r>
              <w:rPr>
                <w:rFonts w:ascii="Arial" w:cs="Arial" w:eastAsia="Arial" w:hAnsi="Arial"/>
                <w:sz w:val="16"/>
                <w:szCs w:val="16"/>
                <w:color w:val="auto"/>
              </w:rPr>
              <w:t>Non-deductible transaction costs</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 contingent consideration</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37"/>
        </w:trPr>
        <w:tc>
          <w:tcPr>
            <w:tcW w:w="3520" w:type="dxa"/>
            <w:vAlign w:val="bottom"/>
            <w:gridSpan w:val="2"/>
          </w:tcPr>
          <w:p>
            <w:pPr>
              <w:ind w:left="160"/>
              <w:spacing w:after="0"/>
              <w:rPr>
                <w:sz w:val="20"/>
                <w:szCs w:val="20"/>
                <w:color w:val="auto"/>
              </w:rPr>
            </w:pPr>
            <w:r>
              <w:rPr>
                <w:rFonts w:ascii="Arial" w:cs="Arial" w:eastAsia="Arial" w:hAnsi="Arial"/>
                <w:sz w:val="16"/>
                <w:szCs w:val="16"/>
                <w:color w:val="auto"/>
              </w:rPr>
              <w:t>Other permanent items</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1.6</w:t>
            </w:r>
          </w:p>
        </w:tc>
      </w:tr>
      <w:tr>
        <w:trPr>
          <w:trHeight w:val="33"/>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comparability of the Company's operating results of fiscal 2018 as compared to subsequent fiscal years 2019 and 2020 was effected by the U.S. Tax Cuts and Jobs Act of 2017 (the “Tax Act”), which was enacted on December 22, 2017. The Tax Act introduced significant changes to U.S. income tax law including reducing the U.S. federal statutory tax rate from 35% to 21% and imposing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fiscal 2018 in accordance with SEC Staff Accounting Bulletin No. 118 (“SAB 118”). During the period ended February 23, 2019, the Company completed its accounting for the Tax Act with no material adjustment to the provisional estimates recorded.</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Global Intangible Low-Taxed Income (“GILTI”) provisions of the Tax Act, the Company completed its assessment during the second quarter of 2019 and, effective August 26, 2018, elected an accounting policy to record GILTI as period costs if and when incurred. Additionally, the Company concluded that it had not met the threshold requirements of the base erosion and anti-abuse tax. Although the measurement period has closed, further technical guidance related to the Tax Act, including final regulations on a broad range of topics, is expected to be issued. In accordance with Accounting Standards Codification (ASC) 740, the Company will recognize any effects of the guidance in the period that such guidance is issued.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temporary differences that gave rise to significant portions of the deferred tax assets and liabilities at August 29,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2019 were as follows: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8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80" w:type="dxa"/>
            <w:vAlign w:val="bottom"/>
          </w:tcPr>
          <w:p>
            <w:pPr>
              <w:spacing w:after="0"/>
              <w:rPr>
                <w:sz w:val="19"/>
                <w:szCs w:val="19"/>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w w:val="94"/>
              </w:rPr>
              <w:t>August 31, 2019</w:t>
            </w:r>
          </w:p>
        </w:tc>
      </w:tr>
      <w:tr>
        <w:trPr>
          <w:trHeight w:val="33"/>
        </w:trPr>
        <w:tc>
          <w:tcPr>
            <w:tcW w:w="6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Accounts receivable allowances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2,601</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Inventories write-downs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3,680</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Net operating loss carryforwards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4,179</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Tax credits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2,247</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14,880</w:t>
            </w: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Valuation allowance</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(3,786)</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 net of valuation allowance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11,094</w:t>
            </w:r>
          </w:p>
        </w:tc>
      </w:tr>
      <w:tr>
        <w:trPr>
          <w:trHeight w:val="29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Prepaid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Excess tax over book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Website development costs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(74,431)</w:t>
            </w:r>
          </w:p>
        </w:tc>
      </w:tr>
      <w:tr>
        <w:trPr>
          <w:trHeight w:val="237"/>
        </w:trPr>
        <w:tc>
          <w:tcPr>
            <w:tcW w:w="6840" w:type="dxa"/>
            <w:vAlign w:val="bottom"/>
            <w:gridSpan w:val="2"/>
          </w:tcPr>
          <w:p>
            <w:pPr>
              <w:ind w:left="160"/>
              <w:spacing w:after="0"/>
              <w:rPr>
                <w:sz w:val="20"/>
                <w:szCs w:val="20"/>
                <w:color w:val="auto"/>
              </w:rPr>
            </w:pPr>
            <w:r>
              <w:rPr>
                <w:rFonts w:ascii="Arial" w:cs="Arial" w:eastAsia="Arial" w:hAnsi="Arial"/>
                <w:sz w:val="16"/>
                <w:szCs w:val="16"/>
                <w:color w:val="auto"/>
              </w:rPr>
              <w:t>Lease right-of-use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17"/>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(105,011)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(76,477)</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(65,383)</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had state net operating loss carryforwards of $11.9 million and $12.2 million and foreign net operating losses of $12.8 million and $14.2 million at August 29, 2020 and August 31, 2019, respectively. The state net operating loss carryforwards will begin to expire in 2021.</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August 29, 2020, the Company has recorded total valuation allowances of $3.2 million, of which $2.9 million relates to valuation allowances on deferred tax assets related to foreign net operating loss carryforwards. The majority of this amount represents a full valuation allowance on the deferred tax assets of foreign entities within the United Kingdom, Netherlands, and Spain. Of the valuation allowance on deferred tax assets, $0.3 million relates to state net operating losses.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fifty-two week period ended August 29, 2020, there was a $1.4 million decrease to the tax loss carryforwards in foreign jurisdictions. As the carryforwards were generated in jurisdictions where the Company has historically recognized book losses or does not have strong future earnings projections, the Company concluded it is more likely than not that the operating losses would not be realized, and thus maintained a full valuation allowance against the associated deferred tax assets.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fifty-two week period ended August 29, 2020, the Company changed its intentions and determined to not indefinitely reinvest its foreign earnings within its subsidiaries in the United Kingdom, Spain, and Canada. The change in assertion did not result in recognition of tax liabilities related to these jurisdictions. It is the Company’s intention to reinvest the earnings of its other non-U.S. subsidiaries in those operations. As of August 29, 2020,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29, 2020 and August 31, 2019, the Company has no unrecognized tax benefits.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interest and penalties associated with unrecognized tax benefits as a component of tax expense. As of August 29, 2020 and August 31, 2019, the Company has not accrued interest or penalties on unrecognized tax benefits, as there is no position recorded as of these fiscal years. No changes to the uncertain tax position balance are anticipated within the next 12 months, and are not expected to materially affect the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August 29, 2020, tax years 2014 to 2019 remain subject to examination in the United States and the tax years 2014 to 2019 remain subject to examination in other major foreign jurisdictions where the Company conducts business. State income tax returns are generally subject to examination for a period of three to five years after the filing of the respective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Concurrent with the Acquisition of Atkins, the Company entered into the TRA with the historical stockholders of Atkins. The TRA was valued based on the future expected payments under the terms of the agreement. The TRA provides for the payment by Simply Good Foods to the Atkins’ selling equity holders for certain federal, state, local and non-U.S. tax benefits deemed realized in post-closing taxable periods by Simply Good Foods, Conyers Park, Atkins and Atkins’ eligible subsidiaries from the use of up to $100 million of the following tax attributes: (i) net operating losses available to be carried forward as of the closing of the Business Combination, (ii) certain deductions generated by the consummation of the business transaction and (iii) remaining depreciable tax basis from the 2003 acquisition of Atkins Nutritionals, Inc.</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Company re-measured the TRA in the second fiscal quarter of 2018 due to the Tax Act. The second quarter assessment of these changes resulted in a provisional one-time gain of $4.7 million, recognized in </w:t>
      </w:r>
      <w:r>
        <w:rPr>
          <w:rFonts w:ascii="Arial" w:cs="Arial" w:eastAsia="Arial" w:hAnsi="Arial"/>
          <w:sz w:val="16"/>
          <w:szCs w:val="16"/>
          <w:i w:val="1"/>
          <w:iCs w:val="1"/>
          <w:color w:val="auto"/>
        </w:rPr>
        <w:t>Loss (gain) in fair value change of contingent consideration - TRA liability</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fiscal quarter of 2019, the Company entered into a termination agreement (the “Termination Agreement”) with Atkins Holdings, LLC and Roark Capital Acquisition, LLC. Pursuant to the Termination Agreement, the Company paid $26.5 million to settle the TRA in full. Under the Termination Agreement, each of the parties thereto agreed to terminate the TRA and to release any and all obligations and liabilities of the other parties thereunder effective as of the receipt of the termination payment. The Company recorded a $0.5 million loss on the fair value change in the TRA liability through the settlement on November 14, 2018 and recognized a gain of $1.5 million in connection with the execution of the Termination Agreement and final cash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 2019, the Company adopted ASU No. 2016-02, Leases, using the modified retrospective approach under ASU No. 2018-11, which permits application of the new guidance at the beginning of the period of adoption, with comparative periods continuing to be reported under ASC Topic 840, Leases.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color w:val="auto"/>
                <w:w w:val="97"/>
              </w:rPr>
              <w:t>52-Weeks Ended</w:t>
            </w: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400" w:type="dxa"/>
            <w:vAlign w:val="bottom"/>
            <w:gridSpan w:val="2"/>
          </w:tcPr>
          <w:p>
            <w:pPr>
              <w:ind w:left="20"/>
              <w:spacing w:after="0"/>
              <w:rPr>
                <w:sz w:val="20"/>
                <w:szCs w:val="20"/>
                <w:color w:val="auto"/>
              </w:rPr>
            </w:pPr>
            <w:r>
              <w:rPr>
                <w:rFonts w:ascii="Arial" w:cs="Arial" w:eastAsia="Arial" w:hAnsi="Arial"/>
                <w:sz w:val="16"/>
                <w:szCs w:val="16"/>
                <w:color w:val="auto"/>
              </w:rPr>
              <w:t>Statement of Operations Caption</w:t>
            </w:r>
          </w:p>
        </w:tc>
        <w:tc>
          <w:tcPr>
            <w:tcW w:w="220" w:type="dxa"/>
            <w:vAlign w:val="bottom"/>
          </w:tcPr>
          <w:p>
            <w:pPr>
              <w:spacing w:after="0"/>
              <w:rPr>
                <w:sz w:val="23"/>
                <w:szCs w:val="23"/>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August 29, 2020</w:t>
            </w:r>
          </w:p>
        </w:tc>
      </w:tr>
      <w:tr>
        <w:trPr>
          <w:trHeight w:val="33"/>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Operating lease cost:</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Lease cost</w:t>
            </w: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and administrative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5,242</w:t>
            </w:r>
          </w:p>
        </w:tc>
      </w:tr>
      <w:tr>
        <w:trPr>
          <w:trHeight w:val="270"/>
        </w:trPr>
        <w:tc>
          <w:tcPr>
            <w:tcW w:w="2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and administrative</w:t>
            </w: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w:t>
            </w:r>
          </w:p>
        </w:tc>
      </w:tr>
      <w:tr>
        <w:trPr>
          <w:trHeight w:val="230"/>
        </w:trPr>
        <w:tc>
          <w:tcPr>
            <w:tcW w:w="2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Operating lease cost</w:t>
            </w:r>
          </w:p>
        </w:tc>
        <w:tc>
          <w:tcPr>
            <w:tcW w:w="4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6,890</w:t>
            </w:r>
          </w:p>
        </w:tc>
      </w:tr>
      <w:tr>
        <w:trPr>
          <w:trHeight w:val="32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Short term lease cost</w:t>
            </w: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32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4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gridSpan w:val="2"/>
          </w:tcPr>
          <w:p>
            <w:pPr>
              <w:ind w:left="160"/>
              <w:spacing w:after="0"/>
              <w:rPr>
                <w:sz w:val="20"/>
                <w:szCs w:val="20"/>
                <w:color w:val="auto"/>
              </w:rPr>
            </w:pPr>
            <w:r>
              <w:rPr>
                <w:rFonts w:ascii="Arial" w:cs="Arial" w:eastAsia="Arial" w:hAnsi="Arial"/>
                <w:sz w:val="16"/>
                <w:szCs w:val="16"/>
                <w:color w:val="auto"/>
              </w:rPr>
              <w:t>Amortization of right-of use assets</w:t>
            </w:r>
          </w:p>
        </w:tc>
        <w:tc>
          <w:tcPr>
            <w:tcW w:w="4400" w:type="dxa"/>
            <w:vAlign w:val="bottom"/>
            <w:gridSpan w:val="2"/>
          </w:tcPr>
          <w:p>
            <w:pPr>
              <w:ind w:left="20"/>
              <w:spacing w:after="0"/>
              <w:rPr>
                <w:sz w:val="20"/>
                <w:szCs w:val="20"/>
                <w:color w:val="auto"/>
              </w:rPr>
            </w:pPr>
            <w:r>
              <w:rPr>
                <w:rFonts w:ascii="Arial" w:cs="Arial" w:eastAsia="Arial" w:hAnsi="Arial"/>
                <w:sz w:val="16"/>
                <w:szCs w:val="16"/>
                <w:i w:val="1"/>
                <w:iCs w:val="1"/>
                <w:color w:val="auto"/>
              </w:rPr>
              <w:t>Cost of goods sold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Interest on lease liabilities</w:t>
            </w: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2740" w:type="dxa"/>
            <w:vAlign w:val="bottom"/>
            <w:gridSpan w:val="2"/>
          </w:tcPr>
          <w:p>
            <w:pPr>
              <w:ind w:left="280"/>
              <w:spacing w:after="0"/>
              <w:rPr>
                <w:sz w:val="20"/>
                <w:szCs w:val="20"/>
                <w:color w:val="auto"/>
              </w:rPr>
            </w:pPr>
            <w:r>
              <w:rPr>
                <w:rFonts w:ascii="Arial" w:cs="Arial" w:eastAsia="Arial" w:hAnsi="Arial"/>
                <w:sz w:val="16"/>
                <w:szCs w:val="16"/>
                <w:color w:val="auto"/>
              </w:rPr>
              <w:t>Total finance lease cost</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Total lease cost</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12700</wp:posOffset>
            </wp:positionV>
            <wp:extent cx="11398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29845</wp:posOffset>
            </wp:positionV>
            <wp:extent cx="1139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3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4300" w:type="dxa"/>
            <w:vAlign w:val="bottom"/>
            <w:gridSpan w:val="2"/>
          </w:tcPr>
          <w:p>
            <w:pPr>
              <w:ind w:left="40"/>
              <w:spacing w:after="0"/>
              <w:rPr>
                <w:sz w:val="20"/>
                <w:szCs w:val="20"/>
                <w:color w:val="auto"/>
              </w:rPr>
            </w:pPr>
            <w:r>
              <w:rPr>
                <w:rFonts w:ascii="Arial" w:cs="Arial" w:eastAsia="Arial" w:hAnsi="Arial"/>
                <w:sz w:val="16"/>
                <w:szCs w:val="16"/>
                <w:color w:val="auto"/>
              </w:rPr>
              <w:t>Balance Sheet Caption</w:t>
            </w:r>
          </w:p>
        </w:tc>
        <w:tc>
          <w:tcPr>
            <w:tcW w:w="1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w w:val="90"/>
              </w:rPr>
              <w:t>August 29, 2020</w:t>
            </w:r>
          </w:p>
        </w:tc>
      </w:tr>
      <w:tr>
        <w:trPr>
          <w:trHeight w:val="33"/>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Operating lease right-of-use assets</w:t>
            </w:r>
          </w:p>
        </w:tc>
        <w:tc>
          <w:tcPr>
            <w:tcW w:w="4300" w:type="dxa"/>
            <w:vAlign w:val="bottom"/>
            <w:gridSpan w:val="2"/>
          </w:tcPr>
          <w:p>
            <w:pPr>
              <w:ind w:left="40"/>
              <w:spacing w:after="0"/>
              <w:rPr>
                <w:sz w:val="20"/>
                <w:szCs w:val="20"/>
                <w:color w:val="auto"/>
              </w:rPr>
            </w:pPr>
            <w:r>
              <w:rPr>
                <w:rFonts w:ascii="Arial" w:cs="Arial" w:eastAsia="Arial" w:hAnsi="Arial"/>
                <w:sz w:val="16"/>
                <w:szCs w:val="16"/>
                <w:i w:val="1"/>
                <w:iCs w:val="1"/>
                <w:color w:val="auto"/>
              </w:rPr>
              <w:t>Other long-term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25,703</w:t>
            </w: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Finance lease right-of-use assets</w:t>
            </w:r>
          </w:p>
        </w:tc>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83"/>
        </w:trPr>
        <w:tc>
          <w:tcPr>
            <w:tcW w:w="354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lease assets</w:t>
            </w:r>
          </w:p>
        </w:tc>
        <w:tc>
          <w:tcPr>
            <w:tcW w:w="4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26,615</w:t>
            </w:r>
          </w:p>
        </w:tc>
      </w:tr>
      <w:tr>
        <w:trPr>
          <w:trHeight w:val="284"/>
        </w:trPr>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4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gridSpan w:val="2"/>
          </w:tcPr>
          <w:p>
            <w:pPr>
              <w:ind w:left="160"/>
              <w:spacing w:after="0"/>
              <w:rPr>
                <w:sz w:val="20"/>
                <w:szCs w:val="20"/>
                <w:color w:val="auto"/>
              </w:rPr>
            </w:pPr>
            <w:r>
              <w:rPr>
                <w:rFonts w:ascii="Arial" w:cs="Arial" w:eastAsia="Arial" w:hAnsi="Arial"/>
                <w:sz w:val="16"/>
                <w:szCs w:val="16"/>
                <w:color w:val="auto"/>
              </w:rPr>
              <w:t>Operating lease liabilities</w:t>
            </w:r>
          </w:p>
        </w:tc>
        <w:tc>
          <w:tcPr>
            <w:tcW w:w="4300" w:type="dxa"/>
            <w:vAlign w:val="bottom"/>
            <w:gridSpan w:val="2"/>
          </w:tcPr>
          <w:p>
            <w:pPr>
              <w:ind w:left="40"/>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Finance lease liabilities</w:t>
            </w:r>
          </w:p>
        </w:tc>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Long-term:</w:t>
            </w:r>
          </w:p>
        </w:tc>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22,764</w:t>
            </w:r>
          </w:p>
        </w:tc>
      </w:tr>
      <w:tr>
        <w:trPr>
          <w:trHeight w:val="237"/>
        </w:trPr>
        <w:tc>
          <w:tcPr>
            <w:tcW w:w="3540" w:type="dxa"/>
            <w:vAlign w:val="bottom"/>
            <w:gridSpan w:val="2"/>
          </w:tcPr>
          <w:p>
            <w:pPr>
              <w:ind w:left="160"/>
              <w:spacing w:after="0"/>
              <w:rPr>
                <w:sz w:val="20"/>
                <w:szCs w:val="20"/>
                <w:color w:val="auto"/>
              </w:rPr>
            </w:pPr>
            <w:r>
              <w:rPr>
                <w:rFonts w:ascii="Arial" w:cs="Arial" w:eastAsia="Arial" w:hAnsi="Arial"/>
                <w:sz w:val="16"/>
                <w:szCs w:val="16"/>
                <w:color w:val="auto"/>
              </w:rPr>
              <w:t>Finance lease liabilities</w:t>
            </w:r>
          </w:p>
        </w:tc>
        <w:tc>
          <w:tcPr>
            <w:tcW w:w="4300" w:type="dxa"/>
            <w:vAlign w:val="bottom"/>
            <w:gridSpan w:val="2"/>
          </w:tcPr>
          <w:p>
            <w:pPr>
              <w:ind w:left="40"/>
              <w:spacing w:after="0"/>
              <w:rPr>
                <w:sz w:val="20"/>
                <w:szCs w:val="20"/>
                <w:color w:val="auto"/>
              </w:rPr>
            </w:pPr>
            <w:r>
              <w:rPr>
                <w:rFonts w:ascii="Arial" w:cs="Arial" w:eastAsia="Arial" w:hAnsi="Arial"/>
                <w:sz w:val="16"/>
                <w:szCs w:val="16"/>
                <w:i w:val="1"/>
                <w:iCs w:val="1"/>
                <w:color w:val="auto"/>
              </w:rPr>
              <w:t>Long-term debt, less current maturities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3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lease liabilities</w:t>
            </w:r>
          </w:p>
        </w:tc>
        <w:tc>
          <w:tcPr>
            <w:tcW w:w="4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28,015</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lease liabilities as of August 29, 2020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63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40" w:type="dxa"/>
            <w:vAlign w:val="bottom"/>
            <w:gridSpan w:val="3"/>
          </w:tcPr>
          <w:p>
            <w:pPr>
              <w:ind w:left="100"/>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w w:val="88"/>
              </w:rPr>
              <w:t>Finance Leases</w:t>
            </w:r>
          </w:p>
        </w:tc>
      </w:tr>
      <w:tr>
        <w:trPr>
          <w:trHeight w:val="33"/>
        </w:trPr>
        <w:tc>
          <w:tcPr>
            <w:tcW w:w="6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Fiscal year ending:</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5,697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gridSpan w:val="2"/>
          </w:tcPr>
          <w:p>
            <w:pPr>
              <w:ind w:left="40"/>
              <w:spacing w:after="0"/>
              <w:rPr>
                <w:sz w:val="20"/>
                <w:szCs w:val="20"/>
                <w:color w:val="auto"/>
              </w:rPr>
            </w:pPr>
            <w:r>
              <w:rPr>
                <w:rFonts w:ascii="Arial" w:cs="Arial" w:eastAsia="Arial" w:hAnsi="Arial"/>
                <w:sz w:val="16"/>
                <w:szCs w:val="16"/>
                <w:color w:val="auto"/>
              </w:rPr>
              <w:t>Total lease payments</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w:t>
            </w:r>
          </w:p>
        </w:tc>
      </w:tr>
      <w:tr>
        <w:trPr>
          <w:trHeight w:val="3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44"/>
        </w:trPr>
        <w:tc>
          <w:tcPr>
            <w:tcW w:w="6380" w:type="dxa"/>
            <w:vAlign w:val="bottom"/>
            <w:gridSpan w:val="2"/>
          </w:tcPr>
          <w:p>
            <w:pPr>
              <w:ind w:left="40"/>
              <w:spacing w:after="0"/>
              <w:rPr>
                <w:sz w:val="20"/>
                <w:szCs w:val="20"/>
                <w:color w:val="auto"/>
              </w:rPr>
            </w:pPr>
            <w:r>
              <w:rPr>
                <w:rFonts w:ascii="Arial" w:cs="Arial" w:eastAsia="Arial" w:hAnsi="Arial"/>
                <w:sz w:val="16"/>
                <w:szCs w:val="16"/>
                <w:color w:val="auto"/>
              </w:rPr>
              <w:t>Present value of lease liabilities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August 29, 2020, the Company had entered into a lease with estimated total minimum future lease payments of $32.2 million over a 10.0-year minimum lease term that had not yet commenced, and as a result it is not recorded on the Consolidated Balance Sheets. The Company expects the lease to commence in fiscal year 2021, and the Company has the option to renew the lease for an additional 5.0 years or 10.0 years after the minimum lease term.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remaining lease terms and weighted-average discount rates for operating and finance leases as of August 29, 2020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91"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638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color w:val="auto"/>
              </w:rPr>
              <w:t>Operating Leases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Finance Leases</w:t>
            </w:r>
          </w:p>
        </w:tc>
      </w:tr>
      <w:tr>
        <w:trPr>
          <w:trHeight w:val="33"/>
        </w:trPr>
        <w:tc>
          <w:tcPr>
            <w:tcW w:w="6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3.41</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378"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w w:val="87"/>
              </w:rPr>
              <w:t>52-Weeks Ended</w:t>
            </w:r>
          </w:p>
        </w:tc>
      </w:tr>
      <w:tr>
        <w:trPr>
          <w:trHeight w:val="270"/>
        </w:trPr>
        <w:tc>
          <w:tcPr>
            <w:tcW w:w="78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w w:val="90"/>
              </w:rPr>
              <w:t>August 29, 2020</w:t>
            </w:r>
          </w:p>
        </w:tc>
      </w:tr>
      <w:tr>
        <w:trPr>
          <w:trHeight w:val="33"/>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gridSpan w:val="2"/>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6,534</w:t>
            </w: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cash flows from finance leases</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860" w:type="dxa"/>
            <w:vAlign w:val="bottom"/>
            <w:gridSpan w:val="2"/>
          </w:tcPr>
          <w:p>
            <w:pPr>
              <w:ind w:left="160"/>
              <w:spacing w:after="0"/>
              <w:rPr>
                <w:sz w:val="20"/>
                <w:szCs w:val="20"/>
                <w:color w:val="auto"/>
              </w:rPr>
            </w:pPr>
            <w:r>
              <w:rPr>
                <w:rFonts w:ascii="Arial" w:cs="Arial" w:eastAsia="Arial" w:hAnsi="Arial"/>
                <w:sz w:val="16"/>
                <w:szCs w:val="16"/>
                <w:color w:val="auto"/>
              </w:rPr>
              <w:t>Financing cash flows from finance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338</w:t>
            </w:r>
          </w:p>
        </w:tc>
      </w:tr>
    </w:tbl>
    <w:p>
      <w:pPr>
        <w:spacing w:after="0" w:line="200" w:lineRule="exact"/>
        <w:rPr>
          <w:sz w:val="20"/>
          <w:szCs w:val="20"/>
          <w:color w:val="auto"/>
        </w:rPr>
      </w:pPr>
    </w:p>
    <w:p>
      <w:pPr>
        <w:sectPr>
          <w:pgSz w:w="11900" w:h="16838" w:orient="portrait"/>
          <w:cols w:equalWidth="0" w:num="1">
            <w:col w:w="11240"/>
          </w:cols>
          <w:pgMar w:left="320" w:top="125" w:right="339" w:bottom="89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125" w:right="339" w:bottom="898"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Information as Reported Under Previous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comparative information is reported based upon previous accounting standards in effect for the periods presented.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Future minimum payments under lease arrangements with a remaining term in excess of one year were as follows as of August 31, 2019:</w:t>
      </w:r>
    </w:p>
    <w:p>
      <w:pPr>
        <w:spacing w:after="0" w:line="189" w:lineRule="exact"/>
        <w:rPr>
          <w:sz w:val="20"/>
          <w:szCs w:val="20"/>
          <w:color w:val="auto"/>
        </w:rPr>
      </w:pPr>
    </w:p>
    <w:tbl>
      <w:tblPr>
        <w:tblLayout w:type="fixed"/>
        <w:tblInd w:w="2720" w:type="dxa"/>
        <w:tblCellMar>
          <w:top w:w="0" w:type="dxa"/>
          <w:left w:w="0" w:type="dxa"/>
          <w:bottom w:w="0" w:type="dxa"/>
          <w:right w:w="0" w:type="dxa"/>
        </w:tblCellMar>
      </w:tblPr>
      <w:tr>
        <w:trPr>
          <w:trHeight w:val="206"/>
        </w:trPr>
        <w:tc>
          <w:tcPr>
            <w:tcW w:w="43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w w:val="94"/>
              </w:rPr>
              <w:t>August 31, 2019</w:t>
            </w:r>
          </w:p>
        </w:tc>
      </w:tr>
      <w:tr>
        <w:trPr>
          <w:trHeight w:val="33"/>
        </w:trPr>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fifty-three week period ended August 31, 2019, rent expenses for operating leases were $2.2 million. For the fifty-two week period ended August 25, 2018, rent expenses for operating leases were $2.4 million.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 financial condition or cash flows.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fifty-three week period ended August 31, 2019, the Company reserved $3.5 million for the potential settlement of class action litigation concerning certain product label claims. During the fifty-two week period ended August 29, 2020, the Company reserved an additional $0.3 million. The reserve is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and Comprehensive Income and the reserve was fully paid into escrow and settled during the fifty-two week period ended August 29,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August 29, 2020, the Company had $1.3 million reserved for potential settlements, of which $1.2 million were acquired as part of the Acquisition of 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August 29, 2020 the Company will be required to make payments of $2.9 million over the next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Acquisition of Atkins, Conyers Park issued 13,416,667 public warrants and 6,700,000 private placement warrants. The Company assumed the Conyers Park equity warrants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4, 2018, the Company delivered a notice for the redemption (the “Redemption Notice”) of all of its public warrants that remained unexercised immediately after November 5, 2018. Exercises of public warrants following the Redemption Notice were required to be done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private placement warrants to purchase 6,700,000 shares of the Company’s common stock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fifty-two week period ended August 29, 2020, the Company did not repurchase any shares of common stock. During the fifty-three week period ended August 31, 2019, the Company repurchased 98,234 shares of common stock at an average share price of $21.83 per share. As of August 29, 2020, approximately $47.9 million remained available under the stock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earnings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per share:</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53-Weeks Ended</w:t>
            </w:r>
          </w:p>
        </w:tc>
        <w:tc>
          <w:tcPr>
            <w:tcW w:w="16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1"/>
              </w:rPr>
              <w:t>52-Weeks Ended</w:t>
            </w:r>
          </w:p>
        </w:tc>
      </w:tr>
      <w:tr>
        <w:trPr>
          <w:trHeight w:val="283"/>
        </w:trPr>
        <w:tc>
          <w:tcPr>
            <w:tcW w:w="5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6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25, 2018</w:t>
            </w:r>
          </w:p>
        </w:tc>
      </w:tr>
      <w:tr>
        <w:trPr>
          <w:trHeight w:val="33"/>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Net income available to common stock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70,455</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Denominator:</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Weighted average common shares - 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93,968,953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80,734,091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70,582,149</w:t>
            </w:r>
          </w:p>
        </w:tc>
      </w:tr>
      <w:tr>
        <w:trPr>
          <w:trHeight w:val="290"/>
        </w:trPr>
        <w:tc>
          <w:tcPr>
            <w:tcW w:w="52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Basic earnings per share from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per share computation:</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Net income available to common stock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70,455</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Denominator:</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Weighted 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93,968,953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80,734,091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70,582,149</w:t>
            </w:r>
          </w:p>
        </w:tc>
      </w:tr>
      <w:tr>
        <w:trPr>
          <w:trHeight w:val="237"/>
        </w:trPr>
        <w:tc>
          <w:tcPr>
            <w:tcW w:w="5260" w:type="dxa"/>
            <w:vAlign w:val="bottom"/>
            <w:gridSpan w:val="2"/>
          </w:tcPr>
          <w:p>
            <w:pPr>
              <w:ind w:left="480"/>
              <w:spacing w:after="0"/>
              <w:rPr>
                <w:sz w:val="20"/>
                <w:szCs w:val="20"/>
                <w:color w:val="auto"/>
              </w:rPr>
            </w:pPr>
            <w:r>
              <w:rPr>
                <w:rFonts w:ascii="Arial" w:cs="Arial" w:eastAsia="Arial" w:hAnsi="Arial"/>
                <w:sz w:val="16"/>
                <w:szCs w:val="16"/>
                <w:color w:val="auto"/>
              </w:rPr>
              <w:t>Public and private warrants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3,327,656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3,615,198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3,006,073</w:t>
            </w: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43,779</w:t>
            </w:r>
          </w:p>
        </w:tc>
      </w:tr>
      <w:tr>
        <w:trPr>
          <w:trHeight w:val="237"/>
        </w:trPr>
        <w:tc>
          <w:tcPr>
            <w:tcW w:w="5260" w:type="dxa"/>
            <w:vAlign w:val="bottom"/>
            <w:gridSpan w:val="2"/>
          </w:tcPr>
          <w:p>
            <w:pPr>
              <w:ind w:left="480"/>
              <w:spacing w:after="0"/>
              <w:rPr>
                <w:sz w:val="20"/>
                <w:szCs w:val="20"/>
                <w:color w:val="auto"/>
              </w:rPr>
            </w:pPr>
            <w:r>
              <w:rPr>
                <w:rFonts w:ascii="Arial" w:cs="Arial" w:eastAsia="Arial" w:hAnsi="Arial"/>
                <w:sz w:val="16"/>
                <w:szCs w:val="16"/>
                <w:color w:val="auto"/>
              </w:rPr>
              <w:t>Non-vested shares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92,920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49,354</w:t>
            </w:r>
          </w:p>
        </w:tc>
      </w:tr>
      <w:tr>
        <w:trPr>
          <w:trHeight w:val="33"/>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Weighted average common shares - diluted</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98,343,722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85,243,909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73,681,355</w:t>
            </w:r>
          </w:p>
        </w:tc>
      </w:tr>
      <w:tr>
        <w:trPr>
          <w:trHeight w:val="250"/>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Diluted earnings per share from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Earnings per share calculations for the fifty-two week period ended August 29, 2020, fifty-three week period ended August 31, 2019, and fifty-two week period ended August 25, 2018 excluded 0.6 million, 0.2 million and 0.2 million shares of stock options, respectively, that would have been anti-dilutive. An immaterial number of non-vested shares were excluded from earnings per share calculations for the fifty-two week period ended August 29, 2020, fifty-three week period ended August 31, 2019, and fifty-two week period ended August 25, 2018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Omnibus Incentive Plan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stock-based compensation expense of $7.6 million in the fifty-two week period ended August 29, 2020, $5.5 million in the fifty-three week period ended August 31, 2019, and $4.0 million in the fifty-two week period ended August 25, 2018</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29, 2020, there were 5.2 million shares available for grant under the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fifty-two week period ended August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remaining</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Weighted average</w:t>
            </w: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contractual life</w:t>
            </w:r>
          </w:p>
        </w:tc>
        <w:tc>
          <w:tcPr>
            <w:tcW w:w="18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w w:val="93"/>
              </w:rPr>
              <w:t>Aggregate intrinsic</w:t>
            </w:r>
          </w:p>
        </w:tc>
      </w:tr>
      <w:tr>
        <w:trPr>
          <w:trHeight w:val="206"/>
        </w:trPr>
        <w:tc>
          <w:tcPr>
            <w:tcW w:w="3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exercise price</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(in years)</w:t>
            </w:r>
          </w:p>
        </w:tc>
        <w:tc>
          <w:tcPr>
            <w:tcW w:w="180" w:type="dxa"/>
            <w:vAlign w:val="bottom"/>
          </w:tcPr>
          <w:p>
            <w:pPr>
              <w:spacing w:after="0"/>
              <w:rPr>
                <w:sz w:val="17"/>
                <w:szCs w:val="17"/>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color w:val="auto"/>
              </w:rPr>
              <w:t>value</w:t>
            </w:r>
          </w:p>
        </w:tc>
      </w:tr>
      <w:tr>
        <w:trPr>
          <w:trHeight w:val="33"/>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2,748,735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44,743</w:t>
            </w:r>
          </w:p>
        </w:tc>
      </w:tr>
      <w:tr>
        <w:trPr>
          <w:trHeight w:val="290"/>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tcPr>
          <w:p>
            <w:pPr>
              <w:jc w:val="right"/>
              <w:spacing w:after="0"/>
              <w:rPr>
                <w:sz w:val="20"/>
                <w:szCs w:val="20"/>
                <w:color w:val="auto"/>
              </w:rPr>
            </w:pPr>
            <w:r>
              <w:rPr>
                <w:rFonts w:ascii="Arial" w:cs="Arial" w:eastAsia="Arial" w:hAnsi="Arial"/>
                <w:sz w:val="16"/>
                <w:szCs w:val="16"/>
                <w:color w:val="auto"/>
              </w:rPr>
              <w:t>(340,382)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Outstanding as of August 29, 2020</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2,615,899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28,927</w:t>
            </w:r>
          </w:p>
        </w:tc>
      </w:tr>
      <w:tr>
        <w:trPr>
          <w:trHeight w:val="33"/>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91"/>
        </w:trPr>
        <w:tc>
          <w:tcPr>
            <w:tcW w:w="3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Vested and expected to vest as of August 29, 2020</w:t>
            </w:r>
          </w:p>
        </w:tc>
        <w:tc>
          <w:tcPr>
            <w:tcW w:w="1560" w:type="dxa"/>
            <w:vAlign w:val="bottom"/>
          </w:tcPr>
          <w:p>
            <w:pPr>
              <w:jc w:val="right"/>
              <w:spacing w:after="0"/>
              <w:rPr>
                <w:sz w:val="20"/>
                <w:szCs w:val="20"/>
                <w:color w:val="auto"/>
              </w:rPr>
            </w:pPr>
            <w:r>
              <w:rPr>
                <w:rFonts w:ascii="Arial" w:cs="Arial" w:eastAsia="Arial" w:hAnsi="Arial"/>
                <w:sz w:val="16"/>
                <w:szCs w:val="16"/>
                <w:color w:val="auto"/>
              </w:rPr>
              <w:t>2,615,899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28,927</w:t>
            </w:r>
          </w:p>
        </w:tc>
      </w:tr>
      <w:tr>
        <w:trPr>
          <w:trHeight w:val="33"/>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90"/>
        </w:trPr>
        <w:tc>
          <w:tcPr>
            <w:tcW w:w="3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Exercisable as of August 29, 2020</w:t>
            </w:r>
          </w:p>
        </w:tc>
        <w:tc>
          <w:tcPr>
            <w:tcW w:w="1560" w:type="dxa"/>
            <w:vAlign w:val="bottom"/>
          </w:tcPr>
          <w:p>
            <w:pPr>
              <w:jc w:val="right"/>
              <w:spacing w:after="0"/>
              <w:rPr>
                <w:sz w:val="20"/>
                <w:szCs w:val="20"/>
                <w:color w:val="auto"/>
              </w:rPr>
            </w:pPr>
            <w:r>
              <w:rPr>
                <w:rFonts w:ascii="Arial" w:cs="Arial" w:eastAsia="Arial" w:hAnsi="Arial"/>
                <w:sz w:val="16"/>
                <w:szCs w:val="16"/>
                <w:color w:val="auto"/>
              </w:rPr>
              <w:t>2,082,569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26,537</w:t>
            </w:r>
          </w:p>
        </w:tc>
      </w:tr>
      <w:tr>
        <w:trPr>
          <w:trHeight w:val="33"/>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at August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Weighted-Average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Remaining Life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w w:val="90"/>
              </w:rPr>
              <w:t>Weighted-Average</w:t>
            </w:r>
          </w:p>
        </w:tc>
      </w:tr>
      <w:tr>
        <w:trPr>
          <w:trHeight w:val="206"/>
        </w:trPr>
        <w:tc>
          <w:tcPr>
            <w:tcW w:w="160" w:type="dxa"/>
            <w:vAlign w:val="bottom"/>
          </w:tcPr>
          <w:p>
            <w:pPr>
              <w:spacing w:after="0"/>
              <w:rPr>
                <w:sz w:val="17"/>
                <w:szCs w:val="17"/>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color w:val="auto"/>
              </w:rPr>
              <w:t>Range of Exercise Prices</w:t>
            </w:r>
          </w:p>
        </w:tc>
        <w:tc>
          <w:tcPr>
            <w:tcW w:w="1640" w:type="dxa"/>
            <w:vAlign w:val="bottom"/>
            <w:gridSpan w:val="2"/>
          </w:tcPr>
          <w:p>
            <w:pPr>
              <w:ind w:left="80"/>
              <w:spacing w:after="0"/>
              <w:rPr>
                <w:sz w:val="20"/>
                <w:szCs w:val="20"/>
                <w:color w:val="auto"/>
              </w:rPr>
            </w:pPr>
            <w:r>
              <w:rPr>
                <w:rFonts w:ascii="Arial" w:cs="Arial" w:eastAsia="Arial" w:hAnsi="Arial"/>
                <w:sz w:val="16"/>
                <w:szCs w:val="16"/>
                <w:color w:val="auto"/>
              </w:rPr>
              <w:t>Number Outstanding</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(Years)</w:t>
            </w:r>
          </w:p>
        </w:tc>
        <w:tc>
          <w:tcPr>
            <w:tcW w:w="1620" w:type="dxa"/>
            <w:vAlign w:val="bottom"/>
            <w:gridSpan w:val="2"/>
          </w:tcPr>
          <w:p>
            <w:pPr>
              <w:ind w:left="100"/>
              <w:spacing w:after="0"/>
              <w:rPr>
                <w:sz w:val="20"/>
                <w:szCs w:val="20"/>
                <w:color w:val="auto"/>
              </w:rPr>
            </w:pPr>
            <w:r>
              <w:rPr>
                <w:rFonts w:ascii="Arial" w:cs="Arial" w:eastAsia="Arial" w:hAnsi="Arial"/>
                <w:sz w:val="16"/>
                <w:szCs w:val="16"/>
                <w:color w:val="auto"/>
              </w:rPr>
              <w:t>Number Exercisable</w:t>
            </w:r>
          </w:p>
        </w:tc>
        <w:tc>
          <w:tcPr>
            <w:tcW w:w="140" w:type="dxa"/>
            <w:vAlign w:val="bottom"/>
          </w:tcPr>
          <w:p>
            <w:pPr>
              <w:spacing w:after="0"/>
              <w:rPr>
                <w:sz w:val="17"/>
                <w:szCs w:val="17"/>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Exercise Price</w:t>
            </w:r>
          </w:p>
        </w:tc>
      </w:tr>
      <w:tr>
        <w:trPr>
          <w:trHeight w:val="33"/>
        </w:trPr>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0" w:type="dxa"/>
            <w:vAlign w:val="bottom"/>
            <w:shd w:val="clear" w:color="auto" w:fill="CCEEFF"/>
          </w:tcPr>
          <w:p>
            <w:pPr>
              <w:jc w:val="right"/>
              <w:ind w:right="359"/>
              <w:spacing w:after="0" w:line="250"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6"/>
                <w:szCs w:val="16"/>
                <w:color w:val="auto"/>
                <w:w w:val="97"/>
              </w:rPr>
              <w:t xml:space="preserve">  14.99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1,938,833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1,893,950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70"/>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w:t>
            </w:r>
          </w:p>
        </w:tc>
        <w:tc>
          <w:tcPr>
            <w:tcW w:w="1000" w:type="dxa"/>
            <w:vAlign w:val="bottom"/>
          </w:tcPr>
          <w:p>
            <w:pPr>
              <w:jc w:val="right"/>
              <w:ind w:right="359"/>
              <w:spacing w:after="0" w:line="270"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6"/>
                <w:szCs w:val="16"/>
                <w:color w:val="auto"/>
                <w:w w:val="97"/>
              </w:rPr>
              <w:t xml:space="preserve">  17.99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117,553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78,368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16.88</w:t>
            </w:r>
          </w:p>
        </w:tc>
      </w:tr>
      <w:tr>
        <w:trPr>
          <w:trHeight w:val="270"/>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0" w:type="dxa"/>
            <w:vAlign w:val="bottom"/>
            <w:shd w:val="clear" w:color="auto" w:fill="CCEEFF"/>
          </w:tcPr>
          <w:p>
            <w:pPr>
              <w:jc w:val="right"/>
              <w:ind w:right="359"/>
              <w:spacing w:after="0" w:line="270"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6"/>
                <w:szCs w:val="16"/>
                <w:color w:val="auto"/>
                <w:w w:val="97"/>
              </w:rPr>
              <w:t xml:space="preserve">  20.99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r>
      <w:tr>
        <w:trPr>
          <w:trHeight w:val="270"/>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21.00</w:t>
            </w:r>
          </w:p>
        </w:tc>
        <w:tc>
          <w:tcPr>
            <w:tcW w:w="1000" w:type="dxa"/>
            <w:vAlign w:val="bottom"/>
          </w:tcPr>
          <w:p>
            <w:pPr>
              <w:jc w:val="right"/>
              <w:ind w:right="359"/>
              <w:spacing w:after="0" w:line="270"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6"/>
                <w:szCs w:val="16"/>
                <w:color w:val="auto"/>
                <w:w w:val="97"/>
              </w:rPr>
              <w:t xml:space="preserve">  23.99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48,396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21.49</w:t>
            </w:r>
          </w:p>
        </w:tc>
      </w:tr>
      <w:tr>
        <w:trPr>
          <w:trHeight w:val="270"/>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0" w:type="dxa"/>
            <w:vAlign w:val="bottom"/>
            <w:shd w:val="clear" w:color="auto" w:fill="CCEEFF"/>
          </w:tcPr>
          <w:p>
            <w:pPr>
              <w:jc w:val="right"/>
              <w:ind w:right="359"/>
              <w:spacing w:after="0" w:line="270" w:lineRule="exact"/>
              <w:rPr>
                <w:sz w:val="20"/>
                <w:szCs w:val="20"/>
                <w:color w:val="auto"/>
              </w:rPr>
            </w:pPr>
            <w:r>
              <w:rPr>
                <w:rFonts w:ascii="Arial" w:cs="Arial" w:eastAsia="Arial" w:hAnsi="Arial"/>
                <w:sz w:val="28"/>
                <w:szCs w:val="28"/>
                <w:color w:val="auto"/>
                <w:w w:val="97"/>
                <w:vertAlign w:val="subscript"/>
              </w:rPr>
              <w:t>-</w:t>
            </w:r>
            <w:r>
              <w:rPr>
                <w:rFonts w:ascii="Arial" w:cs="Arial" w:eastAsia="Arial" w:hAnsi="Arial"/>
                <w:sz w:val="16"/>
                <w:szCs w:val="16"/>
                <w:color w:val="auto"/>
                <w:w w:val="97"/>
              </w:rPr>
              <w:t xml:space="preserve">  26.99</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217,652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r>
      <w:tr>
        <w:trPr>
          <w:trHeight w:val="217"/>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2,615,899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2,082,569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12.65</w:t>
            </w:r>
          </w:p>
        </w:tc>
      </w:tr>
      <w:tr>
        <w:trPr>
          <w:trHeight w:val="33"/>
        </w:trPr>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fair value of options granted during the fifty-two week period ended August 29, 2020, fifty-three week period ended August 31, 2019, and fifty-two week period ended August 25, 2018 were $7.79, $7.10 and $4.60, respectively.</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based on the following assumptions:</w:t>
      </w:r>
    </w:p>
    <w:p>
      <w:pPr>
        <w:spacing w:after="0" w:line="134" w:lineRule="exact"/>
        <w:rPr>
          <w:sz w:val="20"/>
          <w:szCs w:val="20"/>
          <w:color w:val="auto"/>
        </w:rPr>
      </w:pPr>
    </w:p>
    <w:tbl>
      <w:tblPr>
        <w:tblLayout w:type="fixed"/>
        <w:tblInd w:w="140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Arial" w:cs="Arial" w:eastAsia="Arial" w:hAnsi="Arial"/>
                <w:sz w:val="16"/>
                <w:szCs w:val="16"/>
                <w:color w:val="auto"/>
              </w:rPr>
              <w:t>52-Weeks Ended</w:t>
            </w:r>
          </w:p>
        </w:tc>
        <w:tc>
          <w:tcPr>
            <w:tcW w:w="1580" w:type="dxa"/>
            <w:vAlign w:val="bottom"/>
            <w:gridSpan w:val="2"/>
          </w:tcPr>
          <w:p>
            <w:pPr>
              <w:ind w:left="200"/>
              <w:spacing w:after="0"/>
              <w:rPr>
                <w:sz w:val="20"/>
                <w:szCs w:val="20"/>
                <w:color w:val="auto"/>
              </w:rPr>
            </w:pPr>
            <w:r>
              <w:rPr>
                <w:rFonts w:ascii="Arial" w:cs="Arial" w:eastAsia="Arial" w:hAnsi="Arial"/>
                <w:sz w:val="16"/>
                <w:szCs w:val="16"/>
                <w:color w:val="auto"/>
              </w:rPr>
              <w:t>53-Weeks Ended</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52-Weeks Ended</w:t>
            </w:r>
          </w:p>
        </w:tc>
      </w:tr>
      <w:tr>
        <w:trPr>
          <w:trHeight w:val="270"/>
        </w:trPr>
        <w:tc>
          <w:tcPr>
            <w:tcW w:w="3800" w:type="dxa"/>
            <w:vAlign w:val="bottom"/>
          </w:tcPr>
          <w:p>
            <w:pPr>
              <w:spacing w:after="0"/>
              <w:rPr>
                <w:sz w:val="23"/>
                <w:szCs w:val="23"/>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color w:val="auto"/>
              </w:rPr>
              <w:t>August 29, 2020</w:t>
            </w:r>
          </w:p>
        </w:tc>
        <w:tc>
          <w:tcPr>
            <w:tcW w:w="1580" w:type="dxa"/>
            <w:vAlign w:val="bottom"/>
            <w:gridSpan w:val="2"/>
          </w:tcPr>
          <w:p>
            <w:pPr>
              <w:ind w:left="200"/>
              <w:spacing w:after="0"/>
              <w:rPr>
                <w:sz w:val="20"/>
                <w:szCs w:val="20"/>
                <w:color w:val="auto"/>
              </w:rPr>
            </w:pPr>
            <w:r>
              <w:rPr>
                <w:rFonts w:ascii="Arial" w:cs="Arial" w:eastAsia="Arial" w:hAnsi="Arial"/>
                <w:sz w:val="16"/>
                <w:szCs w:val="16"/>
                <w:color w:val="auto"/>
              </w:rPr>
              <w:t>August 31, 2019</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August 25, 2018</w:t>
            </w:r>
          </w:p>
        </w:tc>
      </w:tr>
      <w:tr>
        <w:trPr>
          <w:trHeight w:val="33"/>
        </w:trPr>
        <w:tc>
          <w:tcPr>
            <w:tcW w:w="38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8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480" w:type="dxa"/>
            <w:vAlign w:val="bottom"/>
          </w:tcPr>
          <w:p>
            <w:pPr>
              <w:jc w:val="center"/>
              <w:spacing w:after="0" w:line="250" w:lineRule="exact"/>
              <w:rPr>
                <w:sz w:val="20"/>
                <w:szCs w:val="20"/>
                <w:color w:val="auto"/>
              </w:rPr>
            </w:pPr>
            <w:r>
              <w:rPr>
                <w:rFonts w:ascii="Arial" w:cs="Arial" w:eastAsia="Arial" w:hAnsi="Arial"/>
                <w:sz w:val="16"/>
                <w:szCs w:val="16"/>
                <w:color w:val="auto"/>
                <w:w w:val="95"/>
              </w:rPr>
              <w:t xml:space="preserve">30.27% </w:t>
            </w:r>
            <w:r>
              <w:rPr>
                <w:rFonts w:ascii="Arial" w:cs="Arial" w:eastAsia="Arial" w:hAnsi="Arial"/>
                <w:sz w:val="28"/>
                <w:szCs w:val="28"/>
                <w:color w:val="auto"/>
                <w:w w:val="95"/>
                <w:vertAlign w:val="subscript"/>
              </w:rPr>
              <w:t>-</w:t>
            </w:r>
            <w:r>
              <w:rPr>
                <w:rFonts w:ascii="Arial" w:cs="Arial" w:eastAsia="Arial" w:hAnsi="Arial"/>
                <w:sz w:val="16"/>
                <w:szCs w:val="16"/>
                <w:color w:val="auto"/>
                <w:w w:val="95"/>
              </w:rPr>
              <w:t xml:space="preserve"> 33.82%</w:t>
            </w:r>
          </w:p>
        </w:tc>
        <w:tc>
          <w:tcPr>
            <w:tcW w:w="100" w:type="dxa"/>
            <w:vAlign w:val="bottom"/>
          </w:tcPr>
          <w:p>
            <w:pPr>
              <w:spacing w:after="0"/>
              <w:rPr>
                <w:sz w:val="21"/>
                <w:szCs w:val="21"/>
                <w:color w:val="auto"/>
              </w:rPr>
            </w:pPr>
          </w:p>
        </w:tc>
        <w:tc>
          <w:tcPr>
            <w:tcW w:w="1480" w:type="dxa"/>
            <w:vAlign w:val="bottom"/>
          </w:tcPr>
          <w:p>
            <w:pPr>
              <w:jc w:val="center"/>
              <w:spacing w:after="0" w:line="250" w:lineRule="exact"/>
              <w:rPr>
                <w:sz w:val="20"/>
                <w:szCs w:val="20"/>
                <w:color w:val="auto"/>
              </w:rPr>
            </w:pPr>
            <w:r>
              <w:rPr>
                <w:rFonts w:ascii="Arial" w:cs="Arial" w:eastAsia="Arial" w:hAnsi="Arial"/>
                <w:sz w:val="16"/>
                <w:szCs w:val="16"/>
                <w:color w:val="auto"/>
                <w:w w:val="95"/>
              </w:rPr>
              <w:t xml:space="preserve">29.30% </w:t>
            </w:r>
            <w:r>
              <w:rPr>
                <w:rFonts w:ascii="Arial" w:cs="Arial" w:eastAsia="Arial" w:hAnsi="Arial"/>
                <w:sz w:val="28"/>
                <w:szCs w:val="28"/>
                <w:color w:val="auto"/>
                <w:w w:val="95"/>
                <w:vertAlign w:val="subscript"/>
              </w:rPr>
              <w:t>-</w:t>
            </w:r>
            <w:r>
              <w:rPr>
                <w:rFonts w:ascii="Arial" w:cs="Arial" w:eastAsia="Arial" w:hAnsi="Arial"/>
                <w:sz w:val="16"/>
                <w:szCs w:val="16"/>
                <w:color w:val="auto"/>
                <w:w w:val="95"/>
              </w:rPr>
              <w:t xml:space="preserve"> 32.09%</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26.72%</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99"/>
              </w:rPr>
              <w:t>- 27.50%</w:t>
            </w: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00" w:type="dxa"/>
            <w:vAlign w:val="bottom"/>
          </w:tcPr>
          <w:p>
            <w:pPr>
              <w:ind w:left="20"/>
              <w:spacing w:after="0"/>
              <w:rPr>
                <w:sz w:val="20"/>
                <w:szCs w:val="20"/>
                <w:color w:val="auto"/>
              </w:rPr>
            </w:pPr>
            <w:r>
              <w:rPr>
                <w:rFonts w:ascii="Arial" w:cs="Arial" w:eastAsia="Arial" w:hAnsi="Arial"/>
                <w:sz w:val="16"/>
                <w:szCs w:val="16"/>
                <w:color w:val="auto"/>
              </w:rPr>
              <w:t>Expected option term</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w:t>
            </w:r>
          </w:p>
        </w:tc>
      </w:tr>
      <w:tr>
        <w:trPr>
          <w:trHeight w:val="33"/>
        </w:trPr>
        <w:tc>
          <w:tcPr>
            <w:tcW w:w="3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rate of return</w:t>
            </w:r>
          </w:p>
        </w:tc>
        <w:tc>
          <w:tcPr>
            <w:tcW w:w="1480" w:type="dxa"/>
            <w:vAlign w:val="bottom"/>
            <w:shd w:val="clear" w:color="auto" w:fill="CCEEFF"/>
          </w:tcPr>
          <w:p>
            <w:pPr>
              <w:jc w:val="right"/>
              <w:ind w:right="219"/>
              <w:spacing w:after="0" w:line="270" w:lineRule="exact"/>
              <w:rPr>
                <w:sz w:val="20"/>
                <w:szCs w:val="20"/>
                <w:color w:val="auto"/>
              </w:rPr>
            </w:pPr>
            <w:r>
              <w:rPr>
                <w:rFonts w:ascii="Arial" w:cs="Arial" w:eastAsia="Arial" w:hAnsi="Arial"/>
                <w:sz w:val="16"/>
                <w:szCs w:val="16"/>
                <w:color w:val="auto"/>
              </w:rPr>
              <w:t xml:space="preserve">0.38% </w:t>
            </w:r>
            <w:r>
              <w:rPr>
                <w:rFonts w:ascii="Arial" w:cs="Arial" w:eastAsia="Arial" w:hAnsi="Arial"/>
                <w:sz w:val="28"/>
                <w:szCs w:val="28"/>
                <w:color w:val="auto"/>
                <w:vertAlign w:val="subscript"/>
              </w:rPr>
              <w:t>-</w:t>
            </w:r>
            <w:r>
              <w:rPr>
                <w:rFonts w:ascii="Arial" w:cs="Arial" w:eastAsia="Arial" w:hAnsi="Arial"/>
                <w:sz w:val="16"/>
                <w:szCs w:val="16"/>
                <w:color w:val="auto"/>
              </w:rPr>
              <w:t xml:space="preserve"> 1.8%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line="270" w:lineRule="exact"/>
              <w:rPr>
                <w:sz w:val="20"/>
                <w:szCs w:val="20"/>
                <w:color w:val="auto"/>
              </w:rPr>
            </w:pPr>
            <w:r>
              <w:rPr>
                <w:rFonts w:ascii="Arial" w:cs="Arial" w:eastAsia="Arial" w:hAnsi="Arial"/>
                <w:sz w:val="16"/>
                <w:szCs w:val="16"/>
                <w:color w:val="auto"/>
                <w:w w:val="96"/>
              </w:rPr>
              <w:t xml:space="preserve">1.82% </w:t>
            </w:r>
            <w:r>
              <w:rPr>
                <w:rFonts w:ascii="Arial" w:cs="Arial" w:eastAsia="Arial" w:hAnsi="Arial"/>
                <w:sz w:val="28"/>
                <w:szCs w:val="28"/>
                <w:color w:val="auto"/>
                <w:w w:val="96"/>
                <w:vertAlign w:val="subscript"/>
              </w:rPr>
              <w:t>-</w:t>
            </w:r>
            <w:r>
              <w:rPr>
                <w:rFonts w:ascii="Arial" w:cs="Arial" w:eastAsia="Arial" w:hAnsi="Arial"/>
                <w:sz w:val="16"/>
                <w:szCs w:val="16"/>
                <w:color w:val="auto"/>
                <w:w w:val="96"/>
              </w:rPr>
              <w:t xml:space="preserve"> 3.13%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- 2.79%</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Expected term is estimated using the simplified method, which takes into account vesting and contractual term. The simplified method is being used to calculate expected term instead of historical experience due to a lack of relevant historical data resulting from changes in option vesting schedules and changes in the pool of employees receiving option grants. Due to a lack of sufficient trading history for the Company's common stock, expected stock price volatility is based on a sampling of comparable publicly traded companies. The Company believes a sample of comparable publicly traded companies most closely models the nature of the business and stock price volatility. The risk-free rates are based on the implied yield available on U.S. Treasury zero-coupon issues with an equivalent remaining term. Future annual dividends over the expected term are estimated to be nil.</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August 29, 2020, $2.3 million of total unrecognized compensation cost related to stock option plans that will be recognized over a weighted average period of 1.6 years. During the fifty-two week period ended August 29, 2020, fifty-three week period ended August 31, 2019, and fifty-two week period ended August 25, 2018, the Company received $4.2 million, $0.7 million, and $0.1 million in cash from stock option exercises, respectively.</w:t>
      </w:r>
    </w:p>
    <w:p>
      <w:pPr>
        <w:sectPr>
          <w:pgSz w:w="11900" w:h="16838" w:orient="portrait"/>
          <w:cols w:equalWidth="0" w:num="1">
            <w:col w:w="11240"/>
          </w:cols>
          <w:pgMar w:left="320" w:top="125"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activity for the fifty-two week period ended August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w w:val="90"/>
              </w:rPr>
              <w:t>Weighted average</w:t>
            </w:r>
          </w:p>
        </w:tc>
      </w:tr>
      <w:tr>
        <w:trPr>
          <w:trHeight w:val="206"/>
        </w:trPr>
        <w:tc>
          <w:tcPr>
            <w:tcW w:w="6860" w:type="dxa"/>
            <w:vAlign w:val="bottom"/>
          </w:tcPr>
          <w:p>
            <w:pPr>
              <w:spacing w:after="0"/>
              <w:rPr>
                <w:sz w:val="17"/>
                <w:szCs w:val="17"/>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w w:val="96"/>
              </w:rPr>
              <w:t>grant-date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23.17</w:t>
            </w:r>
          </w:p>
        </w:tc>
      </w:tr>
      <w:tr>
        <w:trPr>
          <w:trHeight w:val="33"/>
        </w:trPr>
        <w:tc>
          <w:tcPr>
            <w:tcW w:w="6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r>
      <w:tr>
        <w:trPr>
          <w:trHeight w:val="237"/>
        </w:trPr>
        <w:tc>
          <w:tcPr>
            <w:tcW w:w="68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Pr>
          <w:p>
            <w:pPr>
              <w:jc w:val="right"/>
              <w:spacing w:after="0"/>
              <w:rPr>
                <w:sz w:val="20"/>
                <w:szCs w:val="20"/>
                <w:color w:val="auto"/>
              </w:rPr>
            </w:pPr>
            <w:r>
              <w:rPr>
                <w:rFonts w:ascii="Arial" w:cs="Arial" w:eastAsia="Arial" w:hAnsi="Arial"/>
                <w:sz w:val="16"/>
                <w:szCs w:val="16"/>
                <w:color w:val="auto"/>
              </w:rPr>
              <w:t>(10,556)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19.45</w:t>
            </w:r>
          </w:p>
        </w:tc>
      </w:tr>
      <w:tr>
        <w:trPr>
          <w:trHeight w:val="33"/>
        </w:trPr>
        <w:tc>
          <w:tcPr>
            <w:tcW w:w="6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20"/>
        </w:trPr>
        <w:tc>
          <w:tcPr>
            <w:tcW w:w="68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August 29, 2020, the Company had $3.0 million of total unrecognized compensation cost related to restricted stock units that will be recognized over a weighted average period of 1.9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fifty-two week period ended August 29, 2020, the Board of Directors granted performance stock units under the Company's equity compensation plan. Performance stock units vest in a range between 0% and 200% based upon certain performance criteria over a period of three years. Performance stock units were valued using a Monte-Carlo simulation.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stock unit activity for the fifty-two week period ended August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2"/>
        </w:trPr>
        <w:tc>
          <w:tcPr>
            <w:tcW w:w="6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w w:val="90"/>
              </w:rPr>
              <w:t>Weighted average</w:t>
            </w:r>
          </w:p>
        </w:tc>
      </w:tr>
      <w:tr>
        <w:trPr>
          <w:trHeight w:val="206"/>
        </w:trPr>
        <w:tc>
          <w:tcPr>
            <w:tcW w:w="6860" w:type="dxa"/>
            <w:vAlign w:val="bottom"/>
          </w:tcPr>
          <w:p>
            <w:pPr>
              <w:spacing w:after="0"/>
              <w:rPr>
                <w:sz w:val="17"/>
                <w:szCs w:val="17"/>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w w:val="96"/>
              </w:rPr>
              <w:t>grant-date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33"/>
        </w:trPr>
        <w:tc>
          <w:tcPr>
            <w:tcW w:w="6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Pr>
          <w:p>
            <w:pPr>
              <w:jc w:val="right"/>
              <w:spacing w:after="0"/>
              <w:rPr>
                <w:sz w:val="20"/>
                <w:szCs w:val="20"/>
                <w:color w:val="auto"/>
              </w:rPr>
            </w:pPr>
            <w:r>
              <w:rPr>
                <w:rFonts w:ascii="Arial" w:cs="Arial" w:eastAsia="Arial" w:hAnsi="Arial"/>
                <w:sz w:val="16"/>
                <w:szCs w:val="16"/>
                <w:color w:val="auto"/>
              </w:rPr>
              <w:t>(18,421)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17.62</w:t>
            </w:r>
          </w:p>
        </w:tc>
      </w:tr>
      <w:tr>
        <w:trPr>
          <w:trHeight w:val="33"/>
        </w:trPr>
        <w:tc>
          <w:tcPr>
            <w:tcW w:w="68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r>
      <w:tr>
        <w:trPr>
          <w:trHeight w:val="20"/>
        </w:trPr>
        <w:tc>
          <w:tcPr>
            <w:tcW w:w="68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August 29, 2020, the Company had $3.2 million of total unrecognized compensation cost related to performance stock units that will be recognized over a weighted average period of 1.6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its common stock once the applicable vesting criteria has been met. SARs cliff vest three years from the date of grant and must be exercised within ten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fifty-two week period ended August 29, 2020:</w:t>
      </w:r>
    </w:p>
    <w:p>
      <w:pPr>
        <w:spacing w:after="0" w:line="392"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r>
      <w:tr>
        <w:trPr>
          <w:trHeight w:val="203"/>
        </w:trPr>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1"/>
              </w:rPr>
              <w:t>remaining</w:t>
            </w:r>
          </w:p>
        </w:tc>
      </w:tr>
      <w:tr>
        <w:trPr>
          <w:trHeight w:val="202"/>
        </w:trPr>
        <w:tc>
          <w:tcPr>
            <w:tcW w:w="3740" w:type="dxa"/>
            <w:vAlign w:val="bottom"/>
          </w:tcPr>
          <w:p>
            <w:pPr>
              <w:spacing w:after="0"/>
              <w:rPr>
                <w:sz w:val="17"/>
                <w:szCs w:val="17"/>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Shares Underlying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Weighted average</w:t>
            </w:r>
          </w:p>
        </w:tc>
        <w:tc>
          <w:tcPr>
            <w:tcW w:w="1420" w:type="dxa"/>
            <w:vAlign w:val="bottom"/>
          </w:tcPr>
          <w:p>
            <w:pPr>
              <w:jc w:val="center"/>
              <w:spacing w:after="0"/>
              <w:rPr>
                <w:sz w:val="20"/>
                <w:szCs w:val="20"/>
                <w:color w:val="auto"/>
              </w:rPr>
            </w:pPr>
            <w:r>
              <w:rPr>
                <w:rFonts w:ascii="Arial" w:cs="Arial" w:eastAsia="Arial" w:hAnsi="Arial"/>
                <w:sz w:val="16"/>
                <w:szCs w:val="16"/>
                <w:color w:val="auto"/>
                <w:w w:val="95"/>
              </w:rPr>
              <w:t>contractual life (in</w:t>
            </w:r>
          </w:p>
        </w:tc>
      </w:tr>
      <w:tr>
        <w:trPr>
          <w:trHeight w:val="206"/>
        </w:trPr>
        <w:tc>
          <w:tcPr>
            <w:tcW w:w="374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SARs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exercise price</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years)</w:t>
            </w:r>
          </w:p>
        </w:tc>
      </w:tr>
      <w:tr>
        <w:trPr>
          <w:trHeight w:val="33"/>
        </w:trPr>
        <w:tc>
          <w:tcPr>
            <w:tcW w:w="3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spacing w:after="0"/>
              <w:rPr>
                <w:sz w:val="22"/>
                <w:szCs w:val="22"/>
                <w:color w:val="auto"/>
              </w:rPr>
            </w:pPr>
          </w:p>
        </w:tc>
      </w:tr>
      <w:tr>
        <w:trPr>
          <w:trHeight w:val="217"/>
        </w:trPr>
        <w:tc>
          <w:tcPr>
            <w:tcW w:w="37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20"/>
                <w:szCs w:val="20"/>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318"/>
        </w:trPr>
        <w:tc>
          <w:tcPr>
            <w:tcW w:w="37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August 29, 2020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318"/>
        </w:trPr>
        <w:tc>
          <w:tcPr>
            <w:tcW w:w="37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August 29, 2020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20"/>
        </w:trPr>
        <w:tc>
          <w:tcPr>
            <w:tcW w:w="37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898"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25" w:right="339" w:bottom="898"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August 29, 2020, the Company had $0.3 million of total unrecognized compensation cost related to its SARs that will be recognized over a weighted average period of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fifty-three week period ended August 31, 2019, the Company entered into the Termination Agreement, pursuant to which, the Company paid $26.5 million to settle the TRA (the “Termination Payment”), which provided former stockholders of Atkins with payments for federal, state, local and non-U.S. tax benefits deemed realized by the Company.</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Termination Agreement, each of the parties thereto agreed to terminate the TRA and to release and discharge any and all obligations and liabilities of the other parties thereunder effective as of the exchange agent’s receipt of the Termination Payment. Richard Laube, a former director of the Company, Joseph Scalzo, President and Chief Executive Officer and a director of the Company, and Scott Parker, Chief Marketing Officer, were each former stockholders of Atkins and received their respective pro rata share of the Termination Payment as additional consideration for their former stock ownership in accordance with the terms of the Merger Agreement. The TRA liability and subsequent settlement are discussed in Note 10,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 Working Capital Adjustment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fiscal 2018, pursuant to the terms of the Merger Agreement, Simply Good Foods paid a working capital adjustment of $1.8 million to the former owners of Atkins, which resulted in an increase to the previously recognized goodwill.</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Customer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ind w:right="20" w:firstLine="8"/>
        <w:spacing w:after="0" w:line="260"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Reconciliations of the totals of reported segment revenue, profit or loss measurement, assets and other significant items reported by segment to the corresponding GAAP totals is not applicable to the Company as it only has one reportable segment. Additionally, revenues from transactions with external customers for each of Simply Good Foods’ products would be impracticable to disclose and management does not view its business by product line. The following is a summary of revenue disaggregated by geographic area and brand: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53-Weeks Ended</w:t>
            </w:r>
          </w:p>
        </w:tc>
        <w:tc>
          <w:tcPr>
            <w:tcW w:w="16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1"/>
              </w:rPr>
              <w:t>52-Weeks Ended</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August 31, 2019</w:t>
            </w:r>
          </w:p>
        </w:tc>
        <w:tc>
          <w:tcPr>
            <w:tcW w:w="16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25, 2018</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405,055</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26,374</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Atkins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523,383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431,429</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5260" w:type="dxa"/>
            <w:vAlign w:val="bottom"/>
            <w:gridSpan w:val="2"/>
          </w:tcPr>
          <w:p>
            <w:pPr>
              <w:ind w:left="160"/>
              <w:spacing w:after="0"/>
              <w:rPr>
                <w:sz w:val="20"/>
                <w:szCs w:val="20"/>
                <w:color w:val="auto"/>
              </w:rPr>
            </w:pPr>
            <w:r>
              <w:rPr>
                <w:rFonts w:ascii="Arial" w:cs="Arial" w:eastAsia="Arial" w:hAnsi="Arial"/>
                <w:sz w:val="16"/>
                <w:szCs w:val="16"/>
                <w:color w:val="auto"/>
              </w:rPr>
              <w:t>Quest</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286,803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431,429</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6"/>
                <w:szCs w:val="16"/>
                <w:color w:val="auto"/>
              </w:rPr>
              <w:t>(1) Quest net sales are primarily in North America.</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long lived assets by geographic area:</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47"/>
        </w:trPr>
        <w:tc>
          <w:tcPr>
            <w:tcW w:w="6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w w:val="94"/>
              </w:rPr>
              <w:t>August 31, 2019</w:t>
            </w:r>
          </w:p>
        </w:tc>
      </w:tr>
      <w:tr>
        <w:trPr>
          <w:trHeight w:val="24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lived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160"/>
              <w:spacing w:after="0"/>
              <w:rPr>
                <w:sz w:val="20"/>
                <w:szCs w:val="20"/>
                <w:color w:val="auto"/>
              </w:rPr>
            </w:pPr>
            <w:r>
              <w:rPr>
                <w:rFonts w:ascii="Arial" w:cs="Arial" w:eastAsia="Arial" w:hAnsi="Arial"/>
                <w:sz w:val="16"/>
                <w:szCs w:val="16"/>
                <w:color w:val="auto"/>
              </w:rPr>
              <w:t>North America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11,841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2,437</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44"/>
        </w:trPr>
        <w:tc>
          <w:tcPr>
            <w:tcW w:w="6900" w:type="dxa"/>
            <w:vAlign w:val="bottom"/>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of Quest, the Company's exposure to credit risk concentrated in one customer was reduced during 2020. Credit risk for the Company was concentrated in two customers who comprised more than 10% of the Company’s total sales for the fifty-two week period ended August 29, 2020. For the fifty-three week period ended August 31, 2019 and the fifty-two week period ended August 25, 2018, credit risk for the Company was concentrated in one customer who comprised more than 10% of the Company’s total sales.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color w:val="auto"/>
              </w:rPr>
              <w:t>52-Weeks Ended</w:t>
            </w:r>
          </w:p>
        </w:tc>
        <w:tc>
          <w:tcPr>
            <w:tcW w:w="1660" w:type="dxa"/>
            <w:vAlign w:val="bottom"/>
            <w:gridSpan w:val="2"/>
          </w:tcPr>
          <w:p>
            <w:pPr>
              <w:ind w:left="220"/>
              <w:spacing w:after="0"/>
              <w:rPr>
                <w:sz w:val="20"/>
                <w:szCs w:val="20"/>
                <w:color w:val="auto"/>
              </w:rPr>
            </w:pPr>
            <w:r>
              <w:rPr>
                <w:rFonts w:ascii="Arial" w:cs="Arial" w:eastAsia="Arial" w:hAnsi="Arial"/>
                <w:sz w:val="16"/>
                <w:szCs w:val="16"/>
                <w:color w:val="auto"/>
              </w:rPr>
              <w:t>53-Weeks Ended</w:t>
            </w:r>
          </w:p>
        </w:tc>
        <w:tc>
          <w:tcPr>
            <w:tcW w:w="1540" w:type="dxa"/>
            <w:vAlign w:val="bottom"/>
          </w:tcPr>
          <w:p>
            <w:pPr>
              <w:ind w:left="220"/>
              <w:spacing w:after="0"/>
              <w:rPr>
                <w:sz w:val="20"/>
                <w:szCs w:val="20"/>
                <w:color w:val="auto"/>
              </w:rPr>
            </w:pPr>
            <w:r>
              <w:rPr>
                <w:rFonts w:ascii="Arial" w:cs="Arial" w:eastAsia="Arial" w:hAnsi="Arial"/>
                <w:sz w:val="16"/>
                <w:szCs w:val="16"/>
                <w:color w:val="auto"/>
              </w:rPr>
              <w:t>52-Weeks Ended</w:t>
            </w:r>
          </w:p>
        </w:tc>
      </w:tr>
      <w:tr>
        <w:trPr>
          <w:trHeight w:val="270"/>
        </w:trPr>
        <w:tc>
          <w:tcPr>
            <w:tcW w:w="6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color w:val="auto"/>
              </w:rPr>
              <w:t>August 29, 2020</w:t>
            </w:r>
          </w:p>
        </w:tc>
        <w:tc>
          <w:tcPr>
            <w:tcW w:w="1660" w:type="dxa"/>
            <w:vAlign w:val="bottom"/>
            <w:gridSpan w:val="2"/>
          </w:tcPr>
          <w:p>
            <w:pPr>
              <w:ind w:left="240"/>
              <w:spacing w:after="0"/>
              <w:rPr>
                <w:sz w:val="20"/>
                <w:szCs w:val="20"/>
                <w:color w:val="auto"/>
              </w:rPr>
            </w:pPr>
            <w:r>
              <w:rPr>
                <w:rFonts w:ascii="Arial" w:cs="Arial" w:eastAsia="Arial" w:hAnsi="Arial"/>
                <w:sz w:val="16"/>
                <w:szCs w:val="16"/>
                <w:color w:val="auto"/>
              </w:rPr>
              <w:t>August 31, 2019</w:t>
            </w:r>
          </w:p>
        </w:tc>
        <w:tc>
          <w:tcPr>
            <w:tcW w:w="1540" w:type="dxa"/>
            <w:vAlign w:val="bottom"/>
          </w:tcPr>
          <w:p>
            <w:pPr>
              <w:ind w:left="220"/>
              <w:spacing w:after="0"/>
              <w:rPr>
                <w:sz w:val="20"/>
                <w:szCs w:val="20"/>
                <w:color w:val="auto"/>
              </w:rPr>
            </w:pPr>
            <w:r>
              <w:rPr>
                <w:rFonts w:ascii="Arial" w:cs="Arial" w:eastAsia="Arial" w:hAnsi="Arial"/>
                <w:sz w:val="16"/>
                <w:szCs w:val="16"/>
                <w:color w:val="auto"/>
              </w:rPr>
              <w:t>August 25, 2018</w:t>
            </w:r>
          </w:p>
        </w:tc>
      </w:tr>
      <w:tr>
        <w:trPr>
          <w:trHeight w:val="33"/>
        </w:trPr>
        <w:tc>
          <w:tcPr>
            <w:tcW w:w="62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2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Customer 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6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Customer 2</w:t>
            </w: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6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540" w:type="dxa"/>
            <w:vAlign w:val="bottom"/>
          </w:tcPr>
          <w:p>
            <w:pPr>
              <w:ind w:left="1180"/>
              <w:spacing w:after="0"/>
              <w:rPr>
                <w:sz w:val="20"/>
                <w:szCs w:val="20"/>
                <w:color w:val="auto"/>
              </w:rPr>
            </w:pPr>
            <w:r>
              <w:rPr>
                <w:rFonts w:ascii="Arial" w:cs="Arial" w:eastAsia="Arial" w:hAnsi="Arial"/>
                <w:sz w:val="16"/>
                <w:szCs w:val="16"/>
                <w:color w:val="auto"/>
              </w:rPr>
              <w:t>n/a</w:t>
            </w:r>
          </w:p>
        </w:tc>
      </w:tr>
      <w:tr>
        <w:trPr>
          <w:trHeight w:val="229"/>
        </w:trPr>
        <w:tc>
          <w:tcPr>
            <w:tcW w:w="5800" w:type="dxa"/>
            <w:vAlign w:val="bottom"/>
            <w:gridSpan w:val="2"/>
          </w:tcPr>
          <w:p>
            <w:pPr>
              <w:spacing w:after="0"/>
              <w:rPr>
                <w:sz w:val="20"/>
                <w:szCs w:val="20"/>
                <w:color w:val="auto"/>
              </w:rPr>
            </w:pPr>
            <w:r>
              <w:rPr>
                <w:rFonts w:ascii="Arial" w:cs="Arial" w:eastAsia="Arial" w:hAnsi="Arial"/>
                <w:sz w:val="16"/>
                <w:szCs w:val="16"/>
                <w:color w:val="auto"/>
              </w:rPr>
              <w:t>n/a - Not applicable as the customer was not significant during these fiscal years.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August 29, 2020 and August 31, 2019, the following amounts of the Company’s accounts receivable, net were related to these significant customers for the periods in which the customers were significant:</w:t>
      </w:r>
    </w:p>
    <w:p>
      <w:pPr>
        <w:spacing w:after="0" w:line="121" w:lineRule="exact"/>
        <w:rPr>
          <w:sz w:val="20"/>
          <w:szCs w:val="20"/>
          <w:color w:val="auto"/>
        </w:rPr>
      </w:pPr>
    </w:p>
    <w:tbl>
      <w:tblPr>
        <w:tblLayout w:type="fixed"/>
        <w:tblInd w:w="620" w:type="dxa"/>
        <w:tblCellMar>
          <w:top w:w="0" w:type="dxa"/>
          <w:left w:w="0" w:type="dxa"/>
          <w:bottom w:w="0" w:type="dxa"/>
          <w:right w:w="0" w:type="dxa"/>
        </w:tblCellMar>
      </w:tblPr>
      <w:tr>
        <w:trPr>
          <w:trHeight w:val="247"/>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color w:val="auto"/>
              </w:rPr>
              <w:t>August 29, 2020</w:t>
            </w:r>
          </w:p>
        </w:tc>
        <w:tc>
          <w:tcPr>
            <w:tcW w:w="180" w:type="dxa"/>
            <w:vAlign w:val="bottom"/>
          </w:tcPr>
          <w:p>
            <w:pPr>
              <w:spacing w:after="0"/>
              <w:rPr>
                <w:sz w:val="21"/>
                <w:szCs w:val="21"/>
                <w:color w:val="auto"/>
              </w:rPr>
            </w:pP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w w:val="97"/>
              </w:rPr>
              <w:t>August 31, 2019</w:t>
            </w:r>
          </w:p>
        </w:tc>
      </w:tr>
      <w:tr>
        <w:trPr>
          <w:trHeight w:val="250"/>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34,411</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17,386</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6760" w:type="dxa"/>
            <w:vAlign w:val="bottom"/>
          </w:tcPr>
          <w:p>
            <w:pPr>
              <w:ind w:left="20"/>
              <w:spacing w:after="0"/>
              <w:rPr>
                <w:sz w:val="20"/>
                <w:szCs w:val="20"/>
                <w:color w:val="auto"/>
              </w:rPr>
            </w:pPr>
            <w:r>
              <w:rPr>
                <w:rFonts w:ascii="Arial" w:cs="Arial" w:eastAsia="Arial" w:hAnsi="Arial"/>
                <w:sz w:val="16"/>
                <w:szCs w:val="16"/>
                <w:color w:val="auto"/>
              </w:rPr>
              <w:t>Customer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12,345</w:t>
            </w: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n/a</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n/a</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 - Not applicable as the customer was not significant as of this date.</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other customers of the Company accounted for more than 10% of sales during these periods. The Company generally does not require collateral from its customers and has not incurred any significant losses on uncollectible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and Related Charges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2020, the Company announced certain restructuring activities in conjunction with the implementation of the Company’s future-state organization design, which creates a fully integrated organization with its completed Acquisition of Quest. The new organization design became effective on August 31, 2020. These restructuring plans primarily include workforce reductions and changes in management structure.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the fifty-two week period ended August 29, 2020, the Company incurred $5.5 million of costs for these restructuring activities which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Overall, the Company expects to incur a total of approximately $8.1 million in restructuring costs, including the $5.5 million referenced above. The one-time termination benefits and employee severance costs are to be paid throughout fiscal 2021 and the first quarter of fiscal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to the restructuring liability during the fifty-two week period ended August 29, 2020 were as follows:</w:t>
      </w:r>
    </w:p>
    <w:p>
      <w:pPr>
        <w:spacing w:after="0" w:line="39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Termination benefits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Restructuring</w:t>
            </w:r>
          </w:p>
        </w:tc>
      </w:tr>
      <w:tr>
        <w:trPr>
          <w:trHeight w:val="206"/>
        </w:trPr>
        <w:tc>
          <w:tcPr>
            <w:tcW w:w="51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color w:val="auto"/>
                <w:w w:val="87"/>
              </w:rPr>
              <w:t>and severance</w:t>
            </w:r>
          </w:p>
        </w:tc>
        <w:tc>
          <w:tcPr>
            <w:tcW w:w="34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Liability</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5,527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Non-cash settlements or adjustments</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right="7920" w:hanging="652"/>
        <w:spacing w:after="0" w:line="542" w:lineRule="auto"/>
        <w:tabs>
          <w:tab w:leader="none" w:pos="28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Unaudited Quarterly Financial Data </w:t>
      </w:r>
      <w:r>
        <w:rPr>
          <w:rFonts w:ascii="Arial" w:cs="Arial" w:eastAsia="Arial" w:hAnsi="Arial"/>
          <w:sz w:val="16"/>
          <w:szCs w:val="16"/>
          <w:color w:val="auto"/>
        </w:rPr>
        <w:t>Summarized quarterly financial data:</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13-Weeks Ended</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13-Weeks Ended</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13-Weeks Ended</w:t>
            </w:r>
          </w:p>
        </w:tc>
        <w:tc>
          <w:tcPr>
            <w:tcW w:w="14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color w:val="auto"/>
                <w:w w:val="89"/>
              </w:rPr>
              <w:t>13-Weeks Ended</w:t>
            </w:r>
          </w:p>
        </w:tc>
      </w:tr>
      <w:tr>
        <w:trPr>
          <w:trHeight w:val="297"/>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w w:val="94"/>
              </w:rPr>
              <w:t>(In thousands, except per share amounts)</w:t>
            </w:r>
          </w:p>
        </w:tc>
        <w:tc>
          <w:tcPr>
            <w:tcW w:w="2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August 29, 2020</w:t>
            </w: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May 30, 2020</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February 29, 2020</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2"/>
              </w:rPr>
              <w:t>November 30, 2019</w:t>
            </w:r>
          </w:p>
        </w:tc>
      </w:tr>
      <w:tr>
        <w:trPr>
          <w:trHeight w:val="236"/>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152,153</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324,328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88,102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88,626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85,394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62,206</w:t>
            </w: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(4,793)</w:t>
            </w: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2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w w:val="95"/>
              </w:rPr>
              <w:t>Earnings per share from net income: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37"/>
        </w:trPr>
        <w:tc>
          <w:tcPr>
            <w:tcW w:w="25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392"/>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53-Weeks Ended</w:t>
            </w: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14-Weeks Ended</w:t>
            </w: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13-Weeks Ended</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13-Weeks Ended</w:t>
            </w:r>
          </w:p>
        </w:tc>
        <w:tc>
          <w:tcPr>
            <w:tcW w:w="14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color w:val="auto"/>
                <w:w w:val="89"/>
              </w:rPr>
              <w:t>13-Weeks Ended</w:t>
            </w:r>
          </w:p>
        </w:tc>
      </w:tr>
      <w:tr>
        <w:trPr>
          <w:trHeight w:val="311"/>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w w:val="94"/>
              </w:rPr>
              <w:t>(In thousands, except per share amounts)</w:t>
            </w:r>
          </w:p>
        </w:tc>
        <w:tc>
          <w:tcPr>
            <w:tcW w:w="2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August 31, 2019</w:t>
            </w: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August 31, 2019</w:t>
            </w: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May 25, 2019</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February 23, 2019</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2"/>
              </w:rPr>
              <w:t>November 24, 2018</w:t>
            </w:r>
          </w:p>
        </w:tc>
      </w:tr>
      <w:tr>
        <w:trPr>
          <w:trHeight w:val="236"/>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523,383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120,931</w:t>
            </w:r>
          </w:p>
        </w:tc>
      </w:tr>
      <w:tr>
        <w:trPr>
          <w:trHeight w:val="270"/>
        </w:trPr>
        <w:tc>
          <w:tcPr>
            <w:tcW w:w="2500" w:type="dxa"/>
            <w:vAlign w:val="bottom"/>
          </w:tcPr>
          <w:p>
            <w:pPr>
              <w:ind w:left="2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217,405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59,173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56,657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49,655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51,920</w:t>
            </w: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21,182</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47,536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15,257</w:t>
            </w: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2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w w:val="95"/>
              </w:rPr>
              <w:t>Earnings per share from net income: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37"/>
        </w:trPr>
        <w:tc>
          <w:tcPr>
            <w:tcW w:w="25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0.18</w:t>
            </w:r>
          </w:p>
        </w:tc>
      </w:tr>
    </w:tbl>
    <w:p>
      <w:pPr>
        <w:spacing w:after="0" w:line="200" w:lineRule="exact"/>
        <w:rPr>
          <w:sz w:val="20"/>
          <w:szCs w:val="20"/>
          <w:color w:val="auto"/>
        </w:rPr>
      </w:pPr>
    </w:p>
    <w:p>
      <w:pPr>
        <w:spacing w:after="0" w:line="201" w:lineRule="exact"/>
        <w:rPr>
          <w:sz w:val="20"/>
          <w:szCs w:val="20"/>
          <w:color w:val="auto"/>
        </w:rPr>
      </w:pPr>
    </w:p>
    <w:p>
      <w:pPr>
        <w:jc w:val="both"/>
        <w:ind w:left="500" w:right="40" w:hanging="418"/>
        <w:spacing w:after="0" w:line="293"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During the fifty-three weeks period ended August 31, 2019, certain reclassifications were made to previously reported amounts to conform to the current presentation. On the consolidated statement of operations, inbound freight previously included in Distribution, distribution center expenses previously included in </w:t>
      </w:r>
      <w:r>
        <w:rPr>
          <w:rFonts w:ascii="Arial" w:cs="Arial" w:eastAsia="Arial" w:hAnsi="Arial"/>
          <w:sz w:val="15"/>
          <w:szCs w:val="15"/>
          <w:i w:val="1"/>
          <w:iCs w:val="1"/>
          <w:color w:val="auto"/>
        </w:rPr>
        <w:t>General and administrative</w:t>
      </w:r>
      <w:r>
        <w:rPr>
          <w:rFonts w:ascii="Arial" w:cs="Arial" w:eastAsia="Arial" w:hAnsi="Arial"/>
          <w:sz w:val="15"/>
          <w:szCs w:val="15"/>
          <w:color w:val="auto"/>
        </w:rPr>
        <w:t>, and depreciation for equipment used in warehouse operations were reclassified to</w:t>
      </w:r>
      <w:r>
        <w:rPr>
          <w:rFonts w:ascii="Arial" w:cs="Arial" w:eastAsia="Arial" w:hAnsi="Arial"/>
          <w:sz w:val="15"/>
          <w:szCs w:val="15"/>
          <w:i w:val="1"/>
          <w:iCs w:val="1"/>
          <w:color w:val="auto"/>
        </w:rPr>
        <w:t xml:space="preserve"> Cost of goods sold</w:t>
      </w:r>
      <w:r>
        <w:rPr>
          <w:rFonts w:ascii="Arial" w:cs="Arial" w:eastAsia="Arial" w:hAnsi="Arial"/>
          <w:sz w:val="15"/>
          <w:szCs w:val="15"/>
          <w:color w:val="auto"/>
        </w:rPr>
        <w:t>. Including these expenses in</w:t>
      </w:r>
      <w:r>
        <w:rPr>
          <w:rFonts w:ascii="Arial" w:cs="Arial" w:eastAsia="Arial" w:hAnsi="Arial"/>
          <w:sz w:val="15"/>
          <w:szCs w:val="15"/>
          <w:i w:val="1"/>
          <w:iCs w:val="1"/>
          <w:color w:val="auto"/>
        </w:rPr>
        <w:t xml:space="preserve"> Cost of goods sold </w:t>
      </w:r>
      <w:r>
        <w:rPr>
          <w:rFonts w:ascii="Arial" w:cs="Arial" w:eastAsia="Arial" w:hAnsi="Arial"/>
          <w:sz w:val="15"/>
          <w:szCs w:val="15"/>
          <w:color w:val="auto"/>
        </w:rPr>
        <w:t>better aligned costs with the related revenue. As a result, the first three quarters of fiscal year 2019 have been adjusted on a retrospective basis to</w:t>
      </w:r>
      <w:r>
        <w:rPr>
          <w:rFonts w:ascii="Arial" w:cs="Arial" w:eastAsia="Arial" w:hAnsi="Arial"/>
          <w:sz w:val="15"/>
          <w:szCs w:val="15"/>
          <w:i w:val="1"/>
          <w:iCs w:val="1"/>
          <w:color w:val="auto"/>
        </w:rPr>
        <w:t xml:space="preserve"> </w:t>
      </w:r>
      <w:r>
        <w:rPr>
          <w:rFonts w:ascii="Arial" w:cs="Arial" w:eastAsia="Arial" w:hAnsi="Arial"/>
          <w:sz w:val="15"/>
          <w:szCs w:val="15"/>
          <w:color w:val="auto"/>
        </w:rPr>
        <w:t>reflect the reclassification. For additional information on the change in accounting principle, see Note 2.</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Earnings per common share amounts are computed independently for each of the quarters presented. Therefore, the sum of the quarterly earnings per share amounts may not equal the quarterly earnings per share amounts or the annual earnings per share amounts due to rounding.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Effective September 24, 2020, the Company sold the assets exclusively related to its SimplyProtein® brand of products for approximately $8.8 million of consideration, including cash of $5.8 million and a note receivable for $3.0 million, to a newly formed entity led by the Company’s Canadian-based management team who had been responsible for this brand prior to the sale transaction. In addition to purchasing these assets, the buyer assumed certain liabilities related to the SimplyProtein brand’s business. The transaction enables management to focus its full time and Company’s resources on its core Atkins® and Quest® branded businesses and other strategic initiatives.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29, 2020, the Company’s disclosure controls and procedures were effective.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on November 7, 2019, we completed the Acquisition of Quest. As such, the scope of our assessment of the effectiveness of our disclosure controls and procedures did not include the internal control over financial reporting of Quest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Quest and its affiliated entities accounted for 47.8% of our total assets and 35.1% of our net sales as of and for the fifty-two week period ended August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29, 2020.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29, 2020.</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August 29, 2020 was audited by Deloitte &amp; Touche LLP, our independent registered public accounting firm, as stated in their report appearing below, which expressed an unqualified opinion on the effectiveness of our internal control over financial reporting as of August 29,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of Quest, we have commenced a project to evaluate the processes and procedures of Quest’s internal control over financial reporting and incorporate Quest’s internal control over financial reporting into our internal control over financial reporting framework. In addition, as a result of the Acquisition of Quest, we have implemented new processes and controls over accounting for an acquisition, including determining the fair value of the assets acquired, liabilities assumed and adjustments to the fair value of contingent consideration.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quarter ended August 29, 2020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the Simply Good Foods Company and subsidiaries (the “Company”) as of August 29,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August 29,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30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fifty-two weeks ended August, 29, 2020, of the Company and our report dated October 28, 2020, expressed an unqualified opinion on those financial statements.</w:t>
      </w:r>
    </w:p>
    <w:p>
      <w:pPr>
        <w:spacing w:after="0" w:line="3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described in “Management’s Report on Internal Control over Financial Reporting,” management excluded from its assessment the internal control over financial reporting at Quest Nutrition LLC and its affiliated entities, which was acquired on November 7, 2019, and whose financial statements constitute 47.8% of total assets and 35.1 % of net sales of the consolidated financial statement amounts as of and for the fifty-two weeks ended August 29, 2020. Accordingly, our audit did not include the internal control over financial reporting at Quest Nutrition LLC and its affiliates.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139"/>
          </w:cols>
          <w:pgMar w:left="320" w:top="125" w:right="144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2021 Annual Meeting of Stockholders to be filed no later than 120 days after the end of the fiscal year ended August 29,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2021 Annual Meeting of Stockholders to be filed no later than 120 days after the end of the fiscal year ended August 29,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2021 Annual Meeting of Stockholders to be filed no later than 120 days after the end of the fiscal year ended August 29,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2021 Annual Meeting of Stockholders to be filed no later than 120 days after the end of the fiscal year ended August 29,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2021 Annual Meeting of Stockholders to be filed no later than 120 days after the end of the fiscal year ended August 29,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gridSpan w:val="16"/>
          </w:tcPr>
          <w:p>
            <w:pPr>
              <w:spacing w:after="0"/>
              <w:rPr>
                <w:sz w:val="20"/>
                <w:szCs w:val="20"/>
                <w:color w:val="auto"/>
              </w:rPr>
            </w:pPr>
            <w:r>
              <w:rPr>
                <w:rFonts w:ascii="Arial" w:cs="Arial" w:eastAsia="Arial" w:hAnsi="Arial"/>
                <w:sz w:val="16"/>
                <w:szCs w:val="16"/>
                <w:b w:val="1"/>
                <w:bCs w:val="1"/>
                <w:color w:val="auto"/>
              </w:rPr>
              <w:t>Document</w:t>
            </w:r>
          </w:p>
        </w:tc>
      </w:tr>
      <w:tr>
        <w:trPr>
          <w:trHeight w:val="40"/>
        </w:trPr>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9"/>
        </w:trPr>
        <w:tc>
          <w:tcPr>
            <w:tcW w:w="11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2.1(a)</w:t>
            </w:r>
          </w:p>
        </w:tc>
        <w:tc>
          <w:tcPr>
            <w:tcW w:w="10080" w:type="dxa"/>
            <w:vAlign w:val="bottom"/>
            <w:tcBorders>
              <w:right w:val="single" w:sz="8" w:color="CCEEFF"/>
            </w:tcBorders>
            <w:gridSpan w:val="16"/>
            <w:shd w:val="clear" w:color="auto" w:fill="CCEEFF"/>
          </w:tcPr>
          <w:p>
            <w:pPr>
              <w:spacing w:after="0"/>
              <w:rPr>
                <w:rFonts w:ascii="Arial" w:cs="Arial" w:eastAsia="Arial" w:hAnsi="Arial"/>
                <w:sz w:val="16"/>
                <w:szCs w:val="16"/>
                <w:color w:val="0000FF"/>
                <w:w w:val="94"/>
              </w:rPr>
            </w:pPr>
            <w:hyperlink r:id="rId56">
              <w:r>
                <w:rPr>
                  <w:rFonts w:ascii="Arial" w:cs="Arial" w:eastAsia="Arial" w:hAnsi="Arial"/>
                  <w:sz w:val="16"/>
                  <w:szCs w:val="16"/>
                  <w:color w:val="0000FF"/>
                  <w:w w:val="94"/>
                </w:rPr>
                <w:t>Agreement and Plan of Merger, dated April 10, 2017, by and among Conyers Park Acquisition Corp., The Simply Good Foods Company, Conyers Park</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2"/>
              </w:rPr>
            </w:pPr>
            <w:hyperlink r:id="rId56">
              <w:r>
                <w:rPr>
                  <w:rFonts w:ascii="Arial" w:cs="Arial" w:eastAsia="Arial" w:hAnsi="Arial"/>
                  <w:sz w:val="16"/>
                  <w:szCs w:val="16"/>
                  <w:color w:val="0000FF"/>
                  <w:w w:val="92"/>
                </w:rPr>
                <w:t>Parent Merger Sub, Inc., Conyers Park Merger Sub 1, Inc., Conyers Park Merger Sub 2, Inc., Conyers Park Merger Sub 3, Inc., Conyers Park Merger Sub</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4, Inc., NCP-ATK HOLDINGS, INC., Atkins Holdings LLC, solely in its capacity as the Majority Stockholder and, solely in its capacity as the</w:t>
              </w:r>
            </w:hyperlink>
          </w:p>
        </w:tc>
      </w:tr>
      <w:tr>
        <w:trPr>
          <w:trHeight w:val="213"/>
        </w:trPr>
        <w:tc>
          <w:tcPr>
            <w:tcW w:w="10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80" w:type="dxa"/>
            <w:vAlign w:val="bottom"/>
            <w:tcBorders>
              <w:right w:val="single" w:sz="8" w:color="CCEEFF"/>
            </w:tcBorders>
            <w:gridSpan w:val="16"/>
            <w:shd w:val="clear" w:color="auto" w:fill="CCEEFF"/>
          </w:tcPr>
          <w:p>
            <w:pPr>
              <w:spacing w:after="0"/>
              <w:rPr>
                <w:rFonts w:ascii="Arial" w:cs="Arial" w:eastAsia="Arial" w:hAnsi="Arial"/>
                <w:sz w:val="16"/>
                <w:szCs w:val="16"/>
                <w:u w:val="single" w:color="auto"/>
                <w:color w:val="0000FF"/>
                <w:w w:val="94"/>
              </w:rPr>
            </w:pPr>
            <w:hyperlink r:id="rId56">
              <w:r>
                <w:rPr>
                  <w:rFonts w:ascii="Arial" w:cs="Arial" w:eastAsia="Arial" w:hAnsi="Arial"/>
                  <w:sz w:val="16"/>
                  <w:szCs w:val="16"/>
                  <w:u w:val="single" w:color="auto"/>
                  <w:color w:val="0000FF"/>
                  <w:w w:val="94"/>
                </w:rPr>
                <w:t>Stockholders’ Representative, Roark Capital Acquisition LLC (incorporated by reference to Exhibit 2.1 to Registration Statement on Form S-4, filed on</w:t>
              </w:r>
            </w:hyperlink>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80" w:type="dxa"/>
            <w:vAlign w:val="bottom"/>
            <w:tcBorders>
              <w:bottom w:val="single" w:sz="8" w:color="CCEEFF"/>
              <w:right w:val="single" w:sz="8" w:color="CCEEFF"/>
            </w:tcBorders>
            <w:gridSpan w:val="16"/>
            <w:shd w:val="clear" w:color="auto" w:fill="CCEEFF"/>
          </w:tcPr>
          <w:p>
            <w:pPr>
              <w:spacing w:after="0"/>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April 11, 2017).</w:t>
              </w:r>
            </w:hyperlink>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2.2(a)</w:t>
            </w:r>
          </w:p>
        </w:tc>
        <w:tc>
          <w:tcPr>
            <w:tcW w:w="10080" w:type="dxa"/>
            <w:vAlign w:val="bottom"/>
            <w:gridSpan w:val="16"/>
          </w:tcPr>
          <w:p>
            <w:pPr>
              <w:spacing w:after="0"/>
              <w:rPr>
                <w:rFonts w:ascii="Arial" w:cs="Arial" w:eastAsia="Arial" w:hAnsi="Arial"/>
                <w:sz w:val="16"/>
                <w:szCs w:val="16"/>
                <w:color w:val="0000FF"/>
                <w:w w:val="97"/>
              </w:rPr>
            </w:pPr>
            <w:hyperlink r:id="rId57">
              <w:r>
                <w:rPr>
                  <w:rFonts w:ascii="Arial" w:cs="Arial" w:eastAsia="Arial" w:hAnsi="Arial"/>
                  <w:sz w:val="16"/>
                  <w:szCs w:val="16"/>
                  <w:color w:val="0000FF"/>
                  <w:w w:val="97"/>
                </w:rPr>
                <w:t>Stock and Unit Purchase Agreement, dated as of August 21, 2019, by and among Voyage Holdings, LLC, VMG Quest Blocker, Inc., VMG Voyage</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6"/>
          </w:tcPr>
          <w:p>
            <w:pPr>
              <w:spacing w:after="0" w:line="183"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Holdings, LLC, VMG Tax-Exempt II, L.P., The Michael K. Osborn and Kaplana P. Osborn Revocable Living Trust, The Ava M. Osborn 2018 Irrevocable</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4"/>
          </w:tcPr>
          <w:p>
            <w:pPr>
              <w:spacing w:after="0" w:line="183"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Gift Trust, The Cole M. Osborn 2018 Irrevocable Gift Trust, Ronald Penna and Thomas Bilyeu, Voyage Employee Holdings, LLC, Atkins</w:t>
              </w:r>
            </w:hyperlink>
          </w:p>
        </w:tc>
        <w:tc>
          <w:tcPr>
            <w:tcW w:w="1100" w:type="dxa"/>
            <w:vAlign w:val="bottom"/>
            <w:tcBorders>
              <w:top w:val="single" w:sz="8" w:color="0000FF"/>
            </w:tcBorders>
            <w:gridSpan w:val="2"/>
          </w:tcPr>
          <w:p>
            <w:pPr>
              <w:spacing w:after="0"/>
              <w:rPr>
                <w:sz w:val="15"/>
                <w:szCs w:val="15"/>
                <w:color w:val="auto"/>
              </w:rPr>
            </w:pPr>
          </w:p>
        </w:tc>
      </w:tr>
      <w:tr>
        <w:trPr>
          <w:trHeight w:val="213"/>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6"/>
                <w:szCs w:val="16"/>
                <w:u w:val="single" w:color="auto"/>
                <w:color w:val="0000FF"/>
                <w:w w:val="92"/>
              </w:rPr>
            </w:pPr>
            <w:hyperlink r:id="rId57">
              <w:r>
                <w:rPr>
                  <w:rFonts w:ascii="Arial" w:cs="Arial" w:eastAsia="Arial" w:hAnsi="Arial"/>
                  <w:sz w:val="16"/>
                  <w:szCs w:val="16"/>
                  <w:u w:val="single" w:color="auto"/>
                  <w:color w:val="0000FF"/>
                  <w:w w:val="92"/>
                </w:rPr>
                <w:t>Nutritionals, Inc. and solely for the purposes of Section 8.10 therein, the Restricted Sellers (incorporated by reference to Exhibit 2.1 to our Current Report</w:t>
              </w:r>
            </w:hyperlink>
          </w:p>
        </w:tc>
      </w:tr>
      <w:tr>
        <w:trPr>
          <w:trHeight w:val="20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6"/>
          </w:tcPr>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on Form 8-K filed on August 22, 2019).</w:t>
              </w:r>
            </w:hyperlink>
          </w:p>
        </w:tc>
      </w:tr>
      <w:tr>
        <w:trPr>
          <w:trHeight w:val="33"/>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9"/>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w:t>
            </w: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tcBorders>
              <w:right w:val="single" w:sz="8" w:color="CCEEFF"/>
            </w:tcBorders>
            <w:gridSpan w:val="16"/>
            <w:shd w:val="clear" w:color="auto" w:fill="CCEEFF"/>
          </w:tcPr>
          <w:p>
            <w:pPr>
              <w:spacing w:after="0"/>
              <w:rPr>
                <w:rFonts w:ascii="Arial" w:cs="Arial" w:eastAsia="Arial" w:hAnsi="Arial"/>
                <w:sz w:val="16"/>
                <w:szCs w:val="16"/>
                <w:color w:val="0000FF"/>
                <w:w w:val="93"/>
              </w:rPr>
            </w:pPr>
            <w:hyperlink r:id="rId58">
              <w:r>
                <w:rPr>
                  <w:rFonts w:ascii="Arial" w:cs="Arial" w:eastAsia="Arial" w:hAnsi="Arial"/>
                  <w:sz w:val="16"/>
                  <w:szCs w:val="16"/>
                  <w:color w:val="0000FF"/>
                  <w:w w:val="93"/>
                </w:rPr>
                <w:t>Second Amended and Restated Certificate of Incorporation of The Simply Good Foods Company (incorporated by reference to Exhibit 3.1 of our Current</w:t>
              </w:r>
            </w:hyperlink>
          </w:p>
        </w:tc>
      </w:tr>
      <w:tr>
        <w:trPr>
          <w:trHeight w:val="183"/>
        </w:trPr>
        <w:tc>
          <w:tcPr>
            <w:tcW w:w="10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80" w:type="dxa"/>
            <w:vAlign w:val="bottom"/>
            <w:tcBorders>
              <w:top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Report on Form 8-K filed on January 27, 2020).</w:t>
              </w:r>
            </w:hyperlink>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10080" w:type="dxa"/>
            <w:vAlign w:val="bottom"/>
            <w:gridSpan w:val="16"/>
          </w:tcPr>
          <w:p>
            <w:pPr>
              <w:spacing w:after="0"/>
              <w:rPr>
                <w:rFonts w:ascii="Arial" w:cs="Arial" w:eastAsia="Arial" w:hAnsi="Arial"/>
                <w:sz w:val="16"/>
                <w:szCs w:val="16"/>
                <w:u w:val="single" w:color="auto"/>
                <w:color w:val="0000FF"/>
                <w:w w:val="98"/>
              </w:rPr>
            </w:pPr>
            <w:hyperlink r:id="rId59">
              <w:r>
                <w:rPr>
                  <w:rFonts w:ascii="Arial" w:cs="Arial" w:eastAsia="Arial" w:hAnsi="Arial"/>
                  <w:sz w:val="16"/>
                  <w:szCs w:val="16"/>
                  <w:u w:val="single" w:color="auto"/>
                  <w:color w:val="0000FF"/>
                  <w:w w:val="98"/>
                </w:rPr>
                <w:t>Second Amended and Restated Bylaws (incorporated by reference to Exhibit 3.2 of our Current Report on Form 10-K filed on October 31, 2019).</w:t>
              </w:r>
            </w:hyperlink>
          </w:p>
        </w:tc>
      </w:tr>
      <w:tr>
        <w:trPr>
          <w:trHeight w:val="33"/>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5"/>
              </w:rPr>
            </w:pPr>
            <w:hyperlink r:id="rId60">
              <w:r>
                <w:rPr>
                  <w:rFonts w:ascii="Arial" w:cs="Arial" w:eastAsia="Arial" w:hAnsi="Arial"/>
                  <w:sz w:val="16"/>
                  <w:szCs w:val="16"/>
                  <w:color w:val="0000FF"/>
                  <w:w w:val="95"/>
                </w:rPr>
                <w:t>Form of Common Stock Certificate (incorporated by reference to Exhibit 4.1 to Amendment No. 3 to our Registration Statement on Form S-4 filed on</w:t>
              </w:r>
            </w:hyperlink>
          </w:p>
        </w:tc>
      </w:tr>
      <w:tr>
        <w:trPr>
          <w:trHeight w:val="183"/>
        </w:trPr>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tcBorders>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June 12, 2017).</w:t>
              </w:r>
            </w:hyperlink>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1020" w:type="dxa"/>
            <w:vAlign w:val="bottom"/>
          </w:tcPr>
          <w:p>
            <w:pPr>
              <w:ind w:left="4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6"/>
                <w:szCs w:val="16"/>
                <w:color w:val="auto"/>
              </w:rPr>
            </w:pPr>
          </w:p>
        </w:tc>
        <w:tc>
          <w:tcPr>
            <w:tcW w:w="10080" w:type="dxa"/>
            <w:vAlign w:val="bottom"/>
            <w:tcBorders>
              <w:bottom w:val="single" w:sz="8" w:color="0000FF"/>
            </w:tcBorders>
            <w:gridSpan w:val="16"/>
          </w:tcPr>
          <w:p>
            <w:pPr>
              <w:spacing w:after="0"/>
              <w:rPr>
                <w:rFonts w:ascii="Arial" w:cs="Arial" w:eastAsia="Arial" w:hAnsi="Arial"/>
                <w:sz w:val="16"/>
                <w:szCs w:val="16"/>
                <w:color w:val="0000FF"/>
                <w:w w:val="94"/>
              </w:rPr>
            </w:pPr>
            <w:hyperlink r:id="rId61">
              <w:r>
                <w:rPr>
                  <w:rFonts w:ascii="Arial" w:cs="Arial" w:eastAsia="Arial" w:hAnsi="Arial"/>
                  <w:sz w:val="16"/>
                  <w:szCs w:val="16"/>
                  <w:color w:val="0000FF"/>
                  <w:w w:val="94"/>
                </w:rPr>
                <w:t>Warrant Agreement, dated July 14, 2016, between Conyers Park Acquisition Corp. and Continental Stock Transfer &amp; Trust Company (incorporated by</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6"/>
          </w:tcPr>
          <w:p>
            <w:pPr>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reference to Form 8-K filed by Conyers Park Acquisition Corp. on July 20, 2016).</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80" w:type="dxa"/>
            <w:vAlign w:val="bottom"/>
            <w:tcBorders>
              <w:bottom w:val="single" w:sz="8" w:color="CCEEFF"/>
              <w:right w:val="single" w:sz="8" w:color="CCEEFF"/>
            </w:tcBorders>
            <w:gridSpan w:val="16"/>
            <w:shd w:val="clear" w:color="auto" w:fill="CCEEFF"/>
          </w:tcPr>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Form of Warrant (incorporated by reference to Exhibit 4.1 to our Current Report on Form 8-K filed on July 13, 2017).</w:t>
              </w:r>
            </w:hyperlink>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0"/>
                <w:szCs w:val="20"/>
                <w:color w:val="auto"/>
              </w:rPr>
            </w:pPr>
          </w:p>
        </w:tc>
        <w:tc>
          <w:tcPr>
            <w:tcW w:w="10080" w:type="dxa"/>
            <w:vAlign w:val="bottom"/>
            <w:gridSpan w:val="16"/>
          </w:tcPr>
          <w:p>
            <w:pPr>
              <w:spacing w:after="0"/>
              <w:rPr>
                <w:rFonts w:ascii="Arial" w:cs="Arial" w:eastAsia="Arial" w:hAnsi="Arial"/>
                <w:sz w:val="16"/>
                <w:szCs w:val="16"/>
                <w:color w:val="0000FF"/>
              </w:rPr>
            </w:pPr>
            <w:hyperlink w:anchor="page91">
              <w:r>
                <w:rPr>
                  <w:rFonts w:ascii="Arial" w:cs="Arial" w:eastAsia="Arial" w:hAnsi="Arial"/>
                  <w:sz w:val="16"/>
                  <w:szCs w:val="16"/>
                  <w:u w:val="single" w:color="auto"/>
                  <w:color w:val="0000FF"/>
                </w:rPr>
                <w:t>Description of Securities</w:t>
              </w:r>
              <w:r>
                <w:rPr>
                  <w:rFonts w:ascii="Arial" w:cs="Arial" w:eastAsia="Arial" w:hAnsi="Arial"/>
                  <w:sz w:val="16"/>
                  <w:szCs w:val="16"/>
                  <w:color w:val="0000FF"/>
                </w:rPr>
                <w:t>.</w:t>
              </w:r>
            </w:hyperlink>
          </w:p>
        </w:tc>
      </w:tr>
      <w:tr>
        <w:trPr>
          <w:trHeight w:val="33"/>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2"/>
              </w:rPr>
            </w:pPr>
            <w:hyperlink r:id="rId63">
              <w:r>
                <w:rPr>
                  <w:rFonts w:ascii="Arial" w:cs="Arial" w:eastAsia="Arial" w:hAnsi="Arial"/>
                  <w:sz w:val="16"/>
                  <w:szCs w:val="16"/>
                  <w:color w:val="0000FF"/>
                  <w:w w:val="92"/>
                </w:rPr>
                <w:t>Investor Rights Agreement, dated July 7, 2017, between The Simply Good Foods Company and Conyers Park Sponsor LLC (incorporated by reference to</w:t>
              </w:r>
            </w:hyperlink>
          </w:p>
        </w:tc>
      </w:tr>
      <w:tr>
        <w:trPr>
          <w:trHeight w:val="183"/>
        </w:trPr>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tcBorders>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Exhibit 10.3 to our Current Report on Form 8-K filed on July 13, 2017).</w:t>
              </w:r>
            </w:hyperlink>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10.2†</w:t>
            </w:r>
          </w:p>
        </w:tc>
        <w:tc>
          <w:tcPr>
            <w:tcW w:w="10080" w:type="dxa"/>
            <w:vAlign w:val="bottom"/>
            <w:tcBorders>
              <w:bottom w:val="single" w:sz="8" w:color="0000FF"/>
            </w:tcBorders>
            <w:gridSpan w:val="16"/>
          </w:tcPr>
          <w:p>
            <w:pPr>
              <w:spacing w:after="0"/>
              <w:rPr>
                <w:rFonts w:ascii="Arial" w:cs="Arial" w:eastAsia="Arial" w:hAnsi="Arial"/>
                <w:sz w:val="16"/>
                <w:szCs w:val="16"/>
                <w:color w:val="0000FF"/>
                <w:w w:val="94"/>
              </w:rPr>
            </w:pPr>
            <w:hyperlink r:id="rId64">
              <w:r>
                <w:rPr>
                  <w:rFonts w:ascii="Arial" w:cs="Arial" w:eastAsia="Arial" w:hAnsi="Arial"/>
                  <w:sz w:val="16"/>
                  <w:szCs w:val="16"/>
                  <w:color w:val="0000FF"/>
                  <w:w w:val="94"/>
                </w:rPr>
                <w:t>2017 Omnibus Incentive Plan (incorporated by reference to Exhibit 10.3 to Amendment No. 3 to Registration Statement on Form S-4 filed on June 12,</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2017).</w:t>
              </w:r>
            </w:hyperlink>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89"/>
        </w:trPr>
        <w:tc>
          <w:tcPr>
            <w:tcW w:w="11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10.3†</w:t>
            </w: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2"/>
              </w:rPr>
            </w:pPr>
            <w:hyperlink r:id="rId65">
              <w:r>
                <w:rPr>
                  <w:rFonts w:ascii="Arial" w:cs="Arial" w:eastAsia="Arial" w:hAnsi="Arial"/>
                  <w:sz w:val="16"/>
                  <w:szCs w:val="16"/>
                  <w:color w:val="0000FF"/>
                  <w:w w:val="92"/>
                </w:rPr>
                <w:t>Offer Letter, dated December 23, 2010, between Scott Parker and Atkins Nutritionals, Inc. (incorporated by reference to Exhibit 10.7 to Amendment No. 1</w:t>
              </w:r>
            </w:hyperlink>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4360" w:type="dxa"/>
            <w:vAlign w:val="bottom"/>
            <w:tcBorders>
              <w:bottom w:val="single" w:sz="8" w:color="0000FF"/>
            </w:tcBorders>
            <w:gridSpan w:val="6"/>
            <w:shd w:val="clear" w:color="auto" w:fill="CCEEFF"/>
          </w:tcPr>
          <w:p>
            <w:pPr>
              <w:spacing w:after="0" w:line="183" w:lineRule="exact"/>
              <w:rPr>
                <w:rFonts w:ascii="Arial" w:cs="Arial" w:eastAsia="Arial" w:hAnsi="Arial"/>
                <w:sz w:val="16"/>
                <w:szCs w:val="16"/>
                <w:color w:val="0000FF"/>
                <w:w w:val="92"/>
              </w:rPr>
            </w:pPr>
            <w:hyperlink r:id="rId65">
              <w:r>
                <w:rPr>
                  <w:rFonts w:ascii="Arial" w:cs="Arial" w:eastAsia="Arial" w:hAnsi="Arial"/>
                  <w:sz w:val="16"/>
                  <w:szCs w:val="16"/>
                  <w:color w:val="0000FF"/>
                  <w:w w:val="92"/>
                </w:rPr>
                <w:t>to our Registration Statement on Form S-4 filed on May 15, 2017).</w:t>
              </w:r>
            </w:hyperlink>
          </w:p>
        </w:tc>
        <w:tc>
          <w:tcPr>
            <w:tcW w:w="5720" w:type="dxa"/>
            <w:vAlign w:val="bottom"/>
            <w:tcBorders>
              <w:bottom w:val="single" w:sz="8" w:color="CCEEFF"/>
              <w:right w:val="single" w:sz="8" w:color="CCEEFF"/>
            </w:tcBorders>
            <w:gridSpan w:val="10"/>
            <w:shd w:val="clear" w:color="auto" w:fill="CCEEFF"/>
          </w:tcPr>
          <w:p>
            <w:pPr>
              <w:spacing w:after="0"/>
              <w:rPr>
                <w:sz w:val="20"/>
                <w:szCs w:val="20"/>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10.4†</w:t>
            </w:r>
          </w:p>
        </w:tc>
        <w:tc>
          <w:tcPr>
            <w:tcW w:w="10080" w:type="dxa"/>
            <w:vAlign w:val="bottom"/>
            <w:tcBorders>
              <w:bottom w:val="single" w:sz="8" w:color="0000FF"/>
            </w:tcBorders>
            <w:gridSpan w:val="16"/>
          </w:tcPr>
          <w:p>
            <w:pPr>
              <w:spacing w:after="0"/>
              <w:rPr>
                <w:rFonts w:ascii="Arial" w:cs="Arial" w:eastAsia="Arial" w:hAnsi="Arial"/>
                <w:sz w:val="16"/>
                <w:szCs w:val="16"/>
                <w:color w:val="0000FF"/>
                <w:w w:val="94"/>
              </w:rPr>
            </w:pPr>
            <w:hyperlink r:id="rId66">
              <w:r>
                <w:rPr>
                  <w:rFonts w:ascii="Arial" w:cs="Arial" w:eastAsia="Arial" w:hAnsi="Arial"/>
                  <w:sz w:val="16"/>
                  <w:szCs w:val="16"/>
                  <w:color w:val="0000FF"/>
                  <w:w w:val="94"/>
                </w:rPr>
                <w:t>Form of Indemnity Agreement (incorporated by reference to Exhibit 10.8 to Amendment No. 3 to our Registration Statement on Form S-4 filed on June</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12, 2017).</w:t>
              </w:r>
            </w:hyperlink>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9"/>
              </w:rPr>
            </w:pPr>
            <w:hyperlink r:id="rId67">
              <w:r>
                <w:rPr>
                  <w:rFonts w:ascii="Arial" w:cs="Arial" w:eastAsia="Arial" w:hAnsi="Arial"/>
                  <w:sz w:val="16"/>
                  <w:szCs w:val="16"/>
                  <w:color w:val="0000FF"/>
                  <w:w w:val="99"/>
                </w:rPr>
                <w:t>Credit Agreement, dated July 7, 2017, by and among Atkins Intermediate Holdings, LLC, Conyers Park Parent Merger Sub, Inc., Conyers Park</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4"/>
              </w:rPr>
            </w:pPr>
            <w:hyperlink r:id="rId67">
              <w:r>
                <w:rPr>
                  <w:rFonts w:ascii="Arial" w:cs="Arial" w:eastAsia="Arial" w:hAnsi="Arial"/>
                  <w:sz w:val="16"/>
                  <w:szCs w:val="16"/>
                  <w:color w:val="0000FF"/>
                  <w:w w:val="94"/>
                </w:rPr>
                <w:t>Acquisition Corp., Conyers Park Merger Sub 1, Inc., Conyers Park Merger Sub 2, Inc., Conyers Park Merger Sub 3, Inc., Conyers Park Merger Sub 4,</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5"/>
              </w:rPr>
            </w:pPr>
            <w:hyperlink r:id="rId67">
              <w:r>
                <w:rPr>
                  <w:rFonts w:ascii="Arial" w:cs="Arial" w:eastAsia="Arial" w:hAnsi="Arial"/>
                  <w:sz w:val="16"/>
                  <w:szCs w:val="16"/>
                  <w:color w:val="0000FF"/>
                  <w:w w:val="95"/>
                </w:rPr>
                <w:t>Inc., NCP-ATK Holdings, Inc., Atkins Nutritionals Holdings, Inc., Atkins Nutritionals Holdings II, Inc., Atkins Nutritionals, Inc., the lenders party thereto</w:t>
              </w:r>
            </w:hyperlink>
          </w:p>
        </w:tc>
      </w:tr>
      <w:tr>
        <w:trPr>
          <w:trHeight w:val="213"/>
        </w:trPr>
        <w:tc>
          <w:tcPr>
            <w:tcW w:w="10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80" w:type="dxa"/>
            <w:vAlign w:val="bottom"/>
            <w:tcBorders>
              <w:right w:val="single" w:sz="8" w:color="CCEEFF"/>
            </w:tcBorders>
            <w:gridSpan w:val="16"/>
            <w:shd w:val="clear" w:color="auto" w:fill="CCEEFF"/>
          </w:tcPr>
          <w:p>
            <w:pPr>
              <w:spacing w:after="0"/>
              <w:rPr>
                <w:rFonts w:ascii="Arial" w:cs="Arial" w:eastAsia="Arial" w:hAnsi="Arial"/>
                <w:sz w:val="16"/>
                <w:szCs w:val="16"/>
                <w:u w:val="single" w:color="auto"/>
                <w:color w:val="0000FF"/>
                <w:w w:val="96"/>
              </w:rPr>
            </w:pPr>
            <w:hyperlink r:id="rId67">
              <w:r>
                <w:rPr>
                  <w:rFonts w:ascii="Arial" w:cs="Arial" w:eastAsia="Arial" w:hAnsi="Arial"/>
                  <w:sz w:val="16"/>
                  <w:szCs w:val="16"/>
                  <w:u w:val="single" w:color="auto"/>
                  <w:color w:val="0000FF"/>
                  <w:w w:val="96"/>
                </w:rPr>
                <w:t>and Barclays Bank PLC, as the Administrative Agent (incorporated by reference to Exhibit 10.1 to our Current Report on Form 8-K filed on July 13,</w:t>
              </w:r>
            </w:hyperlink>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spacing w:after="0"/>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2017).</w:t>
              </w:r>
            </w:hyperlink>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r>
      <w:tr>
        <w:trPr>
          <w:trHeight w:val="189"/>
        </w:trPr>
        <w:tc>
          <w:tcPr>
            <w:tcW w:w="1020" w:type="dxa"/>
            <w:vAlign w:val="bottom"/>
          </w:tcPr>
          <w:p>
            <w:pPr>
              <w:ind w:left="40"/>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6"/>
                <w:szCs w:val="16"/>
                <w:color w:val="auto"/>
              </w:rPr>
            </w:pPr>
          </w:p>
        </w:tc>
        <w:tc>
          <w:tcPr>
            <w:tcW w:w="10080" w:type="dxa"/>
            <w:vAlign w:val="bottom"/>
            <w:tcBorders>
              <w:bottom w:val="single" w:sz="8" w:color="0000FF"/>
            </w:tcBorders>
            <w:gridSpan w:val="16"/>
          </w:tcPr>
          <w:p>
            <w:pPr>
              <w:spacing w:after="0"/>
              <w:rPr>
                <w:rFonts w:ascii="Arial" w:cs="Arial" w:eastAsia="Arial" w:hAnsi="Arial"/>
                <w:sz w:val="16"/>
                <w:szCs w:val="16"/>
                <w:color w:val="0000FF"/>
                <w:w w:val="96"/>
              </w:rPr>
            </w:pPr>
            <w:hyperlink r:id="rId68">
              <w:r>
                <w:rPr>
                  <w:rFonts w:ascii="Arial" w:cs="Arial" w:eastAsia="Arial" w:hAnsi="Arial"/>
                  <w:sz w:val="16"/>
                  <w:szCs w:val="16"/>
                  <w:color w:val="0000FF"/>
                  <w:w w:val="96"/>
                </w:rPr>
                <w:t>Amendment No. 2 (Incremental Facility Amendment), dated as of November 7, 2019, by and among Atkins Intermediate Holdings, LLC, a Delaware</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tcBorders>
              <w:bottom w:val="single" w:sz="8" w:color="0000FF"/>
            </w:tcBorders>
            <w:gridSpan w:val="16"/>
          </w:tcPr>
          <w:p>
            <w:pPr>
              <w:spacing w:after="0" w:line="183" w:lineRule="exact"/>
              <w:rPr>
                <w:rFonts w:ascii="Arial" w:cs="Arial" w:eastAsia="Arial" w:hAnsi="Arial"/>
                <w:sz w:val="16"/>
                <w:szCs w:val="16"/>
                <w:color w:val="0000FF"/>
                <w:w w:val="94"/>
              </w:rPr>
            </w:pPr>
            <w:hyperlink r:id="rId68">
              <w:r>
                <w:rPr>
                  <w:rFonts w:ascii="Arial" w:cs="Arial" w:eastAsia="Arial" w:hAnsi="Arial"/>
                  <w:sz w:val="16"/>
                  <w:szCs w:val="16"/>
                  <w:color w:val="0000FF"/>
                  <w:w w:val="94"/>
                </w:rPr>
                <w:t>limited liability company, Conyers Park Acquisition Corp., a Delaware corporation, Atkins Nutritionals, Inc., a New York corporation, Atkins Nutritionals</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tcBorders>
              <w:bottom w:val="single" w:sz="8" w:color="0000FF"/>
            </w:tcBorders>
            <w:gridSpan w:val="16"/>
          </w:tcPr>
          <w:p>
            <w:pPr>
              <w:spacing w:after="0" w:line="183" w:lineRule="exact"/>
              <w:rPr>
                <w:rFonts w:ascii="Arial" w:cs="Arial" w:eastAsia="Arial" w:hAnsi="Arial"/>
                <w:sz w:val="16"/>
                <w:szCs w:val="16"/>
                <w:color w:val="0000FF"/>
                <w:w w:val="95"/>
              </w:rPr>
            </w:pPr>
            <w:hyperlink r:id="rId68">
              <w:r>
                <w:rPr>
                  <w:rFonts w:ascii="Arial" w:cs="Arial" w:eastAsia="Arial" w:hAnsi="Arial"/>
                  <w:sz w:val="16"/>
                  <w:szCs w:val="16"/>
                  <w:color w:val="0000FF"/>
                  <w:w w:val="95"/>
                </w:rPr>
                <w:t>Holdings, Inc., a Delaware corporation, Atkins Nutritionals Holdings II, Inc., a Delaware corporation, NCP-ATK Holdings, Inc., a Delaware corporation</w:t>
              </w:r>
            </w:hyperlink>
          </w:p>
        </w:tc>
      </w:tr>
      <w:tr>
        <w:trPr>
          <w:trHeight w:val="213"/>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6"/>
                <w:szCs w:val="16"/>
                <w:u w:val="single" w:color="auto"/>
                <w:color w:val="0000FF"/>
                <w:w w:val="95"/>
              </w:rPr>
            </w:pPr>
            <w:hyperlink r:id="rId68">
              <w:r>
                <w:rPr>
                  <w:rFonts w:ascii="Arial" w:cs="Arial" w:eastAsia="Arial" w:hAnsi="Arial"/>
                  <w:sz w:val="16"/>
                  <w:szCs w:val="16"/>
                  <w:u w:val="single" w:color="auto"/>
                  <w:color w:val="0000FF"/>
                  <w:w w:val="95"/>
                </w:rPr>
                <w:t>and the financial institutions set forth on Schedule A thereto as Additional Term Lenders, and acknowledged by Barclays Bank PLC, as administrative</w:t>
              </w:r>
            </w:hyperlink>
          </w:p>
        </w:tc>
      </w:tr>
      <w:tr>
        <w:trPr>
          <w:trHeight w:val="20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6"/>
          </w:tcPr>
          <w:p>
            <w:pPr>
              <w:spacing w:after="0"/>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agent (incorporated by reference to Exhibit 10.1 of our Current Report on Form 8-K filed on November 7, 2019).</w:t>
              </w:r>
            </w:hyperlink>
          </w:p>
        </w:tc>
      </w:tr>
      <w:tr>
        <w:trPr>
          <w:trHeight w:val="33"/>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3"/>
              </w:rPr>
            </w:pPr>
            <w:hyperlink r:id="rId69">
              <w:r>
                <w:rPr>
                  <w:rFonts w:ascii="Arial" w:cs="Arial" w:eastAsia="Arial" w:hAnsi="Arial"/>
                  <w:sz w:val="16"/>
                  <w:szCs w:val="16"/>
                  <w:color w:val="0000FF"/>
                  <w:w w:val="93"/>
                </w:rPr>
                <w:t>Assignment, Assumption and Amendment Agreement, dated July 7, 2017, by and among The Simply Good Foods Company, Conyers Park Acquisition</w:t>
              </w:r>
            </w:hyperlink>
          </w:p>
        </w:tc>
      </w:tr>
      <w:tr>
        <w:trPr>
          <w:trHeight w:val="183"/>
        </w:trPr>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w w:val="95"/>
              </w:rPr>
            </w:pPr>
            <w:hyperlink r:id="rId69">
              <w:r>
                <w:rPr>
                  <w:rFonts w:ascii="Arial" w:cs="Arial" w:eastAsia="Arial" w:hAnsi="Arial"/>
                  <w:sz w:val="16"/>
                  <w:szCs w:val="16"/>
                  <w:color w:val="0000FF"/>
                  <w:w w:val="95"/>
                </w:rPr>
                <w:t>Corp. and Continental Stock Transfer &amp; Trust Company (incorporated by reference to Exhibit 10.7 to our Current Report on Form 8-K filed on July 13,</w:t>
              </w:r>
            </w:hyperlink>
          </w:p>
        </w:tc>
      </w:tr>
      <w:tr>
        <w:trPr>
          <w:trHeight w:val="183"/>
        </w:trPr>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2017).</w:t>
              </w:r>
            </w:hyperlink>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10.8†</w:t>
            </w:r>
          </w:p>
        </w:tc>
        <w:tc>
          <w:tcPr>
            <w:tcW w:w="10080" w:type="dxa"/>
            <w:vAlign w:val="bottom"/>
            <w:tcBorders>
              <w:bottom w:val="single" w:sz="8" w:color="0000FF"/>
            </w:tcBorders>
            <w:gridSpan w:val="16"/>
          </w:tcPr>
          <w:p>
            <w:pPr>
              <w:spacing w:after="0"/>
              <w:rPr>
                <w:rFonts w:ascii="Arial" w:cs="Arial" w:eastAsia="Arial" w:hAnsi="Arial"/>
                <w:sz w:val="16"/>
                <w:szCs w:val="16"/>
                <w:color w:val="0000FF"/>
                <w:w w:val="92"/>
              </w:rPr>
            </w:pPr>
            <w:hyperlink r:id="rId70">
              <w:r>
                <w:rPr>
                  <w:rFonts w:ascii="Arial" w:cs="Arial" w:eastAsia="Arial" w:hAnsi="Arial"/>
                  <w:sz w:val="16"/>
                  <w:szCs w:val="16"/>
                  <w:color w:val="0000FF"/>
                  <w:w w:val="92"/>
                </w:rPr>
                <w:t>Amended and Restated Employment Agreement, dated July 7, 2017, between The Simply Good Foods Company and Joseph E. Scalzo (incorporated by</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6"/>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reference to Exhibit 10.8 to our Current Report on Form 8-K filed on July 13, 2017).</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10.9</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6"/>
              </w:rPr>
            </w:pPr>
            <w:hyperlink r:id="rId71">
              <w:r>
                <w:rPr>
                  <w:rFonts w:ascii="Arial" w:cs="Arial" w:eastAsia="Arial" w:hAnsi="Arial"/>
                  <w:sz w:val="16"/>
                  <w:szCs w:val="16"/>
                  <w:color w:val="0000FF"/>
                  <w:w w:val="96"/>
                </w:rPr>
                <w:t>Income Tax Receivable Agreement, dated July 7, 2017, by and among The Simply Good Foods Company, Atkins Holdings, LLC and Roark Capital</w:t>
              </w:r>
            </w:hyperlink>
          </w:p>
        </w:tc>
      </w:tr>
      <w:tr>
        <w:trPr>
          <w:trHeight w:val="183"/>
        </w:trPr>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tcBorders>
              <w:right w:val="single" w:sz="8" w:color="CCEEFF"/>
            </w:tcBorders>
            <w:gridSpan w:val="16"/>
            <w:shd w:val="clear" w:color="auto" w:fill="CCEEFF"/>
          </w:tcPr>
          <w:p>
            <w:pPr>
              <w:spacing w:after="0" w:line="183" w:lineRule="exact"/>
              <w:rPr>
                <w:rFonts w:ascii="Arial" w:cs="Arial" w:eastAsia="Arial" w:hAnsi="Arial"/>
                <w:sz w:val="16"/>
                <w:szCs w:val="16"/>
                <w:color w:val="0000FF"/>
                <w:w w:val="93"/>
              </w:rPr>
            </w:pPr>
            <w:hyperlink r:id="rId71">
              <w:r>
                <w:rPr>
                  <w:rFonts w:ascii="Arial" w:cs="Arial" w:eastAsia="Arial" w:hAnsi="Arial"/>
                  <w:sz w:val="16"/>
                  <w:szCs w:val="16"/>
                  <w:color w:val="0000FF"/>
                  <w:w w:val="93"/>
                </w:rPr>
                <w:t>Acquisition, LLC (solely in its capacity as the Stockholders’ Representative) (incorporated by reference to Exhibit 10.6 to our Current Report on Form 8-</w:t>
              </w:r>
            </w:hyperlink>
          </w:p>
        </w:tc>
      </w:tr>
      <w:tr>
        <w:trPr>
          <w:trHeight w:val="230"/>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80" w:type="dxa"/>
            <w:vAlign w:val="bottom"/>
            <w:tcBorders>
              <w:top w:val="single" w:sz="8" w:color="0000FF"/>
              <w:bottom w:val="single" w:sz="8" w:color="0000FF"/>
            </w:tcBorders>
            <w:gridSpan w:val="4"/>
            <w:shd w:val="clear" w:color="auto" w:fill="CCEEFF"/>
          </w:tcPr>
          <w:p>
            <w:pPr>
              <w:spacing w:after="0" w:line="183" w:lineRule="exact"/>
              <w:rPr>
                <w:rFonts w:ascii="Arial" w:cs="Arial" w:eastAsia="Arial" w:hAnsi="Arial"/>
                <w:sz w:val="16"/>
                <w:szCs w:val="16"/>
                <w:color w:val="0000FF"/>
                <w:w w:val="94"/>
              </w:rPr>
            </w:pPr>
            <w:hyperlink r:id="rId71">
              <w:r>
                <w:rPr>
                  <w:rFonts w:ascii="Arial" w:cs="Arial" w:eastAsia="Arial" w:hAnsi="Arial"/>
                  <w:sz w:val="16"/>
                  <w:szCs w:val="16"/>
                  <w:color w:val="0000FF"/>
                  <w:w w:val="94"/>
                </w:rPr>
                <w:t>K filed on July 13, 2017).</w:t>
              </w:r>
            </w:hyperlink>
          </w:p>
        </w:tc>
        <w:tc>
          <w:tcPr>
            <w:tcW w:w="8400" w:type="dxa"/>
            <w:vAlign w:val="bottom"/>
            <w:tcBorders>
              <w:top w:val="single" w:sz="8" w:color="0000FF"/>
              <w:bottom w:val="single" w:sz="8" w:color="CCEEFF"/>
              <w:right w:val="single" w:sz="8" w:color="CCEEFF"/>
            </w:tcBorders>
            <w:gridSpan w:val="12"/>
            <w:shd w:val="clear" w:color="auto" w:fill="CCEEFF"/>
          </w:tcPr>
          <w:p>
            <w:pPr>
              <w:spacing w:after="0"/>
              <w:rPr>
                <w:sz w:val="20"/>
                <w:szCs w:val="20"/>
                <w:color w:val="auto"/>
              </w:rPr>
            </w:pPr>
          </w:p>
        </w:tc>
      </w:tr>
      <w:tr>
        <w:trPr>
          <w:trHeight w:val="189"/>
        </w:trPr>
        <w:tc>
          <w:tcPr>
            <w:tcW w:w="1020" w:type="dxa"/>
            <w:vAlign w:val="bottom"/>
          </w:tcPr>
          <w:p>
            <w:pPr>
              <w:ind w:left="40"/>
              <w:spacing w:after="0"/>
              <w:rPr>
                <w:sz w:val="20"/>
                <w:szCs w:val="20"/>
                <w:color w:val="auto"/>
              </w:rPr>
            </w:pPr>
            <w:r>
              <w:rPr>
                <w:rFonts w:ascii="Arial" w:cs="Arial" w:eastAsia="Arial" w:hAnsi="Arial"/>
                <w:sz w:val="16"/>
                <w:szCs w:val="16"/>
                <w:color w:val="auto"/>
              </w:rPr>
              <w:t>10.10</w:t>
            </w:r>
          </w:p>
        </w:tc>
        <w:tc>
          <w:tcPr>
            <w:tcW w:w="140" w:type="dxa"/>
            <w:vAlign w:val="bottom"/>
          </w:tcPr>
          <w:p>
            <w:pPr>
              <w:spacing w:after="0"/>
              <w:rPr>
                <w:sz w:val="16"/>
                <w:szCs w:val="16"/>
                <w:color w:val="auto"/>
              </w:rPr>
            </w:pPr>
          </w:p>
        </w:tc>
        <w:tc>
          <w:tcPr>
            <w:tcW w:w="10080" w:type="dxa"/>
            <w:vAlign w:val="bottom"/>
            <w:tcBorders>
              <w:bottom w:val="single" w:sz="8" w:color="0000FF"/>
            </w:tcBorders>
            <w:gridSpan w:val="16"/>
          </w:tcPr>
          <w:p>
            <w:pPr>
              <w:spacing w:after="0"/>
              <w:rPr>
                <w:rFonts w:ascii="Arial" w:cs="Arial" w:eastAsia="Arial" w:hAnsi="Arial"/>
                <w:sz w:val="16"/>
                <w:szCs w:val="16"/>
                <w:color w:val="0000FF"/>
                <w:w w:val="96"/>
              </w:rPr>
            </w:pPr>
            <w:hyperlink r:id="rId72">
              <w:r>
                <w:rPr>
                  <w:rFonts w:ascii="Arial" w:cs="Arial" w:eastAsia="Arial" w:hAnsi="Arial"/>
                  <w:sz w:val="16"/>
                  <w:szCs w:val="16"/>
                  <w:color w:val="0000FF"/>
                  <w:w w:val="96"/>
                </w:rPr>
                <w:t>Termination Agreement, dated November 14, 2018, among The Simply Good Foods Company, Atkins Holdings, LLC and Roark Capital Acquisition,</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6"/>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LLC (incorporated by reference to Exhibit 10.1 to our Current Report on Form 8-K filed on November 16, 2018).</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89"/>
        </w:trPr>
        <w:tc>
          <w:tcPr>
            <w:tcW w:w="11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10.11†</w:t>
            </w: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3"/>
              </w:rPr>
            </w:pPr>
            <w:hyperlink r:id="rId73">
              <w:r>
                <w:rPr>
                  <w:rFonts w:ascii="Arial" w:cs="Arial" w:eastAsia="Arial" w:hAnsi="Arial"/>
                  <w:sz w:val="16"/>
                  <w:szCs w:val="16"/>
                  <w:color w:val="0000FF"/>
                  <w:w w:val="93"/>
                </w:rPr>
                <w:t>Offer Letter, dated June 19, 2017, between Atkins Nutritionals, Inc. and Todd Cunfer (incorporated by reference to Exhibit 10.1 to our Current Report on</w:t>
              </w:r>
            </w:hyperlink>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5100" w:type="dxa"/>
            <w:vAlign w:val="bottom"/>
            <w:tcBorders>
              <w:bottom w:val="single" w:sz="8" w:color="0000FF"/>
            </w:tcBorders>
            <w:gridSpan w:val="8"/>
            <w:shd w:val="clear" w:color="auto" w:fill="CCEEFF"/>
          </w:tcPr>
          <w:p>
            <w:pPr>
              <w:spacing w:after="0" w:line="183" w:lineRule="exact"/>
              <w:rPr>
                <w:rFonts w:ascii="Arial" w:cs="Arial" w:eastAsia="Arial" w:hAnsi="Arial"/>
                <w:sz w:val="16"/>
                <w:szCs w:val="16"/>
                <w:color w:val="0000FF"/>
                <w:w w:val="93"/>
              </w:rPr>
            </w:pPr>
            <w:hyperlink r:id="rId73">
              <w:r>
                <w:rPr>
                  <w:rFonts w:ascii="Arial" w:cs="Arial" w:eastAsia="Arial" w:hAnsi="Arial"/>
                  <w:sz w:val="16"/>
                  <w:szCs w:val="16"/>
                  <w:color w:val="0000FF"/>
                  <w:w w:val="93"/>
                </w:rPr>
                <w:t>our Current Report on Current Report on Form 8-K filed on August 11, 2017).</w:t>
              </w:r>
            </w:hyperlink>
          </w:p>
        </w:tc>
        <w:tc>
          <w:tcPr>
            <w:tcW w:w="4980" w:type="dxa"/>
            <w:vAlign w:val="bottom"/>
            <w:tcBorders>
              <w:bottom w:val="single" w:sz="8" w:color="CCEEFF"/>
              <w:right w:val="single" w:sz="8" w:color="CCEEFF"/>
            </w:tcBorders>
            <w:gridSpan w:val="8"/>
            <w:shd w:val="clear" w:color="auto" w:fill="CCEEFF"/>
          </w:tcPr>
          <w:p>
            <w:pPr>
              <w:spacing w:after="0"/>
              <w:rPr>
                <w:sz w:val="20"/>
                <w:szCs w:val="20"/>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10.12†</w:t>
            </w:r>
          </w:p>
        </w:tc>
        <w:tc>
          <w:tcPr>
            <w:tcW w:w="10080" w:type="dxa"/>
            <w:vAlign w:val="bottom"/>
            <w:tcBorders>
              <w:bottom w:val="single" w:sz="8" w:color="0000FF"/>
            </w:tcBorders>
            <w:gridSpan w:val="16"/>
          </w:tcPr>
          <w:p>
            <w:pPr>
              <w:spacing w:after="0"/>
              <w:rPr>
                <w:rFonts w:ascii="Arial" w:cs="Arial" w:eastAsia="Arial" w:hAnsi="Arial"/>
                <w:sz w:val="16"/>
                <w:szCs w:val="16"/>
                <w:color w:val="0000FF"/>
                <w:w w:val="95"/>
              </w:rPr>
            </w:pPr>
            <w:hyperlink r:id="rId74">
              <w:r>
                <w:rPr>
                  <w:rFonts w:ascii="Arial" w:cs="Arial" w:eastAsia="Arial" w:hAnsi="Arial"/>
                  <w:sz w:val="16"/>
                  <w:szCs w:val="16"/>
                  <w:color w:val="0000FF"/>
                  <w:w w:val="95"/>
                </w:rPr>
                <w:t>Letter Agreement, dated August 21, 2017, between The Simply Good Foods Company and Todd Cunfer (incorporated by reference to Exhibit 10.2 to</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6"/>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Amendment No. 1 to our Current Report on Form 8-K filed on August 25, 2017).</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8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FF"/>
              <w:right w:val="single" w:sz="8" w:color="CCEEFF"/>
            </w:tcBorders>
            <w:gridSpan w:val="16"/>
            <w:shd w:val="clear" w:color="auto" w:fill="CCEEFF"/>
          </w:tcPr>
          <w:p>
            <w:pPr>
              <w:spacing w:after="0"/>
              <w:rPr>
                <w:rFonts w:ascii="Arial" w:cs="Arial" w:eastAsia="Arial" w:hAnsi="Arial"/>
                <w:sz w:val="16"/>
                <w:szCs w:val="16"/>
                <w:color w:val="0000FF"/>
                <w:w w:val="95"/>
              </w:rPr>
            </w:pPr>
            <w:hyperlink r:id="rId75">
              <w:r>
                <w:rPr>
                  <w:rFonts w:ascii="Arial" w:cs="Arial" w:eastAsia="Arial" w:hAnsi="Arial"/>
                  <w:sz w:val="16"/>
                  <w:szCs w:val="16"/>
                  <w:color w:val="0000FF"/>
                  <w:w w:val="95"/>
                </w:rPr>
                <w:t>Repricing Amendment, dated March 16, 2018, by and among Atkins Intermediate Holdings, LLC, Conyers Park Acquisition Corp., Atkins Nutritionals,</w:t>
              </w:r>
            </w:hyperlink>
          </w:p>
        </w:tc>
      </w:tr>
      <w:tr>
        <w:trPr>
          <w:trHeight w:val="183"/>
        </w:trPr>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tcBorders>
              <w:right w:val="single" w:sz="8" w:color="CCEEFF"/>
            </w:tcBorders>
            <w:gridSpan w:val="16"/>
            <w:shd w:val="clear" w:color="auto" w:fill="CCEEFF"/>
          </w:tcPr>
          <w:p>
            <w:pPr>
              <w:spacing w:after="0" w:line="183" w:lineRule="exact"/>
              <w:rPr>
                <w:rFonts w:ascii="Arial" w:cs="Arial" w:eastAsia="Arial" w:hAnsi="Arial"/>
                <w:sz w:val="16"/>
                <w:szCs w:val="16"/>
                <w:color w:val="0000FF"/>
                <w:w w:val="98"/>
              </w:rPr>
            </w:pPr>
            <w:hyperlink r:id="rId75">
              <w:r>
                <w:rPr>
                  <w:rFonts w:ascii="Arial" w:cs="Arial" w:eastAsia="Arial" w:hAnsi="Arial"/>
                  <w:sz w:val="16"/>
                  <w:szCs w:val="16"/>
                  <w:color w:val="0000FF"/>
                  <w:w w:val="98"/>
                </w:rPr>
                <w:t>Inc., Atkins Nutritionals Holdings, Inc., Atkins Nutritionals Holdings II, Inc. and NCP-ATK Holdings, Inc. and Barclays Bank PLC (incorporated by</w:t>
              </w:r>
            </w:hyperlink>
          </w:p>
        </w:tc>
      </w:tr>
      <w:tr>
        <w:trPr>
          <w:trHeight w:val="182"/>
        </w:trPr>
        <w:tc>
          <w:tcPr>
            <w:tcW w:w="10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80" w:type="dxa"/>
            <w:vAlign w:val="bottom"/>
            <w:tcBorders>
              <w:top w:val="single" w:sz="8" w:color="0000FF"/>
              <w:right w:val="single" w:sz="8" w:color="CCEEFF"/>
            </w:tcBorders>
            <w:gridSpan w:val="16"/>
            <w:shd w:val="clear" w:color="auto" w:fill="CCEEFF"/>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reference to Exhibit 10.1 to our Current Report on Form 8-K filed on March 20, 2018).</w:t>
              </w:r>
            </w:hyperlink>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6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125" w:right="339" w:bottom="106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Arial" w:cs="Arial" w:eastAsia="Arial" w:hAnsi="Arial"/>
                <w:sz w:val="16"/>
                <w:szCs w:val="16"/>
                <w:b w:val="1"/>
                <w:bCs w:val="1"/>
                <w:color w:val="auto"/>
              </w:rPr>
              <w:t>Document</w:t>
            </w:r>
          </w:p>
        </w:tc>
      </w:tr>
      <w:tr>
        <w:trPr>
          <w:trHeight w:val="40"/>
        </w:trPr>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9"/>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10.14†</w:t>
            </w:r>
          </w:p>
        </w:tc>
        <w:tc>
          <w:tcPr>
            <w:tcW w:w="20" w:type="dxa"/>
            <w:vAlign w:val="bottom"/>
            <w:tcBorders>
              <w:bottom w:val="single" w:sz="8" w:color="CCEEFF"/>
            </w:tcBorders>
            <w:shd w:val="clear" w:color="auto" w:fill="CCEEFF"/>
          </w:tcPr>
          <w:p>
            <w:pPr>
              <w:spacing w:after="0"/>
              <w:rPr>
                <w:sz w:val="16"/>
                <w:szCs w:val="16"/>
                <w:color w:val="auto"/>
              </w:rPr>
            </w:pPr>
          </w:p>
        </w:tc>
        <w:tc>
          <w:tcPr>
            <w:tcW w:w="10060" w:type="dxa"/>
            <w:vAlign w:val="bottom"/>
            <w:tcBorders>
              <w:bottom w:val="single" w:sz="8" w:color="0000FF"/>
            </w:tcBorders>
            <w:gridSpan w:val="7"/>
            <w:shd w:val="clear" w:color="auto" w:fill="CCEEFF"/>
          </w:tcPr>
          <w:p>
            <w:pPr>
              <w:spacing w:after="0"/>
              <w:rPr>
                <w:rFonts w:ascii="Arial" w:cs="Arial" w:eastAsia="Arial" w:hAnsi="Arial"/>
                <w:sz w:val="16"/>
                <w:szCs w:val="16"/>
                <w:color w:val="0000FF"/>
                <w:w w:val="93"/>
              </w:rPr>
            </w:pPr>
            <w:hyperlink r:id="rId76">
              <w:r>
                <w:rPr>
                  <w:rFonts w:ascii="Arial" w:cs="Arial" w:eastAsia="Arial" w:hAnsi="Arial"/>
                  <w:sz w:val="16"/>
                  <w:szCs w:val="16"/>
                  <w:color w:val="0000FF"/>
                  <w:w w:val="93"/>
                </w:rPr>
                <w:t>The Simply Good Foods Executive Severance Compensation Plan, dated July 23, 2018 (incorporated by reference to Exhibit 10.1 to our Current Report</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3"/>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8"/>
            <w:shd w:val="clear" w:color="auto" w:fill="CCEEFF"/>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on Form 8-K filed on July 27, 2018).</w:t>
              </w:r>
            </w:hyperlink>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16"/>
                <w:szCs w:val="16"/>
                <w:color w:val="auto"/>
              </w:rPr>
            </w:pPr>
          </w:p>
        </w:tc>
        <w:tc>
          <w:tcPr>
            <w:tcW w:w="10080" w:type="dxa"/>
            <w:vAlign w:val="bottom"/>
            <w:gridSpan w:val="8"/>
          </w:tcPr>
          <w:p>
            <w:pPr>
              <w:spacing w:after="0"/>
              <w:rPr>
                <w:rFonts w:ascii="Arial" w:cs="Arial" w:eastAsia="Arial" w:hAnsi="Arial"/>
                <w:sz w:val="16"/>
                <w:szCs w:val="16"/>
                <w:color w:val="0000FF"/>
                <w:w w:val="94"/>
              </w:rPr>
            </w:pPr>
            <w:hyperlink r:id="rId77">
              <w:r>
                <w:rPr>
                  <w:rFonts w:ascii="Arial" w:cs="Arial" w:eastAsia="Arial" w:hAnsi="Arial"/>
                  <w:sz w:val="16"/>
                  <w:szCs w:val="16"/>
                  <w:color w:val="0000FF"/>
                  <w:w w:val="94"/>
                </w:rPr>
                <w:t>Form of Executive Severance Compensation Plan, Tier I Participation Agreement, dated July 23, 2018 (incorporated by reference to Exhibit 10.2 to our</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Current Report on Form 8-K filed on July 27, 2018).</w:t>
              </w:r>
            </w:hyperlink>
          </w:p>
        </w:tc>
        <w:tc>
          <w:tcPr>
            <w:tcW w:w="40" w:type="dxa"/>
            <w:vAlign w:val="bottom"/>
            <w:gridSpan w:val="2"/>
          </w:tcPr>
          <w:p>
            <w:pPr>
              <w:spacing w:after="0"/>
              <w:rPr>
                <w:sz w:val="15"/>
                <w:szCs w:val="15"/>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7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10.16†</w:t>
            </w:r>
          </w:p>
        </w:tc>
        <w:tc>
          <w:tcPr>
            <w:tcW w:w="20" w:type="dxa"/>
            <w:vAlign w:val="bottom"/>
            <w:shd w:val="clear" w:color="auto" w:fill="CCEEFF"/>
          </w:tcPr>
          <w:p>
            <w:pPr>
              <w:spacing w:after="0"/>
              <w:rPr>
                <w:sz w:val="16"/>
                <w:szCs w:val="16"/>
                <w:color w:val="auto"/>
              </w:rPr>
            </w:pPr>
          </w:p>
        </w:tc>
        <w:tc>
          <w:tcPr>
            <w:tcW w:w="10080" w:type="dxa"/>
            <w:vAlign w:val="bottom"/>
            <w:gridSpan w:val="8"/>
            <w:shd w:val="clear" w:color="auto" w:fill="CCEEFF"/>
          </w:tcPr>
          <w:p>
            <w:pPr>
              <w:spacing w:after="0"/>
              <w:rPr>
                <w:rFonts w:ascii="Arial" w:cs="Arial" w:eastAsia="Arial" w:hAnsi="Arial"/>
                <w:sz w:val="16"/>
                <w:szCs w:val="16"/>
                <w:color w:val="0000FF"/>
                <w:w w:val="92"/>
              </w:rPr>
            </w:pPr>
            <w:hyperlink r:id="rId78">
              <w:r>
                <w:rPr>
                  <w:rFonts w:ascii="Arial" w:cs="Arial" w:eastAsia="Arial" w:hAnsi="Arial"/>
                  <w:sz w:val="16"/>
                  <w:szCs w:val="16"/>
                  <w:color w:val="0000FF"/>
                  <w:w w:val="92"/>
                </w:rPr>
                <w:t>First Amendment to Amended and Restated Employment Agreement, dated October 16, 2019, between The Simply Good Foods Company and Joseph E.</w:t>
              </w:r>
            </w:hyperlink>
          </w:p>
        </w:tc>
      </w:tr>
      <w:tr>
        <w:trPr>
          <w:trHeight w:val="183"/>
        </w:trPr>
        <w:tc>
          <w:tcPr>
            <w:tcW w:w="1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6"/>
            <w:shd w:val="clear" w:color="auto" w:fill="CCEEFF"/>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Scalzo. (Incorporated by reference to Exhibit 10.1 to our Current Report on Form 8-K filed on October 18,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10.17†</w:t>
            </w:r>
          </w:p>
        </w:tc>
        <w:tc>
          <w:tcPr>
            <w:tcW w:w="20" w:type="dxa"/>
            <w:vAlign w:val="bottom"/>
          </w:tcPr>
          <w:p>
            <w:pPr>
              <w:spacing w:after="0"/>
              <w:rPr>
                <w:sz w:val="16"/>
                <w:szCs w:val="16"/>
                <w:color w:val="auto"/>
              </w:rPr>
            </w:pPr>
          </w:p>
        </w:tc>
        <w:tc>
          <w:tcPr>
            <w:tcW w:w="10080" w:type="dxa"/>
            <w:vAlign w:val="bottom"/>
            <w:gridSpan w:val="8"/>
          </w:tcPr>
          <w:p>
            <w:pPr>
              <w:spacing w:after="0"/>
              <w:rPr>
                <w:rFonts w:ascii="Arial" w:cs="Arial" w:eastAsia="Arial" w:hAnsi="Arial"/>
                <w:sz w:val="16"/>
                <w:szCs w:val="16"/>
                <w:color w:val="0000FF"/>
                <w:w w:val="93"/>
              </w:rPr>
            </w:pPr>
            <w:hyperlink r:id="rId79">
              <w:r>
                <w:rPr>
                  <w:rFonts w:ascii="Arial" w:cs="Arial" w:eastAsia="Arial" w:hAnsi="Arial"/>
                  <w:sz w:val="16"/>
                  <w:szCs w:val="16"/>
                  <w:color w:val="0000FF"/>
                  <w:w w:val="93"/>
                </w:rPr>
                <w:t>Employment Agreement, dated November 5, 2019, between Quest Nutrition, LLC and David Ritterbush (incorporated by reference to Exhibit 10.2 of our</w:t>
              </w:r>
            </w:hyperlink>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3"/>
              </w:rPr>
            </w:pPr>
            <w:hyperlink r:id="rId79">
              <w:r>
                <w:rPr>
                  <w:rFonts w:ascii="Arial" w:cs="Arial" w:eastAsia="Arial" w:hAnsi="Arial"/>
                  <w:sz w:val="16"/>
                  <w:szCs w:val="16"/>
                  <w:color w:val="0000FF"/>
                  <w:w w:val="93"/>
                </w:rPr>
                <w:t>Current Report on Form 8-K (File No. 001-38115) filed on November 7, 2019).</w:t>
              </w:r>
            </w:hyperlink>
          </w:p>
        </w:tc>
        <w:tc>
          <w:tcPr>
            <w:tcW w:w="4860" w:type="dxa"/>
            <w:vAlign w:val="bottom"/>
            <w:tcBorders>
              <w:top w:val="single" w:sz="8" w:color="0000FF"/>
            </w:tcBorders>
            <w:gridSpan w:val="2"/>
          </w:tcPr>
          <w:p>
            <w:pPr>
              <w:spacing w:after="0"/>
              <w:rPr>
                <w:sz w:val="15"/>
                <w:szCs w:val="15"/>
                <w:color w:val="auto"/>
              </w:rPr>
            </w:pPr>
          </w:p>
        </w:tc>
        <w:tc>
          <w:tcPr>
            <w:tcW w:w="40" w:type="dxa"/>
            <w:vAlign w:val="bottom"/>
            <w:gridSpan w:val="3"/>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21.1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23.1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23.2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101.CAL</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101.DEF</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rFonts w:ascii="Arial" w:cs="Arial" w:eastAsia="Arial" w:hAnsi="Arial"/>
          <w:sz w:val="14"/>
          <w:szCs w:val="14"/>
          <w:u w:val="single" w:color="auto"/>
          <w:color w:val="0000FF"/>
        </w:rPr>
      </w:pPr>
      <w:hyperlink w:anchor="page94">
        <w:r>
          <w:rPr>
            <w:rFonts w:ascii="Arial" w:cs="Arial" w:eastAsia="Arial" w:hAnsi="Arial"/>
            <w:sz w:val="14"/>
            <w:szCs w:val="14"/>
            <w:u w:val="single" w:color="auto"/>
            <w:color w:val="0000FF"/>
          </w:rPr>
          <w:t>2017 Omnibus Incentive Plan, as amended from time to time Policy Regarding Treatment of Awards in the Event of an Awardee’s Retirement.</w:t>
        </w:r>
      </w:hyperlink>
    </w:p>
    <w:p>
      <w:pPr>
        <w:spacing w:after="0" w:line="109" w:lineRule="exact"/>
        <w:rPr>
          <w:sz w:val="20"/>
          <w:szCs w:val="20"/>
          <w:color w:val="auto"/>
        </w:rPr>
      </w:pPr>
    </w:p>
    <w:p>
      <w:pPr>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Subsidiaries of The Simply Good Foods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rFonts w:ascii="Arial" w:cs="Arial" w:eastAsia="Arial" w:hAnsi="Arial"/>
          <w:sz w:val="16"/>
          <w:szCs w:val="16"/>
          <w:color w:val="0000FF"/>
        </w:rPr>
      </w:pPr>
      <w:hyperlink w:anchor="page98">
        <w:r>
          <w:rPr>
            <w:rFonts w:ascii="Arial" w:cs="Arial" w:eastAsia="Arial" w:hAnsi="Arial"/>
            <w:sz w:val="16"/>
            <w:szCs w:val="16"/>
            <w:u w:val="single" w:color="auto"/>
            <w:color w:val="0000FF"/>
          </w:rPr>
          <w:t>Consent of Deloitte &amp; Touche LLP</w:t>
        </w:r>
        <w:r>
          <w:rPr>
            <w:rFonts w:ascii="Arial" w:cs="Arial" w:eastAsia="Arial" w:hAnsi="Arial"/>
            <w:sz w:val="16"/>
            <w:szCs w:val="16"/>
            <w:color w:val="0000FF"/>
          </w:rPr>
          <w:t>.</w:t>
        </w:r>
      </w:hyperlink>
    </w:p>
    <w:p>
      <w:pPr>
        <w:spacing w:after="0" w:line="86" w:lineRule="exact"/>
        <w:rPr>
          <w:sz w:val="20"/>
          <w:szCs w:val="20"/>
          <w:color w:val="auto"/>
        </w:rPr>
      </w:pPr>
    </w:p>
    <w:p>
      <w:pPr>
        <w:spacing w:after="0"/>
        <w:rPr>
          <w:rFonts w:ascii="Arial" w:cs="Arial" w:eastAsia="Arial" w:hAnsi="Arial"/>
          <w:sz w:val="16"/>
          <w:szCs w:val="16"/>
          <w:color w:val="0000FF"/>
        </w:rPr>
      </w:pPr>
      <w:hyperlink w:anchor="page99">
        <w:r>
          <w:rPr>
            <w:rFonts w:ascii="Arial" w:cs="Arial" w:eastAsia="Arial" w:hAnsi="Arial"/>
            <w:sz w:val="16"/>
            <w:szCs w:val="16"/>
            <w:u w:val="single" w:color="auto"/>
            <w:color w:val="0000FF"/>
          </w:rPr>
          <w:t>Consent of Ernst &amp; Young LLP</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Certification of Principal Executive Officer pursuant to Section 302 of the Sarbanes Oxley Act of 2002.</w:t>
        </w:r>
      </w:hyperlink>
    </w:p>
    <w:p>
      <w:pPr>
        <w:spacing w:after="0" w:line="86" w:lineRule="exact"/>
        <w:rPr>
          <w:sz w:val="20"/>
          <w:szCs w:val="20"/>
          <w:color w:val="auto"/>
        </w:rPr>
      </w:pPr>
    </w:p>
    <w:p>
      <w:pPr>
        <w:spacing w:after="0"/>
        <w:rPr>
          <w:rFonts w:ascii="Arial" w:cs="Arial" w:eastAsia="Arial" w:hAnsi="Arial"/>
          <w:sz w:val="16"/>
          <w:szCs w:val="16"/>
          <w:color w:val="0000FF"/>
        </w:rPr>
      </w:pPr>
      <w:hyperlink w:anchor="page101">
        <w:r>
          <w:rPr>
            <w:rFonts w:ascii="Arial" w:cs="Arial" w:eastAsia="Arial" w:hAnsi="Arial"/>
            <w:sz w:val="16"/>
            <w:szCs w:val="16"/>
            <w:u w:val="single" w:color="auto"/>
            <w:color w:val="0000FF"/>
          </w:rPr>
          <w:t>Certification of Principal Financial Officer pursuant to Section 302 of the Sarbanes Oxley Act of 2002</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rFonts w:ascii="Arial" w:cs="Arial" w:eastAsia="Arial" w:hAnsi="Arial"/>
          <w:sz w:val="16"/>
          <w:szCs w:val="16"/>
          <w:color w:val="0000FF"/>
        </w:rPr>
      </w:pPr>
      <w:hyperlink w:anchor="page102">
        <w:r>
          <w:rPr>
            <w:rFonts w:ascii="Arial" w:cs="Arial" w:eastAsia="Arial" w:hAnsi="Arial"/>
            <w:sz w:val="16"/>
            <w:szCs w:val="16"/>
            <w:u w:val="single" w:color="auto"/>
            <w:color w:val="0000FF"/>
          </w:rPr>
          <w:t>Certification of Principal Executive Officer and Principal Financial Officer pursuant to Section 906 of the Sarbanes Oxley Act</w:t>
        </w:r>
        <w:r>
          <w:rPr>
            <w:rFonts w:ascii="Arial" w:cs="Arial" w:eastAsia="Arial" w:hAnsi="Arial"/>
            <w:sz w:val="16"/>
            <w:szCs w:val="16"/>
            <w:color w:val="0000FF"/>
          </w:rPr>
          <w:t>.</w:t>
        </w:r>
      </w:hyperlink>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34925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(embedded within the Inline XBRL document and contained in Exhibit 101).</w:t>
      </w:r>
    </w:p>
    <w:p>
      <w:pPr>
        <w:spacing w:after="0" w:line="37" w:lineRule="exact"/>
        <w:rPr>
          <w:sz w:val="20"/>
          <w:szCs w:val="20"/>
          <w:color w:val="auto"/>
        </w:rPr>
      </w:pPr>
    </w:p>
    <w:p>
      <w:pPr>
        <w:sectPr>
          <w:pgSz w:w="11900" w:h="16838" w:orient="portrait"/>
          <w:cols w:equalWidth="0" w:num="2">
            <w:col w:w="640" w:space="520"/>
            <w:col w:w="1008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180" w:lineRule="exact"/>
        <w:rPr>
          <w:sz w:val="20"/>
          <w:szCs w:val="20"/>
          <w:color w:val="auto"/>
        </w:rPr>
      </w:pPr>
    </w:p>
    <w:p>
      <w:pPr>
        <w:ind w:left="380" w:hanging="345"/>
        <w:spacing w:after="0"/>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73" w:lineRule="exact"/>
        <w:rPr>
          <w:sz w:val="20"/>
          <w:szCs w:val="20"/>
          <w:color w:val="auto"/>
        </w:rPr>
      </w:pPr>
    </w:p>
    <w:p>
      <w:pPr>
        <w:ind w:left="380" w:right="420" w:hanging="345"/>
        <w:spacing w:after="0" w:line="293"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type w:val="continuous"/>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THE SIMPLY GOOD FOODS COMPANY</w:t>
      </w:r>
    </w:p>
    <w:p>
      <w:pPr>
        <w:spacing w:after="0" w:line="293"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By: /s/ Joseph E.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34925</wp:posOffset>
            </wp:positionV>
            <wp:extent cx="28975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3" w:lineRule="exact"/>
        <w:rPr>
          <w:sz w:val="20"/>
          <w:szCs w:val="20"/>
          <w:color w:val="auto"/>
        </w:rPr>
      </w:pPr>
    </w:p>
    <w:p>
      <w:pPr>
        <w:ind w:left="1660"/>
        <w:spacing w:after="0"/>
        <w:tabs>
          <w:tab w:leader="none" w:pos="2200" w:val="left"/>
          <w:tab w:leader="none" w:pos="4560" w:val="left"/>
        </w:tabs>
        <w:rPr>
          <w:sz w:val="20"/>
          <w:szCs w:val="20"/>
          <w:color w:val="auto"/>
        </w:rPr>
      </w:pPr>
      <w:r>
        <w:rPr>
          <w:rFonts w:ascii="Arial" w:cs="Arial" w:eastAsia="Arial" w:hAnsi="Arial"/>
          <w:sz w:val="16"/>
          <w:szCs w:val="16"/>
          <w:color w:val="auto"/>
        </w:rPr>
        <w:t>Date:</w:t>
        <w:tab/>
        <w:t>October 28, 2020</w:t>
      </w:r>
      <w:r>
        <w:rPr>
          <w:sz w:val="20"/>
          <w:szCs w:val="20"/>
          <w:color w:val="auto"/>
        </w:rPr>
        <w:tab/>
      </w:r>
      <w:r>
        <w:rPr>
          <w:rFonts w:ascii="Arial" w:cs="Arial" w:eastAsia="Arial" w:hAnsi="Arial"/>
          <w:sz w:val="14"/>
          <w:szCs w:val="14"/>
          <w:color w:val="auto"/>
        </w:rPr>
        <w:t>Name: Joseph E. Scalzo</w:t>
      </w:r>
    </w:p>
    <w:p>
      <w:pPr>
        <w:spacing w:after="0" w:line="10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President and Chief Executive Officer</w:t>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337" w:right="439" w:bottom="1440" w:gutter="0" w:footer="0" w:header="0"/>
        </w:sectPr>
      </w:pPr>
    </w:p>
    <w:bookmarkStart w:id="89" w:name="page90"/>
    <w:bookmarkEnd w:id="89"/>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41" w:right="359" w:bottom="1440" w:gutter="0" w:footer="0" w:header="0"/>
        </w:sectPr>
      </w:pPr>
    </w:p>
    <w:p>
      <w:pPr>
        <w:spacing w:after="0" w:line="346"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2320" w:type="dxa"/>
            <w:vAlign w:val="bottom"/>
          </w:tcPr>
          <w:p>
            <w:pPr>
              <w:ind w:left="820"/>
              <w:spacing w:after="0"/>
              <w:rPr>
                <w:sz w:val="20"/>
                <w:szCs w:val="20"/>
                <w:color w:val="auto"/>
              </w:rPr>
            </w:pPr>
            <w:r>
              <w:rPr>
                <w:rFonts w:ascii="Arial" w:cs="Arial" w:eastAsia="Arial" w:hAnsi="Arial"/>
                <w:sz w:val="16"/>
                <w:szCs w:val="16"/>
                <w:b w:val="1"/>
                <w:bCs w:val="1"/>
                <w:color w:val="auto"/>
              </w:rPr>
              <w:t>Signature</w:t>
            </w:r>
          </w:p>
        </w:tc>
        <w:tc>
          <w:tcPr>
            <w:tcW w:w="3800" w:type="dxa"/>
            <w:vAlign w:val="bottom"/>
          </w:tcPr>
          <w:p>
            <w:pPr>
              <w:ind w:left="2060"/>
              <w:spacing w:after="0"/>
              <w:rPr>
                <w:sz w:val="20"/>
                <w:szCs w:val="20"/>
                <w:color w:val="auto"/>
              </w:rPr>
            </w:pPr>
            <w:r>
              <w:rPr>
                <w:rFonts w:ascii="Arial" w:cs="Arial" w:eastAsia="Arial" w:hAnsi="Arial"/>
                <w:sz w:val="16"/>
                <w:szCs w:val="16"/>
                <w:b w:val="1"/>
                <w:bCs w:val="1"/>
                <w:color w:val="auto"/>
              </w:rPr>
              <w:t>Title</w:t>
            </w: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Joseph E. Scalzo</w:t>
            </w:r>
          </w:p>
        </w:tc>
        <w:tc>
          <w:tcPr>
            <w:tcW w:w="3800" w:type="dxa"/>
            <w:vAlign w:val="bottom"/>
          </w:tcPr>
          <w:p>
            <w:pPr>
              <w:ind w:left="140"/>
              <w:spacing w:after="0"/>
              <w:rPr>
                <w:sz w:val="20"/>
                <w:szCs w:val="20"/>
                <w:color w:val="auto"/>
              </w:rPr>
            </w:pPr>
            <w:r>
              <w:rPr>
                <w:rFonts w:ascii="Arial" w:cs="Arial" w:eastAsia="Arial" w:hAnsi="Arial"/>
                <w:sz w:val="16"/>
                <w:szCs w:val="16"/>
                <w:color w:val="auto"/>
              </w:rPr>
              <w:t>President, Chief Executive Officer and 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Joseph E. Scalzo</w:t>
            </w:r>
          </w:p>
        </w:tc>
        <w:tc>
          <w:tcPr>
            <w:tcW w:w="3800" w:type="dxa"/>
            <w:vAlign w:val="bottom"/>
          </w:tcPr>
          <w:p>
            <w:pPr>
              <w:ind w:left="140"/>
              <w:spacing w:after="0"/>
              <w:rPr>
                <w:sz w:val="20"/>
                <w:szCs w:val="20"/>
                <w:color w:val="auto"/>
              </w:rPr>
            </w:pPr>
            <w:r>
              <w:rPr>
                <w:rFonts w:ascii="Arial" w:cs="Arial" w:eastAsia="Arial" w:hAnsi="Arial"/>
                <w:sz w:val="16"/>
                <w:szCs w:val="16"/>
                <w:color w:val="auto"/>
              </w:rPr>
              <w:t>(Principal Executive Officer)</w:t>
            </w: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Todd E. Cunfer</w:t>
            </w:r>
          </w:p>
        </w:tc>
        <w:tc>
          <w:tcPr>
            <w:tcW w:w="3800" w:type="dxa"/>
            <w:vAlign w:val="bottom"/>
          </w:tcPr>
          <w:p>
            <w:pPr>
              <w:ind w:left="140"/>
              <w:spacing w:after="0"/>
              <w:rPr>
                <w:sz w:val="20"/>
                <w:szCs w:val="20"/>
                <w:color w:val="auto"/>
              </w:rPr>
            </w:pPr>
            <w:r>
              <w:rPr>
                <w:rFonts w:ascii="Arial" w:cs="Arial" w:eastAsia="Arial" w:hAnsi="Arial"/>
                <w:sz w:val="16"/>
                <w:szCs w:val="16"/>
                <w:color w:val="auto"/>
              </w:rPr>
              <w:t>Chief Financial Officer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Todd E. Cunfer</w:t>
            </w:r>
          </w:p>
        </w:tc>
        <w:tc>
          <w:tcPr>
            <w:tcW w:w="3800" w:type="dxa"/>
            <w:vAlign w:val="bottom"/>
          </w:tcPr>
          <w:p>
            <w:pPr>
              <w:ind w:left="140"/>
              <w:spacing w:after="0"/>
              <w:rPr>
                <w:sz w:val="20"/>
                <w:szCs w:val="20"/>
                <w:color w:val="auto"/>
              </w:rPr>
            </w:pPr>
            <w:r>
              <w:rPr>
                <w:rFonts w:ascii="Arial" w:cs="Arial" w:eastAsia="Arial" w:hAnsi="Arial"/>
                <w:sz w:val="16"/>
                <w:szCs w:val="16"/>
                <w:color w:val="auto"/>
              </w:rPr>
              <w:t>(Principal Financial Officer)</w:t>
            </w: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Timothy A. Matthews</w:t>
            </w:r>
          </w:p>
        </w:tc>
        <w:tc>
          <w:tcPr>
            <w:tcW w:w="3800" w:type="dxa"/>
            <w:vAlign w:val="bottom"/>
          </w:tcPr>
          <w:p>
            <w:pPr>
              <w:ind w:left="140"/>
              <w:spacing w:after="0"/>
              <w:rPr>
                <w:sz w:val="20"/>
                <w:szCs w:val="20"/>
                <w:color w:val="auto"/>
              </w:rPr>
            </w:pPr>
            <w:r>
              <w:rPr>
                <w:rFonts w:ascii="Arial" w:cs="Arial" w:eastAsia="Arial" w:hAnsi="Arial"/>
                <w:sz w:val="16"/>
                <w:szCs w:val="16"/>
                <w:color w:val="auto"/>
                <w:w w:val="93"/>
              </w:rPr>
              <w:t>Vice President, Controller and Chief Accounting Officer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Timothy A. Matthews</w:t>
            </w:r>
          </w:p>
        </w:tc>
        <w:tc>
          <w:tcPr>
            <w:tcW w:w="3800" w:type="dxa"/>
            <w:vAlign w:val="bottom"/>
          </w:tcPr>
          <w:p>
            <w:pPr>
              <w:ind w:left="140"/>
              <w:spacing w:after="0"/>
              <w:rPr>
                <w:sz w:val="20"/>
                <w:szCs w:val="20"/>
                <w:color w:val="auto"/>
              </w:rPr>
            </w:pPr>
            <w:r>
              <w:rPr>
                <w:rFonts w:ascii="Arial" w:cs="Arial" w:eastAsia="Arial" w:hAnsi="Arial"/>
                <w:sz w:val="16"/>
                <w:szCs w:val="16"/>
                <w:color w:val="auto"/>
              </w:rPr>
              <w:t>(Principal Accounting Officer)</w:t>
            </w: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James M. Kilts</w:t>
            </w:r>
          </w:p>
        </w:tc>
        <w:tc>
          <w:tcPr>
            <w:tcW w:w="3800" w:type="dxa"/>
            <w:vAlign w:val="bottom"/>
          </w:tcPr>
          <w:p>
            <w:pPr>
              <w:ind w:left="140"/>
              <w:spacing w:after="0"/>
              <w:rPr>
                <w:sz w:val="20"/>
                <w:szCs w:val="20"/>
                <w:color w:val="auto"/>
              </w:rPr>
            </w:pPr>
            <w:r>
              <w:rPr>
                <w:rFonts w:ascii="Arial" w:cs="Arial" w:eastAsia="Arial" w:hAnsi="Arial"/>
                <w:sz w:val="16"/>
                <w:szCs w:val="16"/>
                <w:color w:val="auto"/>
              </w:rPr>
              <w:t>Chairman of the Board of Directors</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James M. Kilts</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David J. West</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David J. West</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Clayton C. Daley, Jr.</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Clayton C. Daley, Jr.</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Brian K. Ratzan</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Brian K. Ratzan</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Nomi P. Ghez</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Nomi P. Ghez</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James E. Healey</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James E. Healey</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Robert G. Montgomery</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Robert G. Montgomery</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Michelle P. Goolsby</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Michelle P. Goolsby</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Arvin Kash</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Arvin Kash</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David W. Ritterbush</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David W. Ritterbush</w:t>
            </w:r>
          </w:p>
        </w:tc>
        <w:tc>
          <w:tcPr>
            <w:tcW w:w="3800" w:type="dxa"/>
            <w:vAlign w:val="bottom"/>
          </w:tcPr>
          <w:p>
            <w:pPr>
              <w:spacing w:after="0"/>
              <w:rPr>
                <w:sz w:val="18"/>
                <w:szCs w:val="18"/>
                <w:color w:val="auto"/>
              </w:rPr>
            </w:pPr>
          </w:p>
        </w:tc>
      </w:tr>
      <w:tr>
        <w:trPr>
          <w:trHeight w:val="567"/>
        </w:trPr>
        <w:tc>
          <w:tcPr>
            <w:tcW w:w="2320" w:type="dxa"/>
            <w:vAlign w:val="bottom"/>
          </w:tcPr>
          <w:p>
            <w:pPr>
              <w:ind w:left="40"/>
              <w:spacing w:after="0"/>
              <w:rPr>
                <w:sz w:val="20"/>
                <w:szCs w:val="20"/>
                <w:color w:val="auto"/>
              </w:rPr>
            </w:pPr>
            <w:r>
              <w:rPr>
                <w:rFonts w:ascii="Arial" w:cs="Arial" w:eastAsia="Arial" w:hAnsi="Arial"/>
                <w:sz w:val="16"/>
                <w:szCs w:val="16"/>
                <w:color w:val="auto"/>
              </w:rPr>
              <w:t>/s/ James D. White</w:t>
            </w:r>
          </w:p>
        </w:tc>
        <w:tc>
          <w:tcPr>
            <w:tcW w:w="38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17"/>
        </w:trPr>
        <w:tc>
          <w:tcPr>
            <w:tcW w:w="2320" w:type="dxa"/>
            <w:vAlign w:val="bottom"/>
          </w:tcPr>
          <w:p>
            <w:pPr>
              <w:ind w:left="40"/>
              <w:spacing w:after="0"/>
              <w:rPr>
                <w:sz w:val="20"/>
                <w:szCs w:val="20"/>
                <w:color w:val="auto"/>
              </w:rPr>
            </w:pPr>
            <w:r>
              <w:rPr>
                <w:rFonts w:ascii="Arial" w:cs="Arial" w:eastAsia="Arial" w:hAnsi="Arial"/>
                <w:sz w:val="16"/>
                <w:szCs w:val="16"/>
                <w:color w:val="auto"/>
              </w:rPr>
              <w:t>James D. White</w:t>
            </w:r>
          </w:p>
        </w:tc>
        <w:tc>
          <w:tcPr>
            <w:tcW w:w="3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Date</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4"/>
          <w:szCs w:val="14"/>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color w:val="auto"/>
        </w:rPr>
        <w:t>October 28, 2020</w:t>
      </w:r>
    </w:p>
    <w:p>
      <w:pPr>
        <w:spacing w:after="0" w:line="515" w:lineRule="exact"/>
        <w:rPr>
          <w:sz w:val="20"/>
          <w:szCs w:val="20"/>
          <w:color w:val="auto"/>
        </w:rPr>
      </w:pPr>
    </w:p>
    <w:p>
      <w:pPr>
        <w:sectPr>
          <w:pgSz w:w="11900" w:h="16838" w:orient="portrait"/>
          <w:cols w:equalWidth="0" w:num="2">
            <w:col w:w="7740" w:space="660"/>
            <w:col w:w="2820"/>
          </w:cols>
          <w:pgMar w:left="320" w:top="341" w:right="359" w:bottom="1440" w:gutter="0" w:footer="0" w:header="0"/>
          <w:type w:val="continuous"/>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341" w:right="35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summary of the terms of the capital stock of The Simply Good Foods Company (“Simply Good Foods,” “we,” “our” or “us”) is based upon our second amended and restated certificate of incorporation and our second amended and restated bylaws. The summary is not complete, and is qualified by reference to our second amended and restated certificate of incorporation and our second amended and restated bylaws, each of which is filed as an exhibit to this Annual Report on Form 10-K, and incorporated by reference herein. We encourage you to read our second amended and restated certificate of incorporation, our second amended and restated bylaws and the applicable provisions of the Delaware General Corporation Law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second amended and restated certificate of incorporation authorizes us to issue up to 600,000,000 shares of common stock, $0.01 par value per share (the “Common Stock”) and 100,000,000 shares of preferred stock, $0.01 par value per share (the “Preferred Stock”). No shares of Preferred Stock are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Simply Good Foods stockholders do not have cumulative voting rights in the election of directors. Accordingly, holders of a majority of the voting shares are able to elect all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our voluntary or involuntary liquidation, dissolution, distribution of assets or winding-up, the holders of the Common Stock will be entitled to receive an equal amount per share of all of our assets of whatever kind available for distribution to stockholders, after the rights of the holders of the Preferred Stock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have no preemptive or other subscription rights and there are no sinking fund or redemption provisions applicable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board of directors is currently divided into three classes, Class I, Class II and Class III, with only one class of directors being elected in each year and each class (except for those directors appointed prior to our first annual meeting of stockholders) serving a three-year term. Subject to the rights of the holders of any series of Preferred Stock then outstanding, at each annual meeting of stockholders commencing with the 2021 annual meeting of stockholders, directors other than those in the 2022 Class and 2023 Class (each as defined below) shall be elected for a term of one year, expiring at the next succeeding annual meeting of stockholders. Each director who was elected at the 2019 annual meeting of stockholders for a three-year term expiring in 2022 (the “2022 Class”), and each director of the corporation who was elected at the 2020 annual meeting of stockholders for a three-year term expiring in 2023 (the “2023 Class”), including any person appointed to fill any vacancy occurring with respect to any director in the 2022 Class or the 2023 Class (each of whom shall be deemed to be a member of the class of directors in which the vacancy occurred), shall continue to hold office until the end of the term for which such director was elected or appointed, as applicable. Commencing with the 2022 annual meeting of stockholders, all directors other than those in the 2023 Class will be elected for a term of one year, and (b) commencing with the 2023 annual meeting of</w:t>
      </w:r>
    </w:p>
    <w:p>
      <w:pPr>
        <w:sectPr>
          <w:pgSz w:w="11900" w:h="16838" w:orient="portrait"/>
          <w:cols w:equalWidth="0" w:num="1">
            <w:col w:w="11240"/>
          </w:cols>
          <w:pgMar w:left="320" w:top="121" w:right="339" w:bottom="1440" w:gutter="0" w:footer="0" w:header="0"/>
        </w:sectPr>
      </w:pPr>
    </w:p>
    <w:bookmarkStart w:id="91" w:name="page92"/>
    <w:bookmarkEnd w:id="91"/>
    <w:p>
      <w:pPr>
        <w:ind w:left="1040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stockholders, all directors will be elected for a term of one-year. In all cases, each director shall serve until such director’s successor has been duly elected and qualified or until such director’s earlier death, resignation, or removal.</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is no cumulative voting with respect to the election of directors, with the result that the holders of more than 50% of the shares of Common Stock outstanding are able to elect all of its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100,000,000 shares of Preferred Stock in one or more series and to fix the rights, preferences, privileges, and restrictions thereof. No shares of Preferred Stock are outstanding, and we have no present plan to issue any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connection with Conyers Park’s initial public offering, Conyers Park Sponsor LLC (the “Sponsor”) purchased from Conyers Park an aggregate of 6,700,000 warrants (including warrants required to be purchased in connection with the over-allotment option) at a price of $1.50 per warrant in a private placement that occurred simultaneously with the closing of the initial public offering (the “Private Placement Warrants”). Each Private Placement Warrant is exercisable for one whole share of our Common Stock at a price of $11.50 per share. The Private Placement Warrants are non-redeemable and exercisable on a cashless basis so long as they are held by the Sponsor or its permitted transferees.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transfer agent and registrar for our Common Stock and the warrant agent for the Private Placement Warrants is Continental Stock Transfer &amp;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Second Amended and Restated Certificate of Incorporation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our second amended and restated certificate of incorporation, we have elected to opt out of the provisions of Section 203 of the Delaware General Corporation Law (the “DGCL”) regulating corporate takeovers and instead the second amended and restated certificate of incorporation includes a provision that is substantially similar to Section 203 of the DGCL but carves out certain of our affiliates and their transferees from the definition of “interested stockholder” and makes certain related changes. This provision prevents us, under certain circumstances, from engaging in a “business combination” with:</w:t>
      </w:r>
    </w:p>
    <w:p>
      <w:pPr>
        <w:spacing w:after="0" w:line="188" w:lineRule="exact"/>
        <w:rPr>
          <w:sz w:val="20"/>
          <w:szCs w:val="20"/>
          <w:color w:val="auto"/>
        </w:rPr>
      </w:pPr>
    </w:p>
    <w:p>
      <w:pPr>
        <w:ind w:left="660" w:right="300" w:hanging="328"/>
        <w:spacing w:after="0" w:line="27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stockholder (other than certain of our affiliates that are carved out of the provision pursuant to our second amended and restated certificate of incorporation) who owns 15% or more of our outstanding voting stock (otherwise known as an “interested stockholder”);</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9" w:lineRule="exact"/>
        <w:rPr>
          <w:rFonts w:ascii="Arial" w:cs="Arial" w:eastAsia="Arial" w:hAnsi="Arial"/>
          <w:sz w:val="18"/>
          <w:szCs w:val="18"/>
          <w:color w:val="auto"/>
        </w:rPr>
      </w:pPr>
    </w:p>
    <w:p>
      <w:pPr>
        <w:ind w:left="660" w:right="36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 A “business combination” includes a merger or sale of more than 10% of our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However, the above provisions of Section 203 do not apply if:</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34"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jc w:val="both"/>
        <w:ind w:left="660" w:right="14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second amended and restated certificate of incorporation provides that our board of directors is currently classified into three classes of directors. As a result, until our 2023 annual meeting of stockholders, in most circumstances, a person will be able to gain control of our board only by successfully engaging in a proxy contest at two or more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second amended and restated certificate of incorporation does not allow stockholders to act by written consent.</w:t>
      </w:r>
    </w:p>
    <w:p>
      <w:pPr>
        <w:sectPr>
          <w:pgSz w:w="11900" w:h="16838" w:orient="portrait"/>
          <w:cols w:equalWidth="0" w:num="1">
            <w:col w:w="11240"/>
          </w:cols>
          <w:pgMar w:left="320" w:top="121" w:right="339" w:bottom="1440" w:gutter="0" w:footer="0" w:header="0"/>
        </w:sectPr>
      </w:pPr>
    </w:p>
    <w:bookmarkStart w:id="92" w:name="page93"/>
    <w:bookmarkEnd w:id="92"/>
    <w:p>
      <w:pPr>
        <w:ind w:left="1040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addition, because the Board of Directors is currently classified, directors in a class that is serving out the remainder of a three-year term are removable only for cause, whereas Delaware law provides that directors serving on boards of directors that are not classified may be removed for or without cause. However, our stockholders are able to remove directors elected for one-year terms with or without cause.</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second amended and restated certificate of incorporation does not provide for cumulative voting in the election of directors; our board of directors is empowered to elect a director to fill a vacancy created by the expansion of the board of directors or the resignation, death, or removal of a director in certain circumstances; and our advance notice procedures includes requirements that the stockholders must comply with in order to nominate candidates to our board of directors or to propose matters to be acted upon at a stockholders’ meeting.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second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such suit will be deemed to have consented to service of process on such stockholder’s counsel.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“SMPL.”</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SIMPLY GOOD FOODS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Omnibus Incentive Plan, as amended from time to time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Policy Regarding Treatment of Awards in the Event of an Awardee’s Retirement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as of August 28, 2020</w:t>
      </w:r>
    </w:p>
    <w:p>
      <w:pPr>
        <w:spacing w:after="0" w:line="229" w:lineRule="exact"/>
        <w:rPr>
          <w:sz w:val="20"/>
          <w:szCs w:val="20"/>
          <w:color w:val="auto"/>
        </w:rPr>
      </w:pPr>
    </w:p>
    <w:p>
      <w:pPr>
        <w:ind w:left="660" w:right="40" w:hanging="652"/>
        <w:spacing w:after="0" w:line="256"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of The Simply Good Foods Company (the“</w:t>
      </w:r>
      <w:r>
        <w:rPr>
          <w:rFonts w:ascii="Arial" w:cs="Arial" w:eastAsia="Arial" w:hAnsi="Arial"/>
          <w:sz w:val="19"/>
          <w:szCs w:val="19"/>
          <w:u w:val="single" w:color="auto"/>
          <w:color w:val="auto"/>
        </w:rPr>
        <w:t>Company</w:t>
      </w:r>
      <w:r>
        <w:rPr>
          <w:rFonts w:ascii="Arial" w:cs="Arial" w:eastAsia="Arial" w:hAnsi="Arial"/>
          <w:sz w:val="19"/>
          <w:szCs w:val="19"/>
          <w:color w:val="auto"/>
        </w:rPr>
        <w:t>”) believes that it is in the best</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interests of the Company and its shareholders to make certain accommodations in the terms of equity awards granted pursuant to the Company’s 2017 Omnibus Incentive Plan (as amended from time to time, the “</w:t>
      </w:r>
      <w:r>
        <w:rPr>
          <w:rFonts w:ascii="Arial" w:cs="Arial" w:eastAsia="Arial" w:hAnsi="Arial"/>
          <w:sz w:val="19"/>
          <w:szCs w:val="19"/>
          <w:u w:val="single" w:color="auto"/>
          <w:color w:val="auto"/>
        </w:rPr>
        <w:t>Incentive Plan</w:t>
      </w:r>
      <w:r>
        <w:rPr>
          <w:rFonts w:ascii="Arial" w:cs="Arial" w:eastAsia="Arial" w:hAnsi="Arial"/>
          <w:sz w:val="19"/>
          <w:szCs w:val="19"/>
          <w:color w:val="auto"/>
        </w:rPr>
        <w:t>”) that take into account an award holder’s termination of service by means of a retirement. It is the view of the Board that awards granted to individuals who are at or nearing retirement age may not provide the intended retention benefits to the Company, nor proper incentives to the individual, if awards are ultimately forfeited in the normal course because of a termination of service due to retirement. This misalignment can impact a significant number of highly valued employees who have long tenures with the Company. To address this concern, the Board has adopted this policy, which establishes a new treatment for awards granted under the terms of the Incentive Plan in the event of an award holder’s retirement (the “</w:t>
      </w:r>
      <w:r>
        <w:rPr>
          <w:rFonts w:ascii="Arial" w:cs="Arial" w:eastAsia="Arial" w:hAnsi="Arial"/>
          <w:sz w:val="19"/>
          <w:szCs w:val="19"/>
          <w:u w:val="single" w:color="auto"/>
          <w:color w:val="auto"/>
        </w:rPr>
        <w:t>Equity Retirement Policy</w:t>
      </w:r>
      <w:r>
        <w:rPr>
          <w:rFonts w:ascii="Arial" w:cs="Arial" w:eastAsia="Arial" w:hAnsi="Arial"/>
          <w:sz w:val="19"/>
          <w:szCs w:val="19"/>
          <w:color w:val="auto"/>
        </w:rPr>
        <w:t>”). Capitalized terms not defined herein shall have the meanings ascribed to such terms in the Incentive Plan.</w:t>
      </w:r>
    </w:p>
    <w:p>
      <w:pPr>
        <w:spacing w:after="0" w:line="193" w:lineRule="exact"/>
        <w:rPr>
          <w:rFonts w:ascii="Arial" w:cs="Arial" w:eastAsia="Arial" w:hAnsi="Arial"/>
          <w:sz w:val="19"/>
          <w:szCs w:val="19"/>
          <w:color w:val="auto"/>
        </w:rPr>
      </w:pPr>
    </w:p>
    <w:p>
      <w:pPr>
        <w:ind w:left="660" w:right="160" w:hanging="652"/>
        <w:spacing w:after="0" w:line="265"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This Equity Retirement Policy shall be administered under the terms of the Incentive Plan and Award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thereunder, and by the Compensation Committee of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Any determinations made by the Committee shall be final and binding on all affected individuals. The Committee may consult with the Board and the Company’s management in evaluating any determinations made pursuant to this Policy.</w:t>
      </w:r>
    </w:p>
    <w:p>
      <w:pPr>
        <w:spacing w:after="0" w:line="182" w:lineRule="exact"/>
        <w:rPr>
          <w:rFonts w:ascii="Arial" w:cs="Arial" w:eastAsia="Arial" w:hAnsi="Arial"/>
          <w:sz w:val="19"/>
          <w:szCs w:val="19"/>
          <w:color w:val="auto"/>
        </w:rPr>
      </w:pPr>
    </w:p>
    <w:p>
      <w:pPr>
        <w:ind w:left="660" w:right="160" w:hanging="652"/>
        <w:spacing w:after="0" w:line="28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Covered Awards</w:t>
      </w:r>
      <w:r>
        <w:rPr>
          <w:rFonts w:ascii="Arial" w:cs="Arial" w:eastAsia="Arial" w:hAnsi="Arial"/>
          <w:sz w:val="18"/>
          <w:szCs w:val="18"/>
          <w:color w:val="auto"/>
        </w:rPr>
        <w:t>. The terms of this Policy shall be memorialized (i) in the terms of any Award Agreements in respect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after the Effective Date and (ii) by means of an amendment of, or other communication deemed to be an amendment of, the terms of an Award Agreement issued prior to the Effective Date and pursuant to which Awards remain outstanding, unless, in either case, the Committee determines the treatment set forth in this Policy should not be applied to a particular type of Award or set of granted Awards, provided that, if so determined, all similarly situated Awards shall be treated in the same manner.</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Retirement</w:t>
      </w:r>
      <w:r>
        <w:rPr>
          <w:rFonts w:ascii="Arial" w:cs="Arial" w:eastAsia="Arial" w:hAnsi="Arial"/>
          <w:sz w:val="20"/>
          <w:szCs w:val="20"/>
          <w:color w:val="auto"/>
        </w:rPr>
        <w:t>. For purposes of this Policy, “</w:t>
      </w:r>
      <w:r>
        <w:rPr>
          <w:rFonts w:ascii="Arial" w:cs="Arial" w:eastAsia="Arial" w:hAnsi="Arial"/>
          <w:sz w:val="20"/>
          <w:szCs w:val="20"/>
          <w:u w:val="single" w:color="auto"/>
          <w:color w:val="auto"/>
        </w:rPr>
        <w:t>Retirement</w:t>
      </w:r>
      <w:r>
        <w:rPr>
          <w:rFonts w:ascii="Arial" w:cs="Arial" w:eastAsia="Arial" w:hAnsi="Arial"/>
          <w:sz w:val="20"/>
          <w:szCs w:val="20"/>
          <w:color w:val="auto"/>
        </w:rPr>
        <w:t>” means:</w:t>
      </w:r>
    </w:p>
    <w:p>
      <w:pPr>
        <w:spacing w:after="0" w:line="21" w:lineRule="exact"/>
        <w:rPr>
          <w:rFonts w:ascii="Arial" w:cs="Arial" w:eastAsia="Arial" w:hAnsi="Arial"/>
          <w:sz w:val="20"/>
          <w:szCs w:val="20"/>
          <w:color w:val="auto"/>
        </w:rPr>
      </w:pPr>
    </w:p>
    <w:p>
      <w:pPr>
        <w:ind w:left="1300" w:right="580" w:hanging="644"/>
        <w:spacing w:after="0" w:line="244"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Subject to the terms of this Section 4, an award holder’s voluntary Termination after such date as the award holder has reached the earlier of:</w:t>
      </w:r>
    </w:p>
    <w:p>
      <w:pPr>
        <w:spacing w:after="0" w:line="204" w:lineRule="exact"/>
        <w:rPr>
          <w:rFonts w:ascii="Arial" w:cs="Arial" w:eastAsia="Arial" w:hAnsi="Arial"/>
          <w:sz w:val="20"/>
          <w:szCs w:val="20"/>
          <w:color w:val="auto"/>
        </w:rPr>
      </w:pPr>
    </w:p>
    <w:p>
      <w:pPr>
        <w:ind w:left="2240" w:hanging="288"/>
        <w:spacing w:after="0"/>
        <w:tabs>
          <w:tab w:leader="none" w:pos="22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 attaining age of fifty-five (55) and (ii) providing service to the Company for a period of at least ten (10) years;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13" w:lineRule="exact"/>
        <w:rPr>
          <w:rFonts w:ascii="Arial" w:cs="Arial" w:eastAsia="Arial" w:hAnsi="Arial"/>
          <w:sz w:val="18"/>
          <w:szCs w:val="18"/>
          <w:color w:val="auto"/>
        </w:rPr>
      </w:pPr>
    </w:p>
    <w:p>
      <w:pPr>
        <w:ind w:left="2240" w:hanging="288"/>
        <w:spacing w:after="0"/>
        <w:tabs>
          <w:tab w:leader="none" w:pos="2240" w:val="left"/>
        </w:tabs>
        <w:numPr>
          <w:ilvl w:val="2"/>
          <w:numId w:val="36"/>
        </w:numPr>
        <w:rPr>
          <w:rFonts w:ascii="Arial" w:cs="Arial" w:eastAsia="Arial" w:hAnsi="Arial"/>
          <w:sz w:val="20"/>
          <w:szCs w:val="20"/>
          <w:color w:val="auto"/>
        </w:rPr>
      </w:pPr>
      <w:r>
        <w:rPr>
          <w:rFonts w:ascii="Arial" w:cs="Arial" w:eastAsia="Arial" w:hAnsi="Arial"/>
          <w:sz w:val="20"/>
          <w:szCs w:val="20"/>
          <w:color w:val="auto"/>
        </w:rPr>
        <w:t>attaining age sixty-two (62), regardless of the award holder’s length of service.</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For purposes of Subsection 4(A):</w:t>
      </w:r>
    </w:p>
    <w:p>
      <w:pPr>
        <w:spacing w:after="0" w:line="229" w:lineRule="exact"/>
        <w:rPr>
          <w:rFonts w:ascii="Arial" w:cs="Arial" w:eastAsia="Arial" w:hAnsi="Arial"/>
          <w:sz w:val="20"/>
          <w:szCs w:val="20"/>
          <w:color w:val="auto"/>
        </w:rPr>
      </w:pPr>
    </w:p>
    <w:p>
      <w:pPr>
        <w:ind w:left="1300" w:right="20" w:hanging="644"/>
        <w:spacing w:after="0" w:line="243"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1. The award holder’s service to the Company shall include: (x) all time during which the award holder served as an employee or director of the Company and its affiliates, even if such time was not served in a continuous ten (10) year period, all such time counted based on the number of completed months of service; and (y) all time during which the award holder served as an employee of an entity acquired by or merged into the Company or its subsidiaries (an “</w:t>
      </w:r>
      <w:r>
        <w:rPr>
          <w:rFonts w:ascii="Arial" w:cs="Arial" w:eastAsia="Arial" w:hAnsi="Arial"/>
          <w:sz w:val="20"/>
          <w:szCs w:val="20"/>
          <w:u w:val="single" w:color="auto"/>
          <w:color w:val="auto"/>
        </w:rPr>
        <w:t>Acquired Entity</w:t>
      </w:r>
      <w:r>
        <w:rPr>
          <w:rFonts w:ascii="Arial" w:cs="Arial" w:eastAsia="Arial" w:hAnsi="Arial"/>
          <w:sz w:val="20"/>
          <w:szCs w:val="20"/>
          <w:color w:val="auto"/>
        </w:rPr>
        <w:t>”) where, and to the extent, the Company is obligated under the terms of the applicable transaction agreement to provide past service credit to employees of the Acquired Entity, but only to the extent of completed months of service. 2. Notwithstanding anything to the contrary, an award 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94" w:name="page95"/>
    <w:bookmarkEnd w:id="94"/>
    <w:p>
      <w:pPr>
        <w:ind w:left="10220"/>
        <w:spacing w:after="0"/>
        <w:rPr>
          <w:sz w:val="20"/>
          <w:szCs w:val="20"/>
          <w:color w:val="auto"/>
        </w:rPr>
      </w:pPr>
      <w:r>
        <w:rPr>
          <w:rFonts w:ascii="Arial" w:cs="Arial" w:eastAsia="Arial" w:hAnsi="Arial"/>
          <w:sz w:val="16"/>
          <w:szCs w:val="16"/>
          <w:b w:val="1"/>
          <w:bCs w:val="1"/>
          <w:color w:val="auto"/>
        </w:rPr>
        <w:t>Exhibit 10.18</w:t>
      </w:r>
    </w:p>
    <w:p>
      <w:pPr>
        <w:spacing w:after="0" w:line="250" w:lineRule="exact"/>
        <w:rPr>
          <w:sz w:val="20"/>
          <w:szCs w:val="20"/>
          <w:color w:val="auto"/>
        </w:rPr>
      </w:pPr>
    </w:p>
    <w:p>
      <w:pPr>
        <w:ind w:left="1300" w:right="240"/>
        <w:spacing w:after="0" w:line="244" w:lineRule="auto"/>
        <w:rPr>
          <w:sz w:val="20"/>
          <w:szCs w:val="20"/>
          <w:color w:val="auto"/>
        </w:rPr>
      </w:pPr>
      <w:r>
        <w:rPr>
          <w:rFonts w:ascii="Arial" w:cs="Arial" w:eastAsia="Arial" w:hAnsi="Arial"/>
          <w:sz w:val="19"/>
          <w:szCs w:val="19"/>
          <w:color w:val="auto"/>
        </w:rPr>
        <w:t>voluntary Termination will not be treated as a Retirement for purposes of this policy, unless the award holder has provided written notice (a “</w:t>
      </w:r>
      <w:r>
        <w:rPr>
          <w:rFonts w:ascii="Arial" w:cs="Arial" w:eastAsia="Arial" w:hAnsi="Arial"/>
          <w:sz w:val="19"/>
          <w:szCs w:val="19"/>
          <w:u w:val="single" w:color="auto"/>
          <w:color w:val="auto"/>
        </w:rPr>
        <w:t>Retirement Notice</w:t>
      </w:r>
      <w:r>
        <w:rPr>
          <w:rFonts w:ascii="Arial" w:cs="Arial" w:eastAsia="Arial" w:hAnsi="Arial"/>
          <w:sz w:val="19"/>
          <w:szCs w:val="19"/>
          <w:color w:val="auto"/>
        </w:rPr>
        <w:t>”) to the Company’s most senior Human Resources Officer of the award holder’s intention to Retire at least one (1) year prior to the effective date of the Termination (such effective date, the “</w:t>
      </w: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subject to the award holder’s continued employment through the Retirement Date; 3. A Termination will not constitute a Retirement if grounds for a Termination for Cause existed at the time the Retirement Notice is delivered to the Company or at any time prior to the Retirement Date.</w:t>
      </w:r>
    </w:p>
    <w:p>
      <w:pPr>
        <w:spacing w:after="0" w:line="187" w:lineRule="exact"/>
        <w:rPr>
          <w:sz w:val="20"/>
          <w:szCs w:val="20"/>
          <w:color w:val="auto"/>
        </w:rPr>
      </w:pPr>
    </w:p>
    <w:p>
      <w:pPr>
        <w:jc w:val="both"/>
        <w:ind w:left="660" w:right="80" w:hanging="652"/>
        <w:spacing w:after="0" w:line="3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b w:val="1"/>
          <w:bCs w:val="1"/>
          <w:u w:val="single" w:color="auto"/>
          <w:color w:val="auto"/>
        </w:rPr>
        <w:t>Treatment in the event of a Retirement</w:t>
      </w:r>
      <w:r>
        <w:rPr>
          <w:rFonts w:ascii="Arial" w:cs="Arial" w:eastAsia="Arial" w:hAnsi="Arial"/>
          <w:sz w:val="16"/>
          <w:szCs w:val="16"/>
          <w:color w:val="auto"/>
        </w:rPr>
        <w:t>. Unless otherwise determined by the Committee, at the time of grant, in the case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after the Effective Date, or by not issuing an amendment (or deemed amendment) for Awards outstanding immediately prior to the Effective Date, in the event of an award holder’s Retirement, Awards held by the award holder shall be treated as follows:</w:t>
      </w:r>
    </w:p>
    <w:p>
      <w:pPr>
        <w:spacing w:after="0" w:line="128" w:lineRule="exact"/>
        <w:rPr>
          <w:rFonts w:ascii="Arial" w:cs="Arial" w:eastAsia="Arial" w:hAnsi="Arial"/>
          <w:sz w:val="16"/>
          <w:szCs w:val="16"/>
          <w:color w:val="auto"/>
        </w:rPr>
      </w:pPr>
    </w:p>
    <w:p>
      <w:pPr>
        <w:ind w:left="1300" w:hanging="644"/>
        <w:spacing w:after="0"/>
        <w:tabs>
          <w:tab w:leader="none" w:pos="13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Stock Options</w:t>
      </w:r>
    </w:p>
    <w:p>
      <w:pPr>
        <w:spacing w:after="0" w:line="229" w:lineRule="exact"/>
        <w:rPr>
          <w:rFonts w:ascii="Arial" w:cs="Arial" w:eastAsia="Arial" w:hAnsi="Arial"/>
          <w:sz w:val="20"/>
          <w:szCs w:val="20"/>
          <w:color w:val="auto"/>
        </w:rPr>
      </w:pPr>
    </w:p>
    <w:p>
      <w:pPr>
        <w:ind w:left="1960" w:right="440" w:hanging="656"/>
        <w:spacing w:after="0" w:line="260" w:lineRule="auto"/>
        <w:tabs>
          <w:tab w:leader="none" w:pos="19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Any portion of a Stock Option that is unvested as of the Retirement Date will be immediately forfeited as of the award holder’s Retirement Date.</w:t>
      </w:r>
    </w:p>
    <w:p>
      <w:pPr>
        <w:spacing w:after="0" w:line="190" w:lineRule="exact"/>
        <w:rPr>
          <w:rFonts w:ascii="Arial" w:cs="Arial" w:eastAsia="Arial" w:hAnsi="Arial"/>
          <w:sz w:val="20"/>
          <w:szCs w:val="20"/>
          <w:color w:val="auto"/>
        </w:rPr>
      </w:pPr>
    </w:p>
    <w:p>
      <w:pPr>
        <w:ind w:left="1960" w:right="140" w:hanging="656"/>
        <w:spacing w:after="0" w:line="250" w:lineRule="auto"/>
        <w:tabs>
          <w:tab w:leader="none" w:pos="19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That portion of a Stock Option that is considered vested as of the Retirement Date will remain exercisable by the award holder, or the award holder’s estate in the event of the award holders’ death, for the remainder of the original term of the Stock Option.</w:t>
      </w:r>
    </w:p>
    <w:p>
      <w:pPr>
        <w:spacing w:after="0" w:line="199" w:lineRule="exact"/>
        <w:rPr>
          <w:rFonts w:ascii="Arial" w:cs="Arial" w:eastAsia="Arial" w:hAnsi="Arial"/>
          <w:sz w:val="20"/>
          <w:szCs w:val="20"/>
          <w:color w:val="auto"/>
        </w:rPr>
      </w:pPr>
    </w:p>
    <w:p>
      <w:pPr>
        <w:ind w:left="1960" w:hanging="656"/>
        <w:spacing w:after="0" w:line="246" w:lineRule="auto"/>
        <w:tabs>
          <w:tab w:leader="none" w:pos="19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Other than as specifically described in this Policy, all rules and procedures governing the exercise of a Stock Option that generally apply under the terms of the Incentive Plan, stock option Award Agreements and all applicable policies and practices of the Company, will continue to govern the exercise of the Stock Option that occurs following the Retirement Date.</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Performance Stock Units</w:t>
      </w:r>
    </w:p>
    <w:p>
      <w:pPr>
        <w:spacing w:after="0" w:line="229" w:lineRule="exact"/>
        <w:rPr>
          <w:rFonts w:ascii="Arial" w:cs="Arial" w:eastAsia="Arial" w:hAnsi="Arial"/>
          <w:sz w:val="20"/>
          <w:szCs w:val="20"/>
          <w:color w:val="auto"/>
        </w:rPr>
      </w:pPr>
    </w:p>
    <w:p>
      <w:pPr>
        <w:ind w:left="1960" w:right="140" w:hanging="656"/>
        <w:spacing w:after="0" w:line="263" w:lineRule="auto"/>
        <w:tabs>
          <w:tab w:leader="none" w:pos="1960"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vesting of that portion of a performance-based restricted stock unit (“</w:t>
      </w:r>
      <w:r>
        <w:rPr>
          <w:rFonts w:ascii="Arial" w:cs="Arial" w:eastAsia="Arial" w:hAnsi="Arial"/>
          <w:sz w:val="19"/>
          <w:szCs w:val="19"/>
          <w:u w:val="single" w:color="auto"/>
          <w:color w:val="auto"/>
        </w:rPr>
        <w:t>PSU</w:t>
      </w:r>
      <w:r>
        <w:rPr>
          <w:rFonts w:ascii="Arial" w:cs="Arial" w:eastAsia="Arial" w:hAnsi="Arial"/>
          <w:sz w:val="19"/>
          <w:szCs w:val="19"/>
          <w:color w:val="auto"/>
        </w:rPr>
        <w:t>”) award that is unvested as of the Retirement Date will continue to vest under the terms of the PSU’s Award Agreement, and the award holder will be entitled to receive payment in respect of a pro-rated portion of the number of PSUs that otherwise would have been earned by the Award Holder notwithstanding the award holder’s Retirement.</w:t>
      </w:r>
    </w:p>
    <w:p>
      <w:pPr>
        <w:spacing w:after="0" w:line="189" w:lineRule="exact"/>
        <w:rPr>
          <w:rFonts w:ascii="Arial" w:cs="Arial" w:eastAsia="Arial" w:hAnsi="Arial"/>
          <w:sz w:val="19"/>
          <w:szCs w:val="19"/>
          <w:color w:val="auto"/>
        </w:rPr>
      </w:pPr>
    </w:p>
    <w:p>
      <w:pPr>
        <w:ind w:left="1960" w:right="80" w:hanging="656"/>
        <w:spacing w:after="0" w:line="260" w:lineRule="auto"/>
        <w:tabs>
          <w:tab w:leader="none" w:pos="19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The pro-rated portion to which the award holder will be entitled following a Retirement will be calculated according to the formula A x (B/C), where:</w:t>
      </w:r>
    </w:p>
    <w:p>
      <w:pPr>
        <w:spacing w:after="0" w:line="190" w:lineRule="exact"/>
        <w:rPr>
          <w:sz w:val="20"/>
          <w:szCs w:val="20"/>
          <w:color w:val="auto"/>
        </w:rPr>
      </w:pPr>
    </w:p>
    <w:p>
      <w:pPr>
        <w:ind w:left="1960" w:right="260" w:firstLine="648"/>
        <w:spacing w:after="0" w:line="316" w:lineRule="auto"/>
        <w:rPr>
          <w:sz w:val="20"/>
          <w:szCs w:val="20"/>
          <w:color w:val="auto"/>
        </w:rPr>
      </w:pPr>
      <w:r>
        <w:rPr>
          <w:rFonts w:ascii="Arial" w:cs="Arial" w:eastAsia="Arial" w:hAnsi="Arial"/>
          <w:sz w:val="18"/>
          <w:szCs w:val="18"/>
          <w:color w:val="auto"/>
        </w:rPr>
        <w:t>A – equals the number of PSUs that would have been considered earned by the award holder based on the performance criteria under the terms of the PSU Award Agreement absent the award Holder’s Retirement;</w:t>
      </w:r>
    </w:p>
    <w:p>
      <w:pPr>
        <w:spacing w:after="0" w:line="143" w:lineRule="exact"/>
        <w:rPr>
          <w:sz w:val="20"/>
          <w:szCs w:val="20"/>
          <w:color w:val="auto"/>
        </w:rPr>
      </w:pPr>
    </w:p>
    <w:p>
      <w:pPr>
        <w:ind w:left="1960" w:right="220" w:firstLine="648"/>
        <w:spacing w:after="0" w:line="260" w:lineRule="auto"/>
        <w:rPr>
          <w:sz w:val="20"/>
          <w:szCs w:val="20"/>
          <w:color w:val="auto"/>
        </w:rPr>
      </w:pPr>
      <w:r>
        <w:rPr>
          <w:rFonts w:ascii="Arial" w:cs="Arial" w:eastAsia="Arial" w:hAnsi="Arial"/>
          <w:sz w:val="20"/>
          <w:szCs w:val="20"/>
          <w:color w:val="auto"/>
        </w:rPr>
        <w:t>B – equals the number of completed days of service between the grant date of the PSU and the Retirement Date; and</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C – equals the number of days in the original performance period of such PSU.</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The number of PSUs based on this prorated calculation shall be the known as the “</w:t>
      </w:r>
      <w:r>
        <w:rPr>
          <w:rFonts w:ascii="Arial" w:cs="Arial" w:eastAsia="Arial" w:hAnsi="Arial"/>
          <w:sz w:val="19"/>
          <w:szCs w:val="19"/>
          <w:u w:val="single" w:color="auto"/>
          <w:color w:val="auto"/>
        </w:rPr>
        <w:t>Prorated Earned PSUs</w:t>
      </w:r>
      <w:r>
        <w:rPr>
          <w:rFonts w:ascii="Arial" w:cs="Arial" w:eastAsia="Arial" w:hAnsi="Arial"/>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10.18</w:t>
      </w:r>
    </w:p>
    <w:p>
      <w:pPr>
        <w:spacing w:after="0" w:line="227" w:lineRule="exact"/>
        <w:rPr>
          <w:sz w:val="20"/>
          <w:szCs w:val="20"/>
          <w:color w:val="auto"/>
        </w:rPr>
      </w:pPr>
    </w:p>
    <w:p>
      <w:pPr>
        <w:ind w:left="1960" w:right="20" w:hanging="656"/>
        <w:spacing w:after="0" w:line="250" w:lineRule="auto"/>
        <w:tabs>
          <w:tab w:leader="none" w:pos="1960" w:val="left"/>
        </w:tabs>
        <w:numPr>
          <w:ilvl w:val="2"/>
          <w:numId w:val="38"/>
        </w:numPr>
        <w:rPr>
          <w:rFonts w:ascii="Arial" w:cs="Arial" w:eastAsia="Arial" w:hAnsi="Arial"/>
          <w:sz w:val="20"/>
          <w:szCs w:val="20"/>
          <w:color w:val="auto"/>
        </w:rPr>
      </w:pPr>
      <w:r>
        <w:rPr>
          <w:rFonts w:ascii="Arial" w:cs="Arial" w:eastAsia="Arial" w:hAnsi="Arial"/>
          <w:sz w:val="20"/>
          <w:szCs w:val="20"/>
          <w:color w:val="auto"/>
        </w:rPr>
        <w:t>The Prorated Earned PSUs shall be settled at the same time and in the same manner as the PSUs are settled for active award holders, within thirty (30) days of the PSU’s Vesting Date (as defined in the applicable PSU Award Agreement).</w:t>
      </w:r>
    </w:p>
    <w:p>
      <w:pPr>
        <w:spacing w:after="0" w:line="199" w:lineRule="exact"/>
        <w:rPr>
          <w:rFonts w:ascii="Arial" w:cs="Arial" w:eastAsia="Arial" w:hAnsi="Arial"/>
          <w:sz w:val="20"/>
          <w:szCs w:val="20"/>
          <w:color w:val="auto"/>
        </w:rPr>
      </w:pPr>
    </w:p>
    <w:p>
      <w:pPr>
        <w:ind w:left="1960" w:right="160" w:hanging="656"/>
        <w:spacing w:after="0" w:line="250" w:lineRule="auto"/>
        <w:tabs>
          <w:tab w:leader="none" w:pos="1960" w:val="left"/>
        </w:tabs>
        <w:numPr>
          <w:ilvl w:val="2"/>
          <w:numId w:val="38"/>
        </w:numPr>
        <w:rPr>
          <w:rFonts w:ascii="Arial" w:cs="Arial" w:eastAsia="Arial" w:hAnsi="Arial"/>
          <w:sz w:val="20"/>
          <w:szCs w:val="20"/>
          <w:color w:val="auto"/>
        </w:rPr>
      </w:pPr>
      <w:r>
        <w:rPr>
          <w:rFonts w:ascii="Arial" w:cs="Arial" w:eastAsia="Arial" w:hAnsi="Arial"/>
          <w:sz w:val="20"/>
          <w:szCs w:val="20"/>
          <w:color w:val="auto"/>
        </w:rPr>
        <w:t>Any portion of the PSU that is not considered part of the Prorated Earned PSU amount, in accordance with the pro-rata calculation described in this Subsection 5(C), will be immediately forfeited as of the end of the PSU’s performance period.</w:t>
      </w:r>
    </w:p>
    <w:p>
      <w:pPr>
        <w:spacing w:after="0" w:line="193" w:lineRule="exact"/>
        <w:rPr>
          <w:rFonts w:ascii="Arial" w:cs="Arial" w:eastAsia="Arial" w:hAnsi="Arial"/>
          <w:sz w:val="20"/>
          <w:szCs w:val="20"/>
          <w:color w:val="auto"/>
        </w:rPr>
      </w:pPr>
    </w:p>
    <w:p>
      <w:pPr>
        <w:ind w:left="660" w:hanging="652"/>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Matters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8"/>
          <w:szCs w:val="18"/>
          <w:color w:val="auto"/>
        </w:rPr>
        <w:t>Section 409A.</w:t>
      </w:r>
    </w:p>
    <w:p>
      <w:pPr>
        <w:spacing w:after="0" w:line="229" w:lineRule="exact"/>
        <w:rPr>
          <w:rFonts w:ascii="Arial" w:cs="Arial" w:eastAsia="Arial" w:hAnsi="Arial"/>
          <w:sz w:val="20"/>
          <w:szCs w:val="20"/>
          <w:color w:val="auto"/>
        </w:rPr>
      </w:pPr>
    </w:p>
    <w:p>
      <w:pPr>
        <w:ind w:left="1960" w:right="160" w:hanging="656"/>
        <w:spacing w:after="0" w:line="246" w:lineRule="auto"/>
        <w:tabs>
          <w:tab w:leader="none" w:pos="1960" w:val="left"/>
        </w:tabs>
        <w:numPr>
          <w:ilvl w:val="2"/>
          <w:numId w:val="39"/>
        </w:numPr>
        <w:rPr>
          <w:rFonts w:ascii="Arial" w:cs="Arial" w:eastAsia="Arial" w:hAnsi="Arial"/>
          <w:sz w:val="20"/>
          <w:szCs w:val="20"/>
          <w:color w:val="auto"/>
        </w:rPr>
      </w:pPr>
      <w:r>
        <w:rPr>
          <w:rFonts w:ascii="Arial" w:cs="Arial" w:eastAsia="Arial" w:hAnsi="Arial"/>
          <w:sz w:val="20"/>
          <w:szCs w:val="20"/>
          <w:color w:val="auto"/>
        </w:rPr>
        <w:t>Stock Options and PSUs, including any provisions that apply in light of this Policy, are intended to be exempt from Section 409A of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The Company will add any provisions to the applicable Award Agreements as deemed to be necessary or desirable regarding Section 409A compliance matters.</w:t>
      </w:r>
    </w:p>
    <w:p>
      <w:pPr>
        <w:spacing w:after="0" w:line="204" w:lineRule="exact"/>
        <w:rPr>
          <w:rFonts w:ascii="Arial" w:cs="Arial" w:eastAsia="Arial" w:hAnsi="Arial"/>
          <w:sz w:val="20"/>
          <w:szCs w:val="20"/>
          <w:color w:val="auto"/>
        </w:rPr>
      </w:pPr>
    </w:p>
    <w:p>
      <w:pPr>
        <w:ind w:left="1960" w:right="40" w:hanging="656"/>
        <w:spacing w:after="0" w:line="270"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For any Awards that are considered to provide a “deferral of compensation” under Section 409A of the Code, certain payroll taxes (FICA) are due upon an award holder becoming “retirement eligible.” For such awards, if any, the Company will develop procedures to withhold the applicable employee portion of the FICA tax obligations at such time as the award holder is considered retirement eligible by providing the Company with a Retirement Notice. These procedures may include, by are not limited to, (i) withholding cash amounts from the award holder’s first paycheck to be disbursed immediately following the award holder’s delivery of the Retirement Notice, or such other date as may be required or permitted by applicable law, as determined by the Company in its sole discretion and, (ii) withholding, upon the delivery of a Retirement Notice, a number of shares underlying the Award, the value of which shares (on the date the withholding occurs) equals the award holder’s relevant tax obligations, including any additional taxes that become due because of the share withholding process. For this purpose, the amount of payroll taxes due shall be based on the Fair Market Value of the Shares underlying the Award that remained unvested as of immediately prior to the date on which the tax is assessed.</w:t>
      </w:r>
    </w:p>
    <w:p>
      <w:pPr>
        <w:spacing w:after="0" w:line="183" w:lineRule="exact"/>
        <w:rPr>
          <w:rFonts w:ascii="Arial" w:cs="Arial" w:eastAsia="Arial" w:hAnsi="Arial"/>
          <w:sz w:val="18"/>
          <w:szCs w:val="18"/>
          <w:color w:val="auto"/>
        </w:rPr>
      </w:pPr>
    </w:p>
    <w:p>
      <w:pPr>
        <w:jc w:val="both"/>
        <w:ind w:left="660" w:right="760" w:hanging="652"/>
        <w:spacing w:after="0" w:line="3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The Committee is authorized to interpret and construe this Policy and to make all determinations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or advisable for the administration of this Policy. It is intended that this Policy be interpreted in a manner that is consistent with any applicable rules, including but not limited to Section 409A of the Code, (the “</w:t>
      </w:r>
      <w:r>
        <w:rPr>
          <w:rFonts w:ascii="Arial" w:cs="Arial" w:eastAsia="Arial" w:hAnsi="Arial"/>
          <w:sz w:val="16"/>
          <w:szCs w:val="16"/>
          <w:u w:val="single" w:color="auto"/>
          <w:color w:val="auto"/>
        </w:rPr>
        <w:t>Applicable Rules</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ind w:left="660" w:right="20" w:hanging="652"/>
        <w:spacing w:after="0" w:line="253"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This Policy shall be effective as of the date first written above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apply to Awards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Section 3, subject to the issuance by the Company of a new Award Agreement, or amendment, or deemed amendment, to an existing Award Agreement, as applicable.</w:t>
      </w:r>
    </w:p>
    <w:p>
      <w:pPr>
        <w:spacing w:after="0" w:line="190" w:lineRule="exact"/>
        <w:rPr>
          <w:rFonts w:ascii="Arial" w:cs="Arial" w:eastAsia="Arial" w:hAnsi="Arial"/>
          <w:sz w:val="20"/>
          <w:szCs w:val="20"/>
          <w:color w:val="auto"/>
        </w:rPr>
      </w:pPr>
    </w:p>
    <w:p>
      <w:pPr>
        <w:ind w:left="660" w:right="280" w:hanging="652"/>
        <w:spacing w:after="0" w:line="248"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Termination</w:t>
      </w:r>
      <w:r>
        <w:rPr>
          <w:rFonts w:ascii="Arial" w:cs="Arial" w:eastAsia="Arial" w:hAnsi="Arial"/>
          <w:sz w:val="20"/>
          <w:szCs w:val="20"/>
          <w:color w:val="auto"/>
        </w:rPr>
        <w:t>. The Board may amend this Policy from time to time in its discretion and shall amend this Policy as it</w:t>
      </w:r>
      <w:r>
        <w:rPr>
          <w:rFonts w:ascii="Arial" w:cs="Arial" w:eastAsia="Arial" w:hAnsi="Arial"/>
          <w:sz w:val="20"/>
          <w:szCs w:val="20"/>
          <w:b w:val="1"/>
          <w:bCs w:val="1"/>
          <w:color w:val="auto"/>
        </w:rPr>
        <w:t xml:space="preserve"> </w:t>
      </w:r>
      <w:r>
        <w:rPr>
          <w:rFonts w:ascii="Arial" w:cs="Arial" w:eastAsia="Arial" w:hAnsi="Arial"/>
          <w:sz w:val="20"/>
          <w:szCs w:val="20"/>
          <w:color w:val="auto"/>
        </w:rPr>
        <w:t>deems necessary to reflect changes in any Applicable Rules. The Board may suspend, discontinue or terminate this Policy at any time; provided, however no such amendment or other action by the Committee shall impair the rights of any award holder without the award holder’s consent.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Subsidiaries of The Simply Good Foods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Jurisdiction</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Atkins Intermediate Holdings, LLC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Conyers Park Acquisition Corp., Inc.</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NCP-ATK Holdings, Inc.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Atkins Nutritional Holdings, Inc.</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Atkins Nutritional Holdings II, Inc.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Simply Good Foods USA, Inc.</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4"/>
              </w:rPr>
              <w:t>New York</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Simply Good Foods Canada Inc.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89"/>
              </w:rPr>
              <w:t>Ontario, Canada</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Simply Good Foods International B.V.</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88"/>
              </w:rPr>
              <w:t>Netherlands</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Atkins Iberia, Sociedad Limitada</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1"/>
              </w:rPr>
              <w:t>Spain</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Atkins International LTD</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5"/>
              </w:rPr>
              <w:t>United Kingdom</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Simply Good Foods Australia PTY LTD</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4"/>
              </w:rPr>
              <w:t>Australia</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Simply Good Foods NZ Limited</w:t>
            </w:r>
          </w:p>
        </w:tc>
        <w:tc>
          <w:tcPr>
            <w:tcW w:w="4800" w:type="dxa"/>
            <w:vAlign w:val="bottom"/>
          </w:tcPr>
          <w:p>
            <w:pPr>
              <w:jc w:val="center"/>
              <w:ind w:right="590"/>
              <w:spacing w:after="0"/>
              <w:rPr>
                <w:sz w:val="20"/>
                <w:szCs w:val="20"/>
                <w:color w:val="auto"/>
              </w:rPr>
            </w:pPr>
            <w:r>
              <w:rPr>
                <w:rFonts w:ascii="Arial" w:cs="Arial" w:eastAsia="Arial" w:hAnsi="Arial"/>
                <w:sz w:val="18"/>
                <w:szCs w:val="18"/>
                <w:color w:val="auto"/>
                <w:w w:val="90"/>
              </w:rPr>
              <w:t>New Zealand</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VMG Quest Blocker, Inc.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Voyage Holdings, LLC</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7"/>
        </w:trPr>
        <w:tc>
          <w:tcPr>
            <w:tcW w:w="440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Quest Nutrition, LLC</w:t>
            </w:r>
          </w:p>
        </w:tc>
        <w:tc>
          <w:tcPr>
            <w:tcW w:w="4800" w:type="dxa"/>
            <w:vAlign w:val="bottom"/>
            <w:tcBorders>
              <w:bottom w:val="single" w:sz="8" w:color="CCEEFF"/>
            </w:tcBorders>
            <w:shd w:val="clear" w:color="auto" w:fill="CCEEFF"/>
          </w:tcPr>
          <w:p>
            <w:pPr>
              <w:jc w:val="center"/>
              <w:ind w:right="610"/>
              <w:spacing w:after="0"/>
              <w:rPr>
                <w:sz w:val="20"/>
                <w:szCs w:val="20"/>
                <w:color w:val="auto"/>
              </w:rPr>
            </w:pPr>
            <w:r>
              <w:rPr>
                <w:rFonts w:ascii="Arial" w:cs="Arial" w:eastAsia="Arial" w:hAnsi="Arial"/>
                <w:sz w:val="18"/>
                <w:szCs w:val="18"/>
                <w:color w:val="auto"/>
                <w:w w:val="92"/>
              </w:rPr>
              <w:t>Delaware</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Quest Nutrition Limited</w:t>
            </w: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5"/>
              </w:rPr>
              <w:t>United Kingdom</w:t>
            </w:r>
          </w:p>
        </w:tc>
      </w:tr>
    </w:tbl>
    <w:p>
      <w:pPr>
        <w:sectPr>
          <w:pgSz w:w="11900" w:h="16838" w:orient="portrait"/>
          <w:cols w:equalWidth="0" w:num="1">
            <w:col w:w="10220"/>
          </w:cols>
          <w:pgMar w:left="1340" w:top="55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333-220776 on Form S-8 and Nos. 333-228696 and 333-234004 on Form S-3 of our reports dated October 28, 2020, relating to the consolidated financial statements of The Simply Good Foods Company and subsidiaries and the effectiveness of The Simply Good Foods Company and subsidiaries’ internal control over financial reporting appearing in this Annual Report on Form 10-K of The Simply Good Foods Company for the fifty-two weeks ended August 29,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ectPr>
          <w:pgSz w:w="11900" w:h="16838" w:orient="portrait"/>
          <w:cols w:equalWidth="0" w:num="1">
            <w:col w:w="11240"/>
          </w:cols>
          <w:pgMar w:left="320" w:top="55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on Form S-8 (No. 333-220776) pertaining to the 2017 Omnibus Incentive Plan of The Simply Good Foods Company;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on Form S-3 (No. 333-228696) and related prospectus of The Simply Good Foods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Statement on Form S-3 (No. 333- 234004) and related prospectus of The Simply Good Foods Company</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of our report dated October 24, 2018, except with respect to our opinion on the consolidated financial statements insofar as it relates to the effects of the changes discussed in Note 2, “Change in Accounting Principal”, as to which the date is October 30, 2019, with respect to the consolidated financial statements included in this Annual Report (Form 10-K) of The Simply Good Foods Company and subsidiaries for the year ended August 29,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ectPr>
          <w:pgSz w:w="11900" w:h="16838" w:orient="portrait"/>
          <w:cols w:equalWidth="0" w:num="1">
            <w:col w:w="11240"/>
          </w:cols>
          <w:pgMar w:left="320" w:top="55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Date: October 28, 2020  By:</w:t>
            </w:r>
          </w:p>
        </w:tc>
        <w:tc>
          <w:tcPr>
            <w:tcW w:w="36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2240" w:type="dxa"/>
            <w:vAlign w:val="bottom"/>
            <w:vMerge w:val="restart"/>
          </w:tcPr>
          <w:p>
            <w:pPr>
              <w:ind w:left="1640"/>
              <w:spacing w:after="0"/>
              <w:rPr>
                <w:sz w:val="20"/>
                <w:szCs w:val="20"/>
                <w:color w:val="auto"/>
              </w:rPr>
            </w:pPr>
            <w:r>
              <w:rPr>
                <w:rFonts w:ascii="Arial" w:cs="Arial" w:eastAsia="Arial" w:hAnsi="Arial"/>
                <w:sz w:val="16"/>
                <w:szCs w:val="16"/>
                <w:color w:val="auto"/>
              </w:rPr>
              <w:t>Name:</w:t>
            </w:r>
          </w:p>
        </w:tc>
        <w:tc>
          <w:tcPr>
            <w:tcW w:w="3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4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2240" w:type="dxa"/>
            <w:vAlign w:val="bottom"/>
          </w:tcPr>
          <w:p>
            <w:pPr>
              <w:ind w:left="1640"/>
              <w:spacing w:after="0"/>
              <w:rPr>
                <w:sz w:val="20"/>
                <w:szCs w:val="20"/>
                <w:color w:val="auto"/>
              </w:rPr>
            </w:pPr>
            <w:r>
              <w:rPr>
                <w:rFonts w:ascii="Arial" w:cs="Arial" w:eastAsia="Arial" w:hAnsi="Arial"/>
                <w:sz w:val="16"/>
                <w:szCs w:val="16"/>
                <w:color w:val="auto"/>
              </w:rPr>
              <w:t>Title:</w:t>
            </w:r>
          </w:p>
        </w:tc>
        <w:tc>
          <w:tcPr>
            <w:tcW w:w="36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Date: October 28, 2020  By:</w:t>
            </w:r>
          </w:p>
        </w:tc>
        <w:tc>
          <w:tcPr>
            <w:tcW w:w="3600" w:type="dxa"/>
            <w:vAlign w:val="bottom"/>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2240" w:type="dxa"/>
            <w:vAlign w:val="bottom"/>
            <w:vMerge w:val="restart"/>
          </w:tcPr>
          <w:p>
            <w:pPr>
              <w:ind w:left="1640"/>
              <w:spacing w:after="0"/>
              <w:rPr>
                <w:sz w:val="20"/>
                <w:szCs w:val="20"/>
                <w:color w:val="auto"/>
              </w:rPr>
            </w:pPr>
            <w:r>
              <w:rPr>
                <w:rFonts w:ascii="Arial" w:cs="Arial" w:eastAsia="Arial" w:hAnsi="Arial"/>
                <w:sz w:val="16"/>
                <w:szCs w:val="16"/>
                <w:color w:val="auto"/>
              </w:rPr>
              <w:t>Name:</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7"/>
        </w:trPr>
        <w:tc>
          <w:tcPr>
            <w:tcW w:w="2240" w:type="dxa"/>
            <w:vAlign w:val="bottom"/>
          </w:tcPr>
          <w:p>
            <w:pPr>
              <w:ind w:left="1640"/>
              <w:spacing w:after="0"/>
              <w:rPr>
                <w:sz w:val="20"/>
                <w:szCs w:val="20"/>
                <w:color w:val="auto"/>
              </w:rPr>
            </w:pPr>
            <w:r>
              <w:rPr>
                <w:rFonts w:ascii="Arial" w:cs="Arial" w:eastAsia="Arial" w:hAnsi="Arial"/>
                <w:sz w:val="16"/>
                <w:szCs w:val="16"/>
                <w:color w:val="auto"/>
              </w:rPr>
              <w:t>Title:</w:t>
            </w:r>
          </w:p>
        </w:tc>
        <w:tc>
          <w:tcPr>
            <w:tcW w:w="36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of The Simply Good Foods Company (the “Company”) on Form 10-K for the fiscal year ended August 29, 2020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65" w:lineRule="exact"/>
        <w:rPr>
          <w:sz w:val="20"/>
          <w:szCs w:val="20"/>
          <w:color w:val="auto"/>
        </w:rPr>
      </w:pPr>
    </w:p>
    <w:p>
      <w:pPr>
        <w:ind w:left="840" w:hanging="184"/>
        <w:spacing w:after="0"/>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580" w:type="dxa"/>
            <w:vAlign w:val="bottom"/>
          </w:tcPr>
          <w:p>
            <w:pPr>
              <w:spacing w:after="0"/>
              <w:rPr>
                <w:sz w:val="20"/>
                <w:szCs w:val="20"/>
                <w:color w:val="auto"/>
              </w:rPr>
            </w:pPr>
            <w:r>
              <w:rPr>
                <w:rFonts w:ascii="Arial" w:cs="Arial" w:eastAsia="Arial" w:hAnsi="Arial"/>
                <w:sz w:val="16"/>
                <w:szCs w:val="16"/>
                <w:color w:val="auto"/>
                <w:w w:val="93"/>
              </w:rPr>
              <w:t>Date: October 28, 2020</w:t>
            </w:r>
          </w:p>
        </w:tc>
        <w:tc>
          <w:tcPr>
            <w:tcW w:w="660" w:type="dxa"/>
            <w:vAlign w:val="bottom"/>
          </w:tcPr>
          <w:p>
            <w:pPr>
              <w:ind w:left="60"/>
              <w:spacing w:after="0"/>
              <w:rPr>
                <w:sz w:val="20"/>
                <w:szCs w:val="20"/>
                <w:color w:val="auto"/>
              </w:rPr>
            </w:pPr>
            <w:r>
              <w:rPr>
                <w:rFonts w:ascii="Arial" w:cs="Arial" w:eastAsia="Arial" w:hAnsi="Arial"/>
                <w:sz w:val="16"/>
                <w:szCs w:val="16"/>
                <w:color w:val="auto"/>
              </w:rPr>
              <w:t>By:</w:t>
            </w:r>
          </w:p>
        </w:tc>
        <w:tc>
          <w:tcPr>
            <w:tcW w:w="36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Name:</w:t>
            </w:r>
          </w:p>
        </w:tc>
        <w:tc>
          <w:tcPr>
            <w:tcW w:w="3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Title:</w:t>
            </w:r>
          </w:p>
        </w:tc>
        <w:tc>
          <w:tcPr>
            <w:tcW w:w="36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94"/>
        </w:trPr>
        <w:tc>
          <w:tcPr>
            <w:tcW w:w="1580" w:type="dxa"/>
            <w:vAlign w:val="bottom"/>
          </w:tcPr>
          <w:p>
            <w:pPr>
              <w:spacing w:after="0"/>
              <w:rPr>
                <w:sz w:val="20"/>
                <w:szCs w:val="20"/>
                <w:color w:val="auto"/>
              </w:rPr>
            </w:pPr>
            <w:r>
              <w:rPr>
                <w:rFonts w:ascii="Arial" w:cs="Arial" w:eastAsia="Arial" w:hAnsi="Arial"/>
                <w:sz w:val="16"/>
                <w:szCs w:val="16"/>
                <w:color w:val="auto"/>
                <w:w w:val="93"/>
              </w:rPr>
              <w:t>Date: October 28, 2020</w:t>
            </w:r>
          </w:p>
        </w:tc>
        <w:tc>
          <w:tcPr>
            <w:tcW w:w="660" w:type="dxa"/>
            <w:vAlign w:val="bottom"/>
          </w:tcPr>
          <w:p>
            <w:pPr>
              <w:ind w:left="60"/>
              <w:spacing w:after="0"/>
              <w:rPr>
                <w:sz w:val="20"/>
                <w:szCs w:val="20"/>
                <w:color w:val="auto"/>
              </w:rPr>
            </w:pPr>
            <w:r>
              <w:rPr>
                <w:rFonts w:ascii="Arial" w:cs="Arial" w:eastAsia="Arial" w:hAnsi="Arial"/>
                <w:sz w:val="16"/>
                <w:szCs w:val="16"/>
                <w:color w:val="auto"/>
              </w:rPr>
              <w:t>By:</w:t>
            </w:r>
          </w:p>
        </w:tc>
        <w:tc>
          <w:tcPr>
            <w:tcW w:w="3600" w:type="dxa"/>
            <w:vAlign w:val="bottom"/>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Name:</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Title:</w:t>
            </w:r>
          </w:p>
        </w:tc>
        <w:tc>
          <w:tcPr>
            <w:tcW w:w="36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amp;"/>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lowerRoman"/>
      <w:start w:val="4"/>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lvl w:ilvl="1">
      <w:lvlJc w:val="left"/>
      <w:lvlText w:val="◦"/>
      <w:numFmt w:val="bullet"/>
      <w:start w:val="1"/>
    </w:lvl>
  </w:abstractNum>
  <w:abstractNum w:abstractNumId="22">
    <w:nsid w:val="4516DDE9"/>
    <w:multiLevelType w:val="hybridMultilevel"/>
    <w:lvl w:ilvl="0">
      <w:lvlJc w:val="left"/>
      <w:lvlText w:val="•"/>
      <w:numFmt w:val="bullet"/>
      <w:start w:val="1"/>
    </w:lvl>
    <w:lvl w:ilvl="1">
      <w:lvlJc w:val="left"/>
      <w:lvlText w:val="◦"/>
      <w:numFmt w:val="bullet"/>
      <w:start w:val="1"/>
    </w:lvl>
  </w:abstractNum>
  <w:abstractNum w:abstractNumId="23">
    <w:nsid w:val="3006C83E"/>
    <w:multiLevelType w:val="hybridMultilevel"/>
    <w:lvl w:ilvl="0">
      <w:lvlJc w:val="left"/>
      <w:lvlText w:val="%1"/>
      <w:numFmt w:val="decimal"/>
      <w:start w:val="1"/>
    </w:lvl>
    <w:lvl w:ilvl="1">
      <w:lvlJc w:val="left"/>
      <w:lvlText w:val="(%2)"/>
      <w:numFmt w:val="decimal"/>
      <w:start w:val="1"/>
    </w:lvl>
  </w:abstractNum>
  <w:abstractNum w:abstractNumId="24">
    <w:nsid w:val="614FD4A1"/>
    <w:multiLevelType w:val="hybridMultilevel"/>
    <w:lvl w:ilvl="0">
      <w:lvlJc w:val="left"/>
      <w:lvlText w:val="%1."/>
      <w:numFmt w:val="decimal"/>
      <w:start w:val="3"/>
    </w:lvl>
    <w:lvl w:ilvl="1">
      <w:lvlJc w:val="left"/>
      <w:lvlText w:val="%2"/>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19"/>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4"/>
    </w:lvl>
  </w:abstractNum>
  <w:abstractNum w:abstractNumId="36">
    <w:nsid w:val="2D517796"/>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37">
    <w:nsid w:val="580BD78F"/>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38">
    <w:nsid w:val="153EA438"/>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56" Type="http://schemas.openxmlformats.org/officeDocument/2006/relationships/hyperlink" Target="http://www.sec.gov/Archives/edgar/data/1672985/000121390017003619/fs42017_simplygoodfood.htm" TargetMode="External"/><Relationship Id="rId57" Type="http://schemas.openxmlformats.org/officeDocument/2006/relationships/hyperlink" Target="http://www.sec.gov/Archives/edgar/data/1702744/000110465919046862/a19-17478_1ex2d1.htm" TargetMode="External"/><Relationship Id="rId58" Type="http://schemas.openxmlformats.org/officeDocument/2006/relationships/hyperlink" Target="https://www.sec.gov/Archives/edgar/data/1702744/000170274420000011/secondamendedandrestat.htm" TargetMode="External"/><Relationship Id="rId59" Type="http://schemas.openxmlformats.org/officeDocument/2006/relationships/hyperlink" Target="https://www.sec.gov/Archives/edgar/data/1702744/000170274419000048/exhibit32-10k19.htm" TargetMode="External"/><Relationship Id="rId60" Type="http://schemas.openxmlformats.org/officeDocument/2006/relationships/hyperlink" Target="http://www.sec.gov/Archives/edgar/data/1672985/000121390017006350/fs42017ex4i_simplygood.htm" TargetMode="External"/><Relationship Id="rId61" Type="http://schemas.openxmlformats.org/officeDocument/2006/relationships/hyperlink" Target="http://www.sec.gov/Archives/edgar/data/1672985/000121390016015123/f8k071416ex4i_conyerspark.htm" TargetMode="External"/><Relationship Id="rId62" Type="http://schemas.openxmlformats.org/officeDocument/2006/relationships/hyperlink" Target="http://www.sec.gov/Archives/edgar/data/1702744/000121390017007546/f8k070717ex4i_simplygood.htm" TargetMode="External"/><Relationship Id="rId63" Type="http://schemas.openxmlformats.org/officeDocument/2006/relationships/hyperlink" Target="http://www.sec.gov/Archives/edgar/data/1702744/000121390017007546/f8k070717ex10ii_simplygood.htm" TargetMode="External"/><Relationship Id="rId64" Type="http://schemas.openxmlformats.org/officeDocument/2006/relationships/hyperlink" Target="http://www.sec.gov/Archives/edgar/data/1672985/000121390017006350/fs42017ex10iii_simplygood.htm" TargetMode="External"/><Relationship Id="rId65" Type="http://schemas.openxmlformats.org/officeDocument/2006/relationships/hyperlink" Target="http://www.sec.gov/Archives/edgar/data/1702744/000121390017005264/fs42017a1ex10vii_simplygood.htm" TargetMode="External"/><Relationship Id="rId66" Type="http://schemas.openxmlformats.org/officeDocument/2006/relationships/hyperlink" Target="http://www.sec.gov/Archives/edgar/data/1672985/000121390017006350/fs42017ex10viii_simplygood.htm" TargetMode="External"/><Relationship Id="rId67" Type="http://schemas.openxmlformats.org/officeDocument/2006/relationships/hyperlink" Target="http://www.sec.gov/Archives/edgar/data/1702744/000121390017007546/f8k070717ex10i_simplygood.htm" TargetMode="External"/><Relationship Id="rId68" Type="http://schemas.openxmlformats.org/officeDocument/2006/relationships/hyperlink" Target="https://www.sec.gov/Archives/edgar/data/1702744/000110465919060856/a19-22146_1ex10d1.htm" TargetMode="External"/><Relationship Id="rId69" Type="http://schemas.openxmlformats.org/officeDocument/2006/relationships/hyperlink" Target="http://www.sec.gov/Archives/edgar/data/1702744/000121390017007546/f8k070717ex10vii_simplygood.htm" TargetMode="External"/><Relationship Id="rId70" Type="http://schemas.openxmlformats.org/officeDocument/2006/relationships/hyperlink" Target="http://www.sec.gov/Archives/edgar/data/1702744/000121390017007546/f8k070717ex10viii_simplygood.htm" TargetMode="External"/><Relationship Id="rId71" Type="http://schemas.openxmlformats.org/officeDocument/2006/relationships/hyperlink" Target="http://www.sec.gov/Archives/edgar/data/1702744/000121390017007546/f8k070717ex10vi_simplygood.htm" TargetMode="External"/><Relationship Id="rId72" Type="http://schemas.openxmlformats.org/officeDocument/2006/relationships/hyperlink" Target="http://www.sec.gov/Archives/edgar/data/1702744/000170274418000072/traterminationagreement.htm" TargetMode="External"/><Relationship Id="rId73" Type="http://schemas.openxmlformats.org/officeDocument/2006/relationships/hyperlink" Target="http://www.sec.gov/Archives/edgar/data/1702744/000170274417000006/exhibit101.htm" TargetMode="External"/><Relationship Id="rId74" Type="http://schemas.openxmlformats.org/officeDocument/2006/relationships/hyperlink" Target="http://www.sec.gov/Archives/edgar/data/1702744/000170274417000009/exhibit102_8ka.htm" TargetMode="External"/><Relationship Id="rId75" Type="http://schemas.openxmlformats.org/officeDocument/2006/relationships/hyperlink" Target="http://www.sec.gov/Archives/edgar/data/1702744/000121390018003172/f8k032018_simplygoodfood.htm" TargetMode="External"/><Relationship Id="rId76" Type="http://schemas.openxmlformats.org/officeDocument/2006/relationships/hyperlink" Target="http://www.sec.gov/Archives/edgar/data/1702744/000170274418000057/smpl_072718x8kxex101.htm" TargetMode="External"/><Relationship Id="rId77" Type="http://schemas.openxmlformats.org/officeDocument/2006/relationships/hyperlink" Target="http://www.sec.gov/Archives/edgar/data/1702744/000170274418000057/smpl_072718x8kxex102.htm" TargetMode="External"/><Relationship Id="rId78" Type="http://schemas.openxmlformats.org/officeDocument/2006/relationships/hyperlink" Target="http://www.sec.gov/Archives/edgar/data/1702744/000170274419000044/smpl_exhibitx101.htm" TargetMode="External"/><Relationship Id="rId79" Type="http://schemas.openxmlformats.org/officeDocument/2006/relationships/hyperlink" Target="https://www.sec.gov/Archives/edgar/data/1702744/000110465919060856/a19-22146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2020-10-28T15:06:44Z</dcterms:created>
  <dcterms:modified xsi:type="dcterms:W3CDTF">2020-10-28T15:06:44Z</dcterms:modified>
</cp:coreProperties>
</file>