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20" w:lineRule="exact"/>
        <w:rPr>
          <w:sz w:val="24"/>
          <w:szCs w:val="24"/>
          <w:color w:val="auto"/>
        </w:rPr>
      </w:pPr>
    </w:p>
    <w:p>
      <w:pPr>
        <w:ind w:left="116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2220" w:right="860" w:hanging="774"/>
        <w:spacing w:after="0" w:line="232" w:lineRule="auto"/>
        <w:tabs>
          <w:tab w:leader="none" w:pos="222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November 28, 2020</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5" w:lineRule="exact"/>
        <w:rPr>
          <w:sz w:val="24"/>
          <w:szCs w:val="24"/>
          <w:color w:val="auto"/>
        </w:rPr>
      </w:pPr>
    </w:p>
    <w:p>
      <w:pPr>
        <w:ind w:left="2220" w:right="860" w:hanging="745"/>
        <w:spacing w:after="0" w:line="232" w:lineRule="auto"/>
        <w:tabs>
          <w:tab w:leader="none" w:pos="22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2233930</wp:posOffset>
            </wp:positionH>
            <wp:positionV relativeFrom="paragraph">
              <wp:posOffset>83185</wp:posOffset>
            </wp:positionV>
            <wp:extent cx="268287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8287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701"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86" w:lineRule="exact"/>
        <w:rPr>
          <w:sz w:val="24"/>
          <w:szCs w:val="24"/>
          <w:color w:val="auto"/>
        </w:rPr>
      </w:pPr>
    </w:p>
    <w:p>
      <w:pPr>
        <w:sectPr>
          <w:pgSz w:w="11900" w:h="16838" w:orient="portrait"/>
          <w:cols w:equalWidth="0" w:num="2">
            <w:col w:w="7860" w:space="720"/>
            <w:col w:w="2660"/>
          </w:cols>
          <w:pgMar w:left="320" w:top="701" w:right="339" w:bottom="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40" w:type="dxa"/>
            <w:vAlign w:val="bottom"/>
            <w:vMerge w:val="restart"/>
          </w:tcPr>
          <w:p>
            <w:pPr>
              <w:jc w:val="center"/>
              <w:ind w:right="231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06"/>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Title of each class</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3"/>
        </w:trPr>
        <w:tc>
          <w:tcPr>
            <w:tcW w:w="320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$0.01 per share</w:t>
            </w:r>
          </w:p>
        </w:tc>
        <w:tc>
          <w:tcPr>
            <w:tcW w:w="272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3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01" w:right="339" w:bottom="0" w:gutter="0" w:footer="0" w:header="0"/>
          <w:type w:val="continuous"/>
        </w:sectPr>
      </w:pPr>
    </w:p>
    <w:p>
      <w:pPr>
        <w:spacing w:after="0" w:line="148"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96" w:lineRule="exact"/>
        <w:rPr>
          <w:sz w:val="24"/>
          <w:szCs w:val="24"/>
          <w:color w:val="auto"/>
        </w:rPr>
      </w:pPr>
    </w:p>
    <w:p>
      <w:pPr>
        <w:ind w:left="26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6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5"/>
          <w:szCs w:val="15"/>
          <w:color w:val="auto"/>
        </w:rPr>
        <w:t>☐</w:t>
      </w:r>
    </w:p>
    <w:p>
      <w:pPr>
        <w:spacing w:after="0" w:line="84"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3">
            <w:col w:w="4080" w:space="540"/>
            <w:col w:w="1060" w:space="720"/>
            <w:col w:w="4840"/>
          </w:cols>
          <w:pgMar w:left="320" w:top="70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70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January 5, 2021, there were 95,720,637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 ENDED NOVEMBER 28, 2020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b w:val="1"/>
                <w:bCs w:val="1"/>
                <w:color w:val="auto"/>
                <w:w w:val="78"/>
              </w:rPr>
              <w:t>Page</w:t>
            </w:r>
          </w:p>
        </w:tc>
      </w:tr>
      <w:tr>
        <w:trPr>
          <w:trHeight w:val="447"/>
        </w:trPr>
        <w:tc>
          <w:tcPr>
            <w:tcW w:w="1180" w:type="dxa"/>
            <w:vAlign w:val="bottom"/>
          </w:tcPr>
          <w:p>
            <w:pPr>
              <w:spacing w:after="0"/>
              <w:rPr>
                <w:sz w:val="24"/>
                <w:szCs w:val="24"/>
                <w:color w:val="auto"/>
              </w:rPr>
            </w:pPr>
          </w:p>
        </w:tc>
        <w:tc>
          <w:tcPr>
            <w:tcW w:w="7020" w:type="dxa"/>
            <w:vAlign w:val="bottom"/>
          </w:tcPr>
          <w:p>
            <w:pPr>
              <w:ind w:left="2360"/>
              <w:spacing w:after="0"/>
              <w:rPr>
                <w:rFonts w:ascii="Arial" w:cs="Arial" w:eastAsia="Arial" w:hAnsi="Arial"/>
                <w:sz w:val="16"/>
                <w:szCs w:val="16"/>
                <w:b w:val="1"/>
                <w:bCs w:val="1"/>
                <w:u w:val="single" w:color="auto"/>
                <w:color w:val="0000FF"/>
              </w:rPr>
            </w:pPr>
            <w:hyperlink w:anchor="page3">
              <w:r>
                <w:rPr>
                  <w:rFonts w:ascii="Arial" w:cs="Arial" w:eastAsia="Arial" w:hAnsi="Arial"/>
                  <w:sz w:val="16"/>
                  <w:szCs w:val="16"/>
                  <w:b w:val="1"/>
                  <w:bCs w:val="1"/>
                  <w:u w:val="single" w:color="auto"/>
                  <w:color w:val="0000FF"/>
                </w:rPr>
                <w:t>PART I. Financial Information</w:t>
              </w:r>
            </w:hyperlink>
          </w:p>
        </w:tc>
        <w:tc>
          <w:tcPr>
            <w:tcW w:w="5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16"/>
        </w:trPr>
        <w:tc>
          <w:tcPr>
            <w:tcW w:w="1180" w:type="dxa"/>
            <w:vAlign w:val="bottom"/>
          </w:tcPr>
          <w:p>
            <w:pPr>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Item 1</w:t>
              </w:r>
            </w:hyperlink>
            <w:r>
              <w:rPr>
                <w:rFonts w:ascii="Arial" w:cs="Arial" w:eastAsia="Arial" w:hAnsi="Arial"/>
                <w:sz w:val="16"/>
                <w:szCs w:val="16"/>
                <w:color w:val="000000"/>
              </w:rPr>
              <w:t>.</w:t>
            </w:r>
          </w:p>
        </w:tc>
        <w:tc>
          <w:tcPr>
            <w:tcW w:w="7020" w:type="dxa"/>
            <w:vAlign w:val="bottom"/>
          </w:tcPr>
          <w:p>
            <w:pPr>
              <w:ind w:left="7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Financial Statements (Unaudited):</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4</w:t>
              </w:r>
            </w:hyperlink>
          </w:p>
        </w:tc>
      </w:tr>
      <w:tr>
        <w:trPr>
          <w:trHeight w:val="297"/>
        </w:trPr>
        <w:tc>
          <w:tcPr>
            <w:tcW w:w="1180" w:type="dxa"/>
            <w:vAlign w:val="bottom"/>
          </w:tcPr>
          <w:p>
            <w:pPr>
              <w:spacing w:after="0"/>
              <w:rPr>
                <w:sz w:val="24"/>
                <w:szCs w:val="24"/>
                <w:color w:val="auto"/>
              </w:rPr>
            </w:pPr>
          </w:p>
        </w:tc>
        <w:tc>
          <w:tcPr>
            <w:tcW w:w="7020" w:type="dxa"/>
            <w:vAlign w:val="bottom"/>
          </w:tcPr>
          <w:p>
            <w:pPr>
              <w:ind w:left="7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Balance Sheets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4</w:t>
              </w:r>
            </w:hyperlink>
          </w:p>
        </w:tc>
      </w:tr>
      <w:tr>
        <w:trPr>
          <w:trHeight w:val="216"/>
        </w:trPr>
        <w:tc>
          <w:tcPr>
            <w:tcW w:w="1180" w:type="dxa"/>
            <w:vAlign w:val="bottom"/>
          </w:tcPr>
          <w:p>
            <w:pPr>
              <w:spacing w:after="0"/>
              <w:rPr>
                <w:sz w:val="18"/>
                <w:szCs w:val="18"/>
                <w:color w:val="auto"/>
              </w:rPr>
            </w:pPr>
          </w:p>
        </w:tc>
        <w:tc>
          <w:tcPr>
            <w:tcW w:w="7020" w:type="dxa"/>
            <w:vAlign w:val="bottom"/>
          </w:tcPr>
          <w:p>
            <w:pPr>
              <w:ind w:left="7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Operations and Comprehensive Income (Loss)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4">
              <w:r>
                <w:rPr>
                  <w:rFonts w:ascii="Arial" w:cs="Arial" w:eastAsia="Arial" w:hAnsi="Arial"/>
                  <w:sz w:val="16"/>
                  <w:szCs w:val="16"/>
                  <w:u w:val="single" w:color="auto"/>
                  <w:color w:val="0000FF"/>
                  <w:w w:val="89"/>
                </w:rPr>
                <w:t>5</w:t>
              </w:r>
            </w:hyperlink>
          </w:p>
        </w:tc>
      </w:tr>
      <w:tr>
        <w:trPr>
          <w:trHeight w:val="257"/>
        </w:trPr>
        <w:tc>
          <w:tcPr>
            <w:tcW w:w="1180" w:type="dxa"/>
            <w:vAlign w:val="bottom"/>
          </w:tcPr>
          <w:p>
            <w:pPr>
              <w:spacing w:after="0"/>
              <w:rPr>
                <w:sz w:val="22"/>
                <w:szCs w:val="22"/>
                <w:color w:val="auto"/>
              </w:rPr>
            </w:pPr>
          </w:p>
        </w:tc>
        <w:tc>
          <w:tcPr>
            <w:tcW w:w="7020" w:type="dxa"/>
            <w:vAlign w:val="bottom"/>
          </w:tcPr>
          <w:p>
            <w:pPr>
              <w:ind w:left="7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Statements of Cash Flows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5">
              <w:r>
                <w:rPr>
                  <w:rFonts w:ascii="Arial" w:cs="Arial" w:eastAsia="Arial" w:hAnsi="Arial"/>
                  <w:sz w:val="16"/>
                  <w:szCs w:val="16"/>
                  <w:u w:val="single" w:color="auto"/>
                  <w:color w:val="0000FF"/>
                  <w:w w:val="89"/>
                </w:rPr>
                <w:t>6</w:t>
              </w:r>
            </w:hyperlink>
          </w:p>
        </w:tc>
      </w:tr>
      <w:tr>
        <w:trPr>
          <w:trHeight w:val="257"/>
        </w:trPr>
        <w:tc>
          <w:tcPr>
            <w:tcW w:w="1180" w:type="dxa"/>
            <w:vAlign w:val="bottom"/>
          </w:tcPr>
          <w:p>
            <w:pPr>
              <w:spacing w:after="0"/>
              <w:rPr>
                <w:sz w:val="22"/>
                <w:szCs w:val="22"/>
                <w:color w:val="auto"/>
              </w:rPr>
            </w:pPr>
          </w:p>
        </w:tc>
        <w:tc>
          <w:tcPr>
            <w:tcW w:w="7020" w:type="dxa"/>
            <w:vAlign w:val="bottom"/>
          </w:tcPr>
          <w:p>
            <w:pPr>
              <w:ind w:left="7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Condensed Consolidated Statements of Stockholders’ Equity</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7">
              <w:r>
                <w:rPr>
                  <w:rFonts w:ascii="Arial" w:cs="Arial" w:eastAsia="Arial" w:hAnsi="Arial"/>
                  <w:sz w:val="16"/>
                  <w:szCs w:val="16"/>
                  <w:u w:val="single" w:color="auto"/>
                  <w:color w:val="0000FF"/>
                  <w:w w:val="89"/>
                </w:rPr>
                <w:t>8</w:t>
              </w:r>
            </w:hyperlink>
          </w:p>
        </w:tc>
      </w:tr>
      <w:tr>
        <w:trPr>
          <w:trHeight w:val="256"/>
        </w:trPr>
        <w:tc>
          <w:tcPr>
            <w:tcW w:w="1180" w:type="dxa"/>
            <w:vAlign w:val="bottom"/>
          </w:tcPr>
          <w:p>
            <w:pPr>
              <w:spacing w:after="0"/>
              <w:rPr>
                <w:sz w:val="22"/>
                <w:szCs w:val="22"/>
                <w:color w:val="auto"/>
              </w:rPr>
            </w:pPr>
          </w:p>
        </w:tc>
        <w:tc>
          <w:tcPr>
            <w:tcW w:w="7020" w:type="dxa"/>
            <w:vAlign w:val="bottom"/>
          </w:tcPr>
          <w:p>
            <w:pPr>
              <w:ind w:left="720"/>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Notes to Unaudited Condensed Consolidated Financial Statements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8">
              <w:r>
                <w:rPr>
                  <w:rFonts w:ascii="Arial" w:cs="Arial" w:eastAsia="Arial" w:hAnsi="Arial"/>
                  <w:sz w:val="16"/>
                  <w:szCs w:val="16"/>
                  <w:u w:val="single" w:color="auto"/>
                  <w:color w:val="0000FF"/>
                  <w:w w:val="89"/>
                </w:rPr>
                <w:t>9</w:t>
              </w:r>
            </w:hyperlink>
          </w:p>
        </w:tc>
      </w:tr>
      <w:tr>
        <w:trPr>
          <w:trHeight w:val="257"/>
        </w:trPr>
        <w:tc>
          <w:tcPr>
            <w:tcW w:w="1180" w:type="dxa"/>
            <w:vAlign w:val="bottom"/>
          </w:tcPr>
          <w:p>
            <w:pPr>
              <w:spacing w:after="0"/>
              <w:rPr>
                <w:rFonts w:ascii="Arial" w:cs="Arial" w:eastAsia="Arial" w:hAnsi="Arial"/>
                <w:sz w:val="16"/>
                <w:szCs w:val="16"/>
                <w:color w:val="0000FF"/>
              </w:rPr>
            </w:pPr>
            <w:hyperlink w:anchor="page22">
              <w:r>
                <w:rPr>
                  <w:rFonts w:ascii="Arial" w:cs="Arial" w:eastAsia="Arial" w:hAnsi="Arial"/>
                  <w:sz w:val="16"/>
                  <w:szCs w:val="16"/>
                  <w:u w:val="single" w:color="auto"/>
                  <w:color w:val="0000FF"/>
                </w:rPr>
                <w:t>Item 2</w:t>
              </w:r>
            </w:hyperlink>
            <w:r>
              <w:rPr>
                <w:rFonts w:ascii="Arial" w:cs="Arial" w:eastAsia="Arial" w:hAnsi="Arial"/>
                <w:sz w:val="16"/>
                <w:szCs w:val="16"/>
                <w:color w:val="000000"/>
              </w:rPr>
              <w:t>.</w:t>
            </w:r>
          </w:p>
        </w:tc>
        <w:tc>
          <w:tcPr>
            <w:tcW w:w="7020" w:type="dxa"/>
            <w:vAlign w:val="bottom"/>
          </w:tcPr>
          <w:p>
            <w:pPr>
              <w:ind w:left="720"/>
              <w:spacing w:after="0"/>
              <w:rPr>
                <w:rFonts w:ascii="Arial" w:cs="Arial" w:eastAsia="Arial" w:hAnsi="Arial"/>
                <w:sz w:val="16"/>
                <w:szCs w:val="16"/>
                <w:u w:val="single" w:color="auto"/>
                <w:color w:val="0000FF"/>
                <w:w w:val="99"/>
              </w:rPr>
            </w:pPr>
            <w:hyperlink w:anchor="page22">
              <w:r>
                <w:rPr>
                  <w:rFonts w:ascii="Arial" w:cs="Arial" w:eastAsia="Arial" w:hAnsi="Arial"/>
                  <w:sz w:val="16"/>
                  <w:szCs w:val="16"/>
                  <w:u w:val="single" w:color="auto"/>
                  <w:color w:val="0000FF"/>
                  <w:w w:val="99"/>
                </w:rPr>
                <w:t>Management’s Discussion and Analysis of Financial Condition and Results of Operations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22">
              <w:r>
                <w:rPr>
                  <w:rFonts w:ascii="Arial" w:cs="Arial" w:eastAsia="Arial" w:hAnsi="Arial"/>
                  <w:sz w:val="16"/>
                  <w:szCs w:val="16"/>
                  <w:u w:val="single" w:color="auto"/>
                  <w:color w:val="0000FF"/>
                  <w:w w:val="89"/>
                </w:rPr>
                <w:t>23</w:t>
              </w:r>
            </w:hyperlink>
          </w:p>
        </w:tc>
      </w:tr>
      <w:tr>
        <w:trPr>
          <w:trHeight w:val="257"/>
        </w:trPr>
        <w:tc>
          <w:tcPr>
            <w:tcW w:w="1180" w:type="dxa"/>
            <w:vAlign w:val="bottom"/>
          </w:tcPr>
          <w:p>
            <w:pPr>
              <w:spacing w:after="0"/>
              <w:rPr>
                <w:rFonts w:ascii="Arial" w:cs="Arial" w:eastAsia="Arial" w:hAnsi="Arial"/>
                <w:sz w:val="16"/>
                <w:szCs w:val="16"/>
                <w:color w:val="0000FF"/>
              </w:rPr>
            </w:pPr>
            <w:hyperlink w:anchor="page31">
              <w:r>
                <w:rPr>
                  <w:rFonts w:ascii="Arial" w:cs="Arial" w:eastAsia="Arial" w:hAnsi="Arial"/>
                  <w:sz w:val="16"/>
                  <w:szCs w:val="16"/>
                  <w:u w:val="single" w:color="auto"/>
                  <w:color w:val="0000FF"/>
                </w:rPr>
                <w:t>Item 3</w:t>
              </w:r>
            </w:hyperlink>
            <w:r>
              <w:rPr>
                <w:rFonts w:ascii="Arial" w:cs="Arial" w:eastAsia="Arial" w:hAnsi="Arial"/>
                <w:sz w:val="16"/>
                <w:szCs w:val="16"/>
                <w:color w:val="000000"/>
              </w:rPr>
              <w:t>.</w:t>
            </w:r>
          </w:p>
        </w:tc>
        <w:tc>
          <w:tcPr>
            <w:tcW w:w="7020" w:type="dxa"/>
            <w:vAlign w:val="bottom"/>
          </w:tcPr>
          <w:p>
            <w:pPr>
              <w:ind w:left="7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Quantitative and Qualitative Disclosures about Market Risk</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31">
              <w:r>
                <w:rPr>
                  <w:rFonts w:ascii="Arial" w:cs="Arial" w:eastAsia="Arial" w:hAnsi="Arial"/>
                  <w:sz w:val="16"/>
                  <w:szCs w:val="16"/>
                  <w:u w:val="single" w:color="auto"/>
                  <w:color w:val="0000FF"/>
                  <w:w w:val="89"/>
                </w:rPr>
                <w:t>32</w:t>
              </w:r>
            </w:hyperlink>
          </w:p>
        </w:tc>
      </w:tr>
      <w:tr>
        <w:trPr>
          <w:trHeight w:val="257"/>
        </w:trPr>
        <w:tc>
          <w:tcPr>
            <w:tcW w:w="1180" w:type="dxa"/>
            <w:vAlign w:val="bottom"/>
          </w:tcPr>
          <w:p>
            <w:pPr>
              <w:spacing w:after="0"/>
              <w:rPr>
                <w:rFonts w:ascii="Arial" w:cs="Arial" w:eastAsia="Arial" w:hAnsi="Arial"/>
                <w:sz w:val="16"/>
                <w:szCs w:val="16"/>
                <w:color w:val="0000FF"/>
              </w:rPr>
            </w:pPr>
            <w:hyperlink w:anchor="page32">
              <w:r>
                <w:rPr>
                  <w:rFonts w:ascii="Arial" w:cs="Arial" w:eastAsia="Arial" w:hAnsi="Arial"/>
                  <w:sz w:val="16"/>
                  <w:szCs w:val="16"/>
                  <w:u w:val="single" w:color="auto"/>
                  <w:color w:val="0000FF"/>
                </w:rPr>
                <w:t>Item 4</w:t>
              </w:r>
            </w:hyperlink>
            <w:r>
              <w:rPr>
                <w:rFonts w:ascii="Arial" w:cs="Arial" w:eastAsia="Arial" w:hAnsi="Arial"/>
                <w:sz w:val="16"/>
                <w:szCs w:val="16"/>
                <w:color w:val="000000"/>
              </w:rPr>
              <w:t>.</w:t>
            </w:r>
          </w:p>
        </w:tc>
        <w:tc>
          <w:tcPr>
            <w:tcW w:w="7020" w:type="dxa"/>
            <w:vAlign w:val="bottom"/>
          </w:tcPr>
          <w:p>
            <w:pPr>
              <w:ind w:left="720"/>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Controls and Procedures</w:t>
              </w:r>
            </w:hyperlink>
          </w:p>
        </w:tc>
        <w:tc>
          <w:tcPr>
            <w:tcW w:w="820" w:type="dxa"/>
            <w:vAlign w:val="bottom"/>
            <w:gridSpan w:val="2"/>
          </w:tcPr>
          <w:p>
            <w:pPr>
              <w:jc w:val="center"/>
              <w:ind w:left="419"/>
              <w:spacing w:after="0"/>
              <w:rPr>
                <w:rFonts w:ascii="Arial" w:cs="Arial" w:eastAsia="Arial" w:hAnsi="Arial"/>
                <w:sz w:val="16"/>
                <w:szCs w:val="16"/>
                <w:u w:val="single" w:color="auto"/>
                <w:color w:val="0000FF"/>
                <w:w w:val="89"/>
              </w:rPr>
            </w:pPr>
            <w:hyperlink w:anchor="page32">
              <w:r>
                <w:rPr>
                  <w:rFonts w:ascii="Arial" w:cs="Arial" w:eastAsia="Arial" w:hAnsi="Arial"/>
                  <w:sz w:val="16"/>
                  <w:szCs w:val="16"/>
                  <w:u w:val="single" w:color="auto"/>
                  <w:color w:val="0000FF"/>
                  <w:w w:val="89"/>
                </w:rPr>
                <w:t>32</w:t>
              </w:r>
            </w:hyperlink>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20" w:type="dxa"/>
            <w:vAlign w:val="bottom"/>
          </w:tcPr>
          <w:p>
            <w:pPr>
              <w:ind w:left="540"/>
              <w:spacing w:after="0"/>
              <w:rPr>
                <w:rFonts w:ascii="Arial" w:cs="Arial" w:eastAsia="Arial" w:hAnsi="Arial"/>
                <w:sz w:val="16"/>
                <w:szCs w:val="16"/>
                <w:b w:val="1"/>
                <w:bCs w:val="1"/>
                <w:u w:val="single" w:color="auto"/>
                <w:color w:val="0000FF"/>
              </w:rPr>
            </w:pPr>
            <w:hyperlink w:anchor="page32">
              <w:r>
                <w:rPr>
                  <w:rFonts w:ascii="Arial" w:cs="Arial" w:eastAsia="Arial" w:hAnsi="Arial"/>
                  <w:sz w:val="16"/>
                  <w:szCs w:val="16"/>
                  <w:b w:val="1"/>
                  <w:bCs w:val="1"/>
                  <w:u w:val="single" w:color="auto"/>
                  <w:color w:val="0000FF"/>
                </w:rPr>
                <w:t>PART II. Other Information</w:t>
              </w:r>
            </w:hyperlink>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90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1</w:t>
              </w:r>
            </w:hyperlink>
            <w:r>
              <w:rPr>
                <w:rFonts w:ascii="Arial" w:cs="Arial" w:eastAsia="Arial" w:hAnsi="Arial"/>
                <w:sz w:val="16"/>
                <w:szCs w:val="16"/>
                <w:color w:val="000000"/>
              </w:rPr>
              <w:t>.</w:t>
            </w:r>
          </w:p>
        </w:tc>
        <w:tc>
          <w:tcPr>
            <w:tcW w:w="5400" w:type="dxa"/>
            <w:vAlign w:val="bottom"/>
            <w:gridSpan w:val="3"/>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Legal Proceedings</w:t>
              </w:r>
            </w:hyperlink>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1A</w:t>
              </w:r>
            </w:hyperlink>
            <w:r>
              <w:rPr>
                <w:rFonts w:ascii="Arial" w:cs="Arial" w:eastAsia="Arial" w:hAnsi="Arial"/>
                <w:sz w:val="16"/>
                <w:szCs w:val="16"/>
                <w:color w:val="000000"/>
              </w:rPr>
              <w:t>.</w:t>
            </w:r>
          </w:p>
        </w:tc>
        <w:tc>
          <w:tcPr>
            <w:tcW w:w="5400" w:type="dxa"/>
            <w:vAlign w:val="bottom"/>
            <w:gridSpan w:val="3"/>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Risk Factors</w:t>
              </w:r>
            </w:hyperlink>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2</w:t>
              </w:r>
            </w:hyperlink>
            <w:r>
              <w:rPr>
                <w:rFonts w:ascii="Arial" w:cs="Arial" w:eastAsia="Arial" w:hAnsi="Arial"/>
                <w:sz w:val="16"/>
                <w:szCs w:val="16"/>
                <w:color w:val="000000"/>
              </w:rPr>
              <w:t>.</w:t>
            </w:r>
          </w:p>
        </w:tc>
        <w:tc>
          <w:tcPr>
            <w:tcW w:w="5400" w:type="dxa"/>
            <w:vAlign w:val="bottom"/>
            <w:gridSpan w:val="3"/>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Unregistered Sales of Equity Securities and Use of Proceeds</w:t>
              </w:r>
            </w:hyperlink>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56"/>
        </w:trPr>
        <w:tc>
          <w:tcPr>
            <w:tcW w:w="190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3</w:t>
              </w:r>
            </w:hyperlink>
            <w:r>
              <w:rPr>
                <w:rFonts w:ascii="Arial" w:cs="Arial" w:eastAsia="Arial" w:hAnsi="Arial"/>
                <w:sz w:val="16"/>
                <w:szCs w:val="16"/>
                <w:color w:val="000000"/>
              </w:rPr>
              <w:t>.</w:t>
            </w:r>
          </w:p>
        </w:tc>
        <w:tc>
          <w:tcPr>
            <w:tcW w:w="5400" w:type="dxa"/>
            <w:vAlign w:val="bottom"/>
            <w:gridSpan w:val="3"/>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Defaults Upon Senior Securities</w:t>
              </w:r>
            </w:hyperlink>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57"/>
        </w:trPr>
        <w:tc>
          <w:tcPr>
            <w:tcW w:w="1900" w:type="dxa"/>
            <w:vAlign w:val="bottom"/>
            <w:gridSpan w:val="2"/>
          </w:tcPr>
          <w:p>
            <w:pPr>
              <w:spacing w:after="0"/>
              <w:rPr>
                <w:rFonts w:ascii="Arial" w:cs="Arial" w:eastAsia="Arial" w:hAnsi="Arial"/>
                <w:sz w:val="16"/>
                <w:szCs w:val="16"/>
                <w:color w:val="0000FF"/>
              </w:rPr>
            </w:pPr>
            <w:hyperlink w:anchor="page33">
              <w:r>
                <w:rPr>
                  <w:rFonts w:ascii="Arial" w:cs="Arial" w:eastAsia="Arial" w:hAnsi="Arial"/>
                  <w:sz w:val="16"/>
                  <w:szCs w:val="16"/>
                  <w:u w:val="single" w:color="auto"/>
                  <w:color w:val="0000FF"/>
                </w:rPr>
                <w:t>Item 4</w:t>
              </w:r>
            </w:hyperlink>
            <w:r>
              <w:rPr>
                <w:rFonts w:ascii="Arial" w:cs="Arial" w:eastAsia="Arial" w:hAnsi="Arial"/>
                <w:sz w:val="16"/>
                <w:szCs w:val="16"/>
                <w:color w:val="000000"/>
              </w:rPr>
              <w:t>.</w:t>
            </w:r>
          </w:p>
        </w:tc>
        <w:tc>
          <w:tcPr>
            <w:tcW w:w="5400" w:type="dxa"/>
            <w:vAlign w:val="bottom"/>
            <w:gridSpan w:val="3"/>
          </w:tcPr>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Mine Safety Disclosures</w:t>
              </w:r>
            </w:hyperlink>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22"/>
        </w:trPr>
        <w:tc>
          <w:tcPr>
            <w:tcW w:w="1900" w:type="dxa"/>
            <w:vAlign w:val="bottom"/>
            <w:gridSpan w:val="2"/>
          </w:tcPr>
          <w:p>
            <w:pPr>
              <w:spacing w:after="0"/>
              <w:rPr>
                <w:sz w:val="20"/>
                <w:szCs w:val="20"/>
                <w:color w:val="auto"/>
              </w:rPr>
            </w:pPr>
            <w:r>
              <w:rPr>
                <w:rFonts w:ascii="Arial" w:cs="Arial" w:eastAsia="Arial" w:hAnsi="Arial"/>
                <w:sz w:val="16"/>
                <w:szCs w:val="16"/>
                <w:color w:val="0000FF"/>
              </w:rPr>
              <w:t>Item 5</w:t>
            </w:r>
            <w:r>
              <w:rPr>
                <w:rFonts w:ascii="Arial" w:cs="Arial" w:eastAsia="Arial" w:hAnsi="Arial"/>
                <w:sz w:val="16"/>
                <w:szCs w:val="16"/>
                <w:color w:val="000000"/>
              </w:rPr>
              <w:t>.</w:t>
            </w:r>
          </w:p>
        </w:tc>
        <w:tc>
          <w:tcPr>
            <w:tcW w:w="5400" w:type="dxa"/>
            <w:vAlign w:val="bottom"/>
            <w:gridSpan w:val="3"/>
          </w:tcPr>
          <w:p>
            <w:pPr>
              <w:spacing w:after="0"/>
              <w:rPr>
                <w:sz w:val="20"/>
                <w:szCs w:val="20"/>
                <w:color w:val="auto"/>
              </w:rPr>
            </w:pPr>
            <w:r>
              <w:rPr>
                <w:rFonts w:ascii="Arial" w:cs="Arial" w:eastAsia="Arial" w:hAnsi="Arial"/>
                <w:sz w:val="16"/>
                <w:szCs w:val="16"/>
                <w:color w:val="0000FF"/>
              </w:rPr>
              <w:t>Other Information</w:t>
            </w:r>
          </w:p>
        </w:tc>
        <w:tc>
          <w:tcPr>
            <w:tcW w:w="1640" w:type="dxa"/>
            <w:vAlign w:val="bottom"/>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33</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9"/>
              </w:rPr>
              <w:t>Item 6</w:t>
            </w:r>
          </w:p>
        </w:tc>
        <w:tc>
          <w:tcPr>
            <w:tcW w:w="1460" w:type="dxa"/>
            <w:vAlign w:val="bottom"/>
            <w:vMerge w:val="restart"/>
          </w:tcPr>
          <w:p>
            <w:pPr>
              <w:jc w:val="right"/>
              <w:ind w:right="1435"/>
              <w:spacing w:after="0"/>
              <w:rPr>
                <w:sz w:val="20"/>
                <w:szCs w:val="20"/>
                <w:color w:val="auto"/>
              </w:rPr>
            </w:pPr>
            <w:r>
              <w:rPr>
                <w:rFonts w:ascii="Arial" w:cs="Arial" w:eastAsia="Arial" w:hAnsi="Arial"/>
                <w:sz w:val="1"/>
                <w:szCs w:val="1"/>
                <w:color w:val="auto"/>
                <w:w w:val="4294967279"/>
              </w:rPr>
              <w:t>.</w:t>
            </w:r>
          </w:p>
        </w:tc>
        <w:tc>
          <w:tcPr>
            <w:tcW w:w="5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2"/>
              </w:rPr>
              <w:t>Exhibits</w:t>
            </w:r>
          </w:p>
        </w:tc>
        <w:tc>
          <w:tcPr>
            <w:tcW w:w="4860" w:type="dxa"/>
            <w:vAlign w:val="bottom"/>
            <w:gridSpan w:val="2"/>
          </w:tcPr>
          <w:p>
            <w:pPr>
              <w:spacing w:after="0"/>
              <w:rPr>
                <w:sz w:val="20"/>
                <w:szCs w:val="20"/>
                <w:color w:val="auto"/>
              </w:rPr>
            </w:pPr>
          </w:p>
        </w:tc>
        <w:tc>
          <w:tcPr>
            <w:tcW w:w="1640" w:type="dxa"/>
            <w:vAlign w:val="bottom"/>
            <w:vMerge w:val="restart"/>
          </w:tcPr>
          <w:p>
            <w:pPr>
              <w:jc w:val="right"/>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34</w:t>
              </w:r>
            </w:hyperlink>
          </w:p>
        </w:tc>
        <w:tc>
          <w:tcPr>
            <w:tcW w:w="0" w:type="dxa"/>
            <w:vAlign w:val="bottom"/>
          </w:tcPr>
          <w:p>
            <w:pPr>
              <w:spacing w:after="0"/>
              <w:rPr>
                <w:sz w:val="1"/>
                <w:szCs w:val="1"/>
                <w:color w:val="auto"/>
              </w:rPr>
            </w:pPr>
          </w:p>
        </w:tc>
      </w:tr>
      <w:tr>
        <w:trPr>
          <w:trHeight w:val="55"/>
        </w:trPr>
        <w:tc>
          <w:tcPr>
            <w:tcW w:w="44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5400" w:type="dxa"/>
            <w:vAlign w:val="bottom"/>
            <w:gridSpan w:val="3"/>
            <w:vMerge w:val="restart"/>
          </w:tcPr>
          <w:p>
            <w:pPr>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Signatures</w:t>
              </w:r>
            </w:hyperlink>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1640" w:type="dxa"/>
            <w:vAlign w:val="bottom"/>
          </w:tcPr>
          <w:p>
            <w:pPr>
              <w:jc w:val="right"/>
              <w:spacing w:after="0"/>
              <w:rPr>
                <w:rFonts w:ascii="Arial" w:cs="Arial" w:eastAsia="Arial" w:hAnsi="Arial"/>
                <w:sz w:val="16"/>
                <w:szCs w:val="16"/>
                <w:u w:val="single" w:color="auto"/>
                <w:color w:val="0000FF"/>
              </w:rPr>
            </w:pPr>
            <w:hyperlink w:anchor="page34">
              <w:r>
                <w:rPr>
                  <w:rFonts w:ascii="Arial" w:cs="Arial" w:eastAsia="Arial" w:hAnsi="Arial"/>
                  <w:sz w:val="16"/>
                  <w:szCs w:val="16"/>
                  <w:u w:val="single" w:color="auto"/>
                  <w:color w:val="0000FF"/>
                </w:rPr>
                <w:t>35</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19"/>
          </w:cols>
          <w:pgMar w:left="1340" w:top="688"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296"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28, 2020</w:t>
            </w:r>
          </w:p>
        </w:tc>
        <w:tc>
          <w:tcPr>
            <w:tcW w:w="180" w:type="dxa"/>
            <w:vAlign w:val="bottom"/>
          </w:tcPr>
          <w:p>
            <w:pPr>
              <w:spacing w:after="0"/>
              <w:rPr>
                <w:sz w:val="17"/>
                <w:szCs w:val="17"/>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w w:val="96"/>
              </w:rPr>
              <w:t>August 29, 2020</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97,887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89,740</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11,947</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278,953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260,263</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1,149,895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543,134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assets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31,892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32,790</w:t>
            </w:r>
          </w:p>
        </w:tc>
        <w:tc>
          <w:tcPr>
            <w:tcW w:w="0" w:type="dxa"/>
            <w:vAlign w:val="bottom"/>
          </w:tcPr>
          <w:p>
            <w:pPr>
              <w:spacing w:after="0"/>
              <w:rPr>
                <w:sz w:val="1"/>
                <w:szCs w:val="1"/>
                <w:color w:val="auto"/>
              </w:rPr>
            </w:pPr>
          </w:p>
        </w:tc>
      </w:tr>
      <w:tr>
        <w:trPr>
          <w:trHeight w:val="23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2,015,218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32,240</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38,007</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Current maturities of long-term debt</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71,478</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572,923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596,879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84,352</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22,765</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758,726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775,474</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80"/>
              <w:spacing w:after="0"/>
              <w:rPr>
                <w:sz w:val="20"/>
                <w:szCs w:val="20"/>
                <w:color w:val="auto"/>
              </w:rPr>
            </w:pPr>
            <w:r>
              <w:rPr>
                <w:rFonts w:ascii="Arial" w:cs="Arial" w:eastAsia="Arial" w:hAnsi="Arial"/>
                <w:sz w:val="16"/>
                <w:szCs w:val="16"/>
                <w:color w:val="auto"/>
                <w:w w:val="93"/>
              </w:rPr>
              <w:t>Common stock, $0.01 par value, 600,000,000 shares authorized, 95,818,871 and 95,751,845 shares</w:t>
            </w:r>
          </w:p>
        </w:tc>
        <w:tc>
          <w:tcPr>
            <w:tcW w:w="1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9"/>
        </w:trPr>
        <w:tc>
          <w:tcPr>
            <w:tcW w:w="6840" w:type="dxa"/>
            <w:vAlign w:val="bottom"/>
          </w:tcPr>
          <w:p>
            <w:pPr>
              <w:ind w:left="180"/>
              <w:spacing w:after="0"/>
              <w:rPr>
                <w:sz w:val="20"/>
                <w:szCs w:val="20"/>
                <w:color w:val="auto"/>
              </w:rPr>
            </w:pPr>
            <w:r>
              <w:rPr>
                <w:rFonts w:ascii="Arial" w:cs="Arial" w:eastAsia="Arial" w:hAnsi="Arial"/>
                <w:sz w:val="16"/>
                <w:szCs w:val="16"/>
                <w:color w:val="auto"/>
              </w:rPr>
              <w:t>issued at November 28, 2020 and August 29, 2020, respectively</w:t>
            </w: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9"/>
              </w:rPr>
              <w:t>Treasury stock, 98,234 and 98,234 shares at cost at November 28, 2020 and August 29, 2020,</w:t>
            </w:r>
          </w:p>
        </w:tc>
        <w:tc>
          <w:tcPr>
            <w:tcW w:w="1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Arial" w:cs="Arial" w:eastAsia="Arial" w:hAnsi="Arial"/>
                <w:sz w:val="16"/>
                <w:szCs w:val="16"/>
                <w:color w:val="auto"/>
              </w:rPr>
              <w:t>Additional paid-in-capital</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1,095,573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1,094,507</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140,530</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1,256,492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1,232,971</w:t>
            </w: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2,015,218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2,008,445</w:t>
            </w: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0640"/>
          </w:cols>
          <w:pgMar w:left="320" w:top="688" w:right="939" w:bottom="1440" w:gutter="0" w:footer="0" w:header="0"/>
        </w:sectPr>
      </w:pP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688"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left="920" w:right="172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(Loss) </w:t>
      </w:r>
      <w:r>
        <w:rPr>
          <w:rFonts w:ascii="Arial" w:cs="Arial" w:eastAsia="Arial" w:hAnsi="Arial"/>
          <w:sz w:val="18"/>
          <w:szCs w:val="18"/>
          <w:i w:val="1"/>
          <w:iCs w:val="1"/>
          <w:color w:val="auto"/>
        </w:rPr>
        <w:t>(Unaudited, dollars in thousands, except share and per share data)</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09"/>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28, 2020</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152,153</w:t>
            </w:r>
          </w:p>
        </w:tc>
      </w:tr>
      <w:tr>
        <w:trPr>
          <w:trHeight w:val="21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89,947</w:t>
            </w: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62,206</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Selling and marketing</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18,434</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2,453</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26,159</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54,854</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65,191</w:t>
            </w:r>
          </w:p>
        </w:tc>
      </w:tr>
      <w:tr>
        <w:trPr>
          <w:trHeight w:val="259"/>
        </w:trPr>
        <w:tc>
          <w:tcPr>
            <w:tcW w:w="6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39,187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(2,985)</w:t>
            </w:r>
          </w:p>
        </w:tc>
      </w:tr>
      <w:tr>
        <w:trPr>
          <w:trHeight w:val="259"/>
        </w:trPr>
        <w:tc>
          <w:tcPr>
            <w:tcW w:w="6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(4,969)</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foreign currency transactions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r>
      <w:tr>
        <w:trPr>
          <w:trHeight w:val="257"/>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w:t>
            </w:r>
          </w:p>
        </w:tc>
      </w:tr>
      <w:tr>
        <w:trPr>
          <w:trHeight w:val="213"/>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56"/>
        </w:trPr>
        <w:tc>
          <w:tcPr>
            <w:tcW w:w="6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from net income (loss):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95,538,111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89,708,633</w:t>
            </w:r>
          </w:p>
        </w:tc>
      </w:tr>
      <w:tr>
        <w:trPr>
          <w:trHeight w:val="210"/>
        </w:trPr>
        <w:tc>
          <w:tcPr>
            <w:tcW w:w="684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99,763,119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89,708,633</w:t>
            </w:r>
          </w:p>
        </w:tc>
      </w:tr>
    </w:tbl>
    <w:p>
      <w:pPr>
        <w:spacing w:after="0" w:line="320"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28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28, 2020</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22,500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(4,793)</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2,525</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 and debt discount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Stock compensation expense</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 (gain) on foreign currency transactions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(1,853)</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operating lease right-of-use asset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Loss on operating lease right-of-use asset impairment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r>
      <w:tr>
        <w:trPr>
          <w:trHeight w:val="213"/>
        </w:trPr>
        <w:tc>
          <w:tcPr>
            <w:tcW w:w="684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acquisition:</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(18,138)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(9,740)</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(1,416)</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(6,533)</w:t>
            </w:r>
          </w:p>
        </w:tc>
      </w:tr>
      <w:tr>
        <w:trPr>
          <w:trHeight w:val="213"/>
        </w:trPr>
        <w:tc>
          <w:tcPr>
            <w:tcW w:w="6840" w:type="dxa"/>
            <w:vAlign w:val="bottom"/>
          </w:tcPr>
          <w:p>
            <w:pPr>
              <w:ind w:left="300"/>
              <w:spacing w:after="0"/>
              <w:rPr>
                <w:sz w:val="20"/>
                <w:szCs w:val="20"/>
                <w:color w:val="auto"/>
              </w:rPr>
            </w:pPr>
            <w:r>
              <w:rPr>
                <w:rFonts w:ascii="Arial" w:cs="Arial" w:eastAsia="Arial" w:hAnsi="Arial"/>
                <w:sz w:val="16"/>
                <w:szCs w:val="16"/>
                <w:color w:val="auto"/>
              </w:rPr>
              <w:t>Accrued interest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219"/>
        </w:trPr>
        <w:tc>
          <w:tcPr>
            <w:tcW w:w="68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8,556</w:t>
            </w:r>
          </w:p>
        </w:tc>
      </w:tr>
      <w:tr>
        <w:trPr>
          <w:trHeight w:val="213"/>
        </w:trPr>
        <w:tc>
          <w:tcPr>
            <w:tcW w:w="68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Other assets and liabilities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(7,928)</w:t>
            </w:r>
          </w:p>
        </w:tc>
      </w:tr>
      <w:tr>
        <w:trPr>
          <w:trHeight w:val="132"/>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Issuance of note receivable</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Acquisition of business, net of cash acquired</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(984,201)</w:t>
            </w: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business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Investments in intangible assets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(985,731)</w:t>
            </w:r>
          </w:p>
        </w:tc>
      </w:tr>
      <w:tr>
        <w:trPr>
          <w:trHeight w:val="131"/>
        </w:trPr>
        <w:tc>
          <w:tcPr>
            <w:tcW w:w="6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option exercises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payments related to issuance of restricted stock units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Payments on finance lease obligations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Principal payments of long-term debt</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issuance of common stock</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352,542</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 issuance costs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r>
      <w:tr>
        <w:trPr>
          <w:trHeight w:val="213"/>
        </w:trPr>
        <w:tc>
          <w:tcPr>
            <w:tcW w:w="6840" w:type="dxa"/>
            <w:vAlign w:val="bottom"/>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460,000</w:t>
            </w:r>
          </w:p>
        </w:tc>
      </w:tr>
      <w:tr>
        <w:trPr>
          <w:trHeight w:val="219"/>
        </w:trPr>
        <w:tc>
          <w:tcPr>
            <w:tcW w:w="6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financing costs</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w:t>
            </w:r>
          </w:p>
        </w:tc>
      </w:tr>
      <w:tr>
        <w:trPr>
          <w:trHeight w:val="206"/>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800,071</w:t>
            </w:r>
          </w:p>
        </w:tc>
      </w:tr>
      <w:tr>
        <w:trPr>
          <w:trHeight w:val="132"/>
        </w:trPr>
        <w:tc>
          <w:tcPr>
            <w:tcW w:w="6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decrease in cash</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(193,588)</w:t>
            </w:r>
          </w:p>
        </w:tc>
      </w:tr>
      <w:tr>
        <w:trPr>
          <w:trHeight w:val="213"/>
        </w:trPr>
        <w:tc>
          <w:tcPr>
            <w:tcW w:w="6840" w:type="dxa"/>
            <w:vAlign w:val="bottom"/>
          </w:tcPr>
          <w:p>
            <w:pPr>
              <w:ind w:left="200"/>
              <w:spacing w:after="0"/>
              <w:rPr>
                <w:sz w:val="20"/>
                <w:szCs w:val="20"/>
                <w:color w:val="auto"/>
              </w:rPr>
            </w:pPr>
            <w:r>
              <w:rPr>
                <w:rFonts w:ascii="Arial" w:cs="Arial" w:eastAsia="Arial" w:hAnsi="Arial"/>
                <w:sz w:val="16"/>
                <w:szCs w:val="16"/>
                <w:color w:val="auto"/>
              </w:rPr>
              <w:t>Effect of exchange rate on cash</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68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266,341</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91,476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72,711</w:t>
            </w: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10"/>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28, 2020</w:t>
            </w:r>
          </w:p>
        </w:tc>
        <w:tc>
          <w:tcPr>
            <w:tcW w:w="1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19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7,535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2,978</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proceeds from sale of business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at ASU No 2016-02 transition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5,102</w:t>
            </w: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right-of-use assets recognized at ASU No 2016-02 transition</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0"/>
        </w:trPr>
        <w:tc>
          <w:tcPr>
            <w:tcW w:w="6840" w:type="dxa"/>
            <w:vAlign w:val="bottom"/>
          </w:tcPr>
          <w:p>
            <w:pPr>
              <w:ind w:left="140"/>
              <w:spacing w:after="0"/>
              <w:rPr>
                <w:sz w:val="20"/>
                <w:szCs w:val="20"/>
                <w:color w:val="auto"/>
              </w:rPr>
            </w:pPr>
            <w:r>
              <w:rPr>
                <w:rFonts w:ascii="Arial" w:cs="Arial" w:eastAsia="Arial" w:hAnsi="Arial"/>
                <w:sz w:val="16"/>
                <w:szCs w:val="16"/>
                <w:color w:val="auto"/>
              </w:rPr>
              <w:t>Operating lease right-of-use assets recognized after ASU No 2016-02 transition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34"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3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82"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840" w:type="dxa"/>
            <w:vAlign w:val="bottom"/>
          </w:tcPr>
          <w:p>
            <w:pPr>
              <w:spacing w:after="0"/>
              <w:rPr>
                <w:sz w:val="15"/>
                <w:szCs w:val="15"/>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15"/>
                <w:szCs w:val="15"/>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7"/>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95,751,845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1,094,507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140,530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1,232,971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22,500</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89"/>
        </w:trPr>
        <w:tc>
          <w:tcPr>
            <w:tcW w:w="1840" w:type="dxa"/>
            <w:vAlign w:val="bottom"/>
          </w:tcPr>
          <w:p>
            <w:pPr>
              <w:ind w:left="140"/>
              <w:spacing w:after="0"/>
              <w:rPr>
                <w:sz w:val="20"/>
                <w:szCs w:val="20"/>
                <w:color w:val="auto"/>
              </w:rPr>
            </w:pPr>
            <w:r>
              <w:rPr>
                <w:rFonts w:ascii="Arial" w:cs="Arial" w:eastAsia="Arial" w:hAnsi="Arial"/>
                <w:sz w:val="14"/>
                <w:szCs w:val="14"/>
                <w:color w:val="auto"/>
              </w:rPr>
              <w:t>Foreign currency</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translation adjustments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53,908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13,118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28,</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95,818,871</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958</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1,095,573</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163,030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1,256,492</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840" w:type="dxa"/>
            <w:vAlign w:val="bottom"/>
          </w:tcPr>
          <w:p>
            <w:pPr>
              <w:spacing w:after="0"/>
              <w:rPr>
                <w:sz w:val="24"/>
                <w:szCs w:val="24"/>
                <w:color w:val="auto"/>
              </w:rPr>
            </w:pPr>
          </w:p>
        </w:tc>
        <w:tc>
          <w:tcPr>
            <w:tcW w:w="188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720" w:type="dxa"/>
            <w:vAlign w:val="bottom"/>
            <w:gridSpan w:val="5"/>
          </w:tcPr>
          <w:p>
            <w:pPr>
              <w:ind w:left="3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rPr>
              <w:t>Additional</w:t>
            </w:r>
          </w:p>
        </w:tc>
        <w:tc>
          <w:tcPr>
            <w:tcW w:w="1340" w:type="dxa"/>
            <w:vAlign w:val="bottom"/>
            <w:gridSpan w:val="3"/>
            <w:vMerge w:val="restart"/>
          </w:tcPr>
          <w:p>
            <w:pPr>
              <w:ind w:left="80"/>
              <w:spacing w:after="0"/>
              <w:rPr>
                <w:sz w:val="20"/>
                <w:szCs w:val="20"/>
                <w:color w:val="auto"/>
              </w:rPr>
            </w:pPr>
            <w:r>
              <w:rPr>
                <w:rFonts w:ascii="Arial" w:cs="Arial" w:eastAsia="Arial" w:hAnsi="Arial"/>
                <w:sz w:val="14"/>
                <w:szCs w:val="14"/>
                <w:color w:val="auto"/>
              </w:rPr>
              <w:t>Retained Earnings</w:t>
            </w:r>
          </w:p>
        </w:tc>
        <w:tc>
          <w:tcPr>
            <w:tcW w:w="10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Accumulated Other</w:t>
            </w:r>
          </w:p>
        </w:tc>
        <w:tc>
          <w:tcPr>
            <w:tcW w:w="20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Paid-In Capital</w:t>
            </w:r>
          </w:p>
        </w:tc>
        <w:tc>
          <w:tcPr>
            <w:tcW w:w="1340" w:type="dxa"/>
            <w:vAlign w:val="bottom"/>
            <w:gridSpan w:val="3"/>
            <w:vMerge w:val="continue"/>
          </w:tcPr>
          <w:p>
            <w:pPr>
              <w:spacing w:after="0"/>
              <w:rPr>
                <w:sz w:val="2"/>
                <w:szCs w:val="2"/>
                <w:color w:val="auto"/>
              </w:rPr>
            </w:pPr>
          </w:p>
        </w:tc>
        <w:tc>
          <w:tcPr>
            <w:tcW w:w="15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w w:val="97"/>
              </w:rPr>
              <w:t>Comprehensive Loss</w:t>
            </w:r>
          </w:p>
        </w:tc>
        <w:tc>
          <w:tcPr>
            <w:tcW w:w="2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1840" w:type="dxa"/>
            <w:vAlign w:val="bottom"/>
          </w:tcPr>
          <w:p>
            <w:pPr>
              <w:spacing w:after="0"/>
              <w:rPr>
                <w:sz w:val="5"/>
                <w:szCs w:val="5"/>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color w:val="auto"/>
              </w:rPr>
              <w:t>Shares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color w:val="auto"/>
              </w:rPr>
              <w:t>Amount</w:t>
            </w:r>
          </w:p>
        </w:tc>
        <w:tc>
          <w:tcPr>
            <w:tcW w:w="1080" w:type="dxa"/>
            <w:vAlign w:val="bottom"/>
            <w:gridSpan w:val="3"/>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2019</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81,973,284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733,775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105,830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837,444</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4"/>
                <w:szCs w:val="14"/>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40" w:type="dxa"/>
            <w:vAlign w:val="bottom"/>
            <w:tcBorders>
              <w:top w:val="single" w:sz="8" w:color="CCEEFF"/>
            </w:tcBorders>
            <w:vMerge w:val="continue"/>
          </w:tcPr>
          <w:p>
            <w:pPr>
              <w:spacing w:after="0"/>
              <w:rPr>
                <w:sz w:val="13"/>
                <w:szCs w:val="13"/>
                <w:color w:val="auto"/>
              </w:rPr>
            </w:pPr>
          </w:p>
        </w:tc>
        <w:tc>
          <w:tcPr>
            <w:tcW w:w="88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4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(4,793)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21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9"/>
              </w:rPr>
              <w:t>Stock-based compensation</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1,673</w:t>
            </w:r>
          </w:p>
        </w:tc>
        <w:tc>
          <w:tcPr>
            <w:tcW w:w="0" w:type="dxa"/>
            <w:vAlign w:val="bottom"/>
          </w:tcPr>
          <w:p>
            <w:pPr>
              <w:spacing w:after="0"/>
              <w:rPr>
                <w:sz w:val="1"/>
                <w:szCs w:val="1"/>
                <w:color w:val="auto"/>
              </w:rPr>
            </w:pPr>
          </w:p>
        </w:tc>
      </w:tr>
      <w:tr>
        <w:trPr>
          <w:trHeight w:val="210"/>
        </w:trPr>
        <w:tc>
          <w:tcPr>
            <w:tcW w:w="1840" w:type="dxa"/>
            <w:vAlign w:val="bottom"/>
          </w:tcPr>
          <w:p>
            <w:pPr>
              <w:ind w:left="140"/>
              <w:spacing w:after="0"/>
              <w:rPr>
                <w:sz w:val="20"/>
                <w:szCs w:val="20"/>
                <w:color w:val="auto"/>
              </w:rPr>
            </w:pPr>
            <w:r>
              <w:rPr>
                <w:rFonts w:ascii="Arial" w:cs="Arial" w:eastAsia="Arial" w:hAnsi="Arial"/>
                <w:sz w:val="14"/>
                <w:szCs w:val="14"/>
                <w:color w:val="auto"/>
              </w:rPr>
              <w:t>Public equity offering</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13,379,205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349,085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349,219</w:t>
            </w:r>
          </w:p>
        </w:tc>
        <w:tc>
          <w:tcPr>
            <w:tcW w:w="0" w:type="dxa"/>
            <w:vAlign w:val="bottom"/>
          </w:tcPr>
          <w:p>
            <w:pPr>
              <w:spacing w:after="0"/>
              <w:rPr>
                <w:sz w:val="1"/>
                <w:szCs w:val="1"/>
                <w:color w:val="auto"/>
              </w:rPr>
            </w:pPr>
          </w:p>
        </w:tc>
      </w:tr>
      <w:tr>
        <w:trPr>
          <w:trHeight w:val="141"/>
        </w:trPr>
        <w:tc>
          <w:tcPr>
            <w:tcW w:w="1840" w:type="dxa"/>
            <w:vAlign w:val="bottom"/>
            <w:shd w:val="clear" w:color="auto" w:fill="CCEEFF"/>
          </w:tcPr>
          <w:p>
            <w:pPr>
              <w:ind w:left="140"/>
              <w:spacing w:after="0" w:line="141" w:lineRule="exact"/>
              <w:rPr>
                <w:sz w:val="20"/>
                <w:szCs w:val="20"/>
                <w:color w:val="auto"/>
              </w:rPr>
            </w:pPr>
            <w:r>
              <w:rPr>
                <w:rFonts w:ascii="Arial" w:cs="Arial" w:eastAsia="Arial" w:hAnsi="Arial"/>
                <w:sz w:val="14"/>
                <w:szCs w:val="14"/>
                <w:color w:val="auto"/>
              </w:rPr>
              <w:t>Shares issued upon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vesting of restricted stock</w:t>
            </w: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46,911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units</w:t>
            </w:r>
          </w:p>
        </w:tc>
        <w:tc>
          <w:tcPr>
            <w:tcW w:w="8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140"/>
              <w:spacing w:after="0"/>
              <w:rPr>
                <w:sz w:val="20"/>
                <w:szCs w:val="20"/>
                <w:color w:val="auto"/>
              </w:rPr>
            </w:pPr>
            <w:r>
              <w:rPr>
                <w:rFonts w:ascii="Arial" w:cs="Arial" w:eastAsia="Arial" w:hAnsi="Arial"/>
                <w:sz w:val="14"/>
                <w:szCs w:val="14"/>
                <w:color w:val="auto"/>
              </w:rPr>
              <w:t>Exercise of options to</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17,372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purchase common stock</w:t>
            </w: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840" w:type="dxa"/>
            <w:vAlign w:val="bottom"/>
            <w:tcBorders>
              <w:top w:val="single" w:sz="8" w:color="CCEEFF"/>
            </w:tcBorders>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at November 30,</w:t>
            </w:r>
          </w:p>
        </w:tc>
        <w:tc>
          <w:tcPr>
            <w:tcW w:w="8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95,416,772</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98,234</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ind w:left="180"/>
              <w:spacing w:after="0"/>
              <w:rPr>
                <w:sz w:val="20"/>
                <w:szCs w:val="20"/>
                <w:color w:val="auto"/>
              </w:rPr>
            </w:pPr>
            <w:r>
              <w:rPr>
                <w:rFonts w:ascii="Arial" w:cs="Arial" w:eastAsia="Arial" w:hAnsi="Arial"/>
                <w:sz w:val="14"/>
                <w:szCs w:val="14"/>
                <w:color w:val="auto"/>
                <w:w w:val="99"/>
              </w:rPr>
              <w:t>(2,145)</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1,084,671</w:t>
            </w: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101,037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1,183,681</w:t>
            </w:r>
          </w:p>
        </w:tc>
        <w:tc>
          <w:tcPr>
            <w:tcW w:w="0" w:type="dxa"/>
            <w:vAlign w:val="bottom"/>
          </w:tcPr>
          <w:p>
            <w:pPr>
              <w:spacing w:after="0"/>
              <w:rPr>
                <w:sz w:val="1"/>
                <w:szCs w:val="1"/>
                <w:color w:val="auto"/>
              </w:rPr>
            </w:pPr>
          </w:p>
        </w:tc>
      </w:tr>
      <w:tr>
        <w:trPr>
          <w:trHeight w:val="182"/>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25" w:right="7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7" w:lineRule="exact"/>
        <w:rPr>
          <w:sz w:val="20"/>
          <w:szCs w:val="20"/>
          <w:color w:val="auto"/>
        </w:rPr>
      </w:pPr>
    </w:p>
    <w:p>
      <w:pPr>
        <w:jc w:val="both"/>
        <w:ind w:firstLine="246"/>
        <w:spacing w:after="0" w:line="253" w:lineRule="auto"/>
        <w:rPr>
          <w:sz w:val="20"/>
          <w:szCs w:val="20"/>
          <w:color w:val="auto"/>
        </w:rPr>
      </w:pPr>
      <w:r>
        <w:rPr>
          <w:rFonts w:ascii="Arial" w:cs="Arial" w:eastAsia="Arial" w:hAnsi="Arial"/>
          <w:sz w:val="18"/>
          <w:szCs w:val="18"/>
          <w:color w:val="auto"/>
        </w:rPr>
        <w:t>The Simply Good Foods Company (“Simply Good Foods” or the "Company")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“Acquisition of Atkins”). The common stock of Simply Good Foods is listed on the Nasdaq Capital Market under the symbol “SMPL.”</w:t>
      </w:r>
    </w:p>
    <w:p>
      <w:pPr>
        <w:spacing w:after="0" w:line="218" w:lineRule="exact"/>
        <w:rPr>
          <w:sz w:val="20"/>
          <w:szCs w:val="20"/>
          <w:color w:val="auto"/>
        </w:rPr>
      </w:pPr>
    </w:p>
    <w:p>
      <w:pPr>
        <w:jc w:val="both"/>
        <w:ind w:firstLine="232"/>
        <w:spacing w:after="0" w:line="257" w:lineRule="auto"/>
        <w:rPr>
          <w:sz w:val="20"/>
          <w:szCs w:val="20"/>
          <w:color w:val="auto"/>
        </w:rPr>
      </w:pPr>
      <w:r>
        <w:rPr>
          <w:rFonts w:ascii="Arial" w:cs="Arial" w:eastAsia="Arial" w:hAnsi="Arial"/>
          <w:sz w:val="17"/>
          <w:szCs w:val="17"/>
          <w:color w:val="auto"/>
        </w:rPr>
        <w:t>On August 21, 2019, the Company's wholly-owned subsidiary Simply Good Foods USA, Inc., formerly known as Atkins Nutritionals, Inc., (“Simply Good USA”) entered into a Stock and Unit Purchase Agreement (the "Purchase Agreement") to acquire Quest Nutrition, LLC ("Quest"), a healthy lifestyle food company (the "Acquisition of Quest"). On November 7, 2019, Simply Good USA completed the Acquisition of Quest, via Simply Good USA’s direct or indirect acquisition of 100% of the equity interests of Voyage Holdings, LLC (“Voyage Holdings”), and VMG Quest Blocker, Inc. (“Voyage Blocker” and, together with Voyage Holdings, the “Target Companies”) for a cash purchase price of approximately $1.0 billion (subject to customary adjustments for the Target Companies’ levels of cash, indebtedness, net working capital and transaction expenses as of the closing date).</w:t>
      </w:r>
    </w:p>
    <w:p>
      <w:pPr>
        <w:spacing w:after="0" w:line="202" w:lineRule="exact"/>
        <w:rPr>
          <w:sz w:val="20"/>
          <w:szCs w:val="20"/>
          <w:color w:val="auto"/>
        </w:rPr>
      </w:pPr>
    </w:p>
    <w:p>
      <w:pPr>
        <w:jc w:val="both"/>
        <w:ind w:firstLine="321"/>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52" w:lineRule="exact"/>
        <w:rPr>
          <w:sz w:val="20"/>
          <w:szCs w:val="20"/>
          <w:color w:val="auto"/>
        </w:rPr>
      </w:pPr>
    </w:p>
    <w:p>
      <w:pPr>
        <w:jc w:val="both"/>
        <w:ind w:firstLine="187"/>
        <w:spacing w:after="0" w:line="253" w:lineRule="auto"/>
        <w:rPr>
          <w:sz w:val="20"/>
          <w:szCs w:val="20"/>
          <w:color w:val="auto"/>
        </w:rPr>
      </w:pPr>
      <w:r>
        <w:rPr>
          <w:rFonts w:ascii="Arial" w:cs="Arial" w:eastAsia="Arial" w:hAnsi="Arial"/>
          <w:sz w:val="17"/>
          <w:szCs w:val="17"/>
          <w:color w:val="auto"/>
        </w:rPr>
        <w:t>The Simply Good Foods Company is a consumer-packaged food and beverage company that aims to lead the nutritious snacking movement with trusted brands that offer a variety of convenient, innovative, great-tasting, better-for-you snacks and meal replacements. The Company’s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 The Company's platform also positions it to continue to selectively pursue acquisition opportunities of brands in the nutritious snacking category.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52" w:lineRule="exact"/>
        <w:rPr>
          <w:sz w:val="20"/>
          <w:szCs w:val="20"/>
          <w:color w:val="auto"/>
        </w:rPr>
      </w:pPr>
    </w:p>
    <w:p>
      <w:pPr>
        <w:jc w:val="both"/>
        <w:ind w:firstLine="242"/>
        <w:spacing w:after="0" w:line="289" w:lineRule="auto"/>
        <w:rPr>
          <w:sz w:val="20"/>
          <w:szCs w:val="20"/>
          <w:color w:val="auto"/>
        </w:rPr>
      </w:pPr>
      <w:r>
        <w:rPr>
          <w:rFonts w:ascii="Arial" w:cs="Arial" w:eastAsia="Arial" w:hAnsi="Arial"/>
          <w:sz w:val="16"/>
          <w:szCs w:val="16"/>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our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condensed consolidated financial statements are not necessarily indicative of the results that may be reported for the entire fiscal year and should be read in conjunction with our consolidated financial statements for the fiscal year ended August 29, 2020, included in our Annual Report on Form 10-K (“Annual Report”), filed with the SEC on October 28, 2020.</w:t>
      </w:r>
    </w:p>
    <w:p>
      <w:pPr>
        <w:spacing w:after="0" w:line="193" w:lineRule="exact"/>
        <w:rPr>
          <w:sz w:val="20"/>
          <w:szCs w:val="20"/>
          <w:color w:val="auto"/>
        </w:rPr>
      </w:pPr>
    </w:p>
    <w:p>
      <w:pPr>
        <w:jc w:val="both"/>
        <w:ind w:firstLine="206"/>
        <w:spacing w:after="0" w:line="241" w:lineRule="auto"/>
        <w:rPr>
          <w:sz w:val="20"/>
          <w:szCs w:val="20"/>
          <w:color w:val="auto"/>
        </w:rPr>
      </w:pPr>
      <w:r>
        <w:rPr>
          <w:rFonts w:ascii="Arial" w:cs="Arial" w:eastAsia="Arial" w:hAnsi="Arial"/>
          <w:sz w:val="18"/>
          <w:szCs w:val="18"/>
          <w:color w:val="auto"/>
        </w:rPr>
        <w:t xml:space="preserve">Additionally, based </w:t>
      </w:r>
      <w:r>
        <w:rPr>
          <w:rFonts w:ascii="Arial" w:cs="Arial" w:eastAsia="Arial" w:hAnsi="Arial"/>
          <w:sz w:val="18"/>
          <w:szCs w:val="18"/>
          <w:color w:val="212529"/>
        </w:rPr>
        <w:t>on the duration and severity of economic effects from the novel coronavirus ("COVID-19") pandemic, including but not limited to</w:t>
      </w:r>
      <w:r>
        <w:rPr>
          <w:rFonts w:ascii="Arial" w:cs="Arial" w:eastAsia="Arial" w:hAnsi="Arial"/>
          <w:sz w:val="18"/>
          <w:szCs w:val="18"/>
          <w:color w:val="auto"/>
        </w:rPr>
        <w:t xml:space="preserve"> </w:t>
      </w:r>
      <w:r>
        <w:rPr>
          <w:rFonts w:ascii="Arial" w:cs="Arial" w:eastAsia="Arial" w:hAnsi="Arial"/>
          <w:sz w:val="18"/>
          <w:szCs w:val="18"/>
          <w:color w:val="212529"/>
        </w:rPr>
        <w:t>stock market volatility, the potential for (i) continued increased rates of reported cases of COVID-19 (which has been referred to as a second wave), (ii) unexpected supply chain disruptions, (iii) changes to customer operations, (iv) continued or additional changes in consumer purchasing and consumption behavior beyond those evidenced to date, and (v) the closure of customer establishments, the Company remains uncertain of the ultimate effect COVID-19 could have on its business</w:t>
      </w:r>
      <w:r>
        <w:rPr>
          <w:rFonts w:ascii="Arial" w:cs="Arial" w:eastAsia="Arial" w:hAnsi="Arial"/>
          <w:sz w:val="18"/>
          <w:szCs w:val="18"/>
          <w:color w:val="000000"/>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220"/>
        <w:spacing w:after="0" w:line="27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included in the Company's Annual Report for a description of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52" w:lineRule="exact"/>
        <w:rPr>
          <w:sz w:val="20"/>
          <w:szCs w:val="20"/>
          <w:color w:val="auto"/>
        </w:rPr>
      </w:pPr>
    </w:p>
    <w:p>
      <w:pPr>
        <w:jc w:val="both"/>
        <w:ind w:firstLine="260"/>
        <w:spacing w:after="0" w:line="239" w:lineRule="auto"/>
        <w:rPr>
          <w:sz w:val="20"/>
          <w:szCs w:val="20"/>
          <w:color w:val="auto"/>
        </w:rPr>
      </w:pPr>
      <w:r>
        <w:rPr>
          <w:rFonts w:ascii="Arial" w:cs="Arial" w:eastAsia="Arial" w:hAnsi="Arial"/>
          <w:sz w:val="18"/>
          <w:szCs w:val="18"/>
          <w:color w:val="auto"/>
        </w:rPr>
        <w:t>In December 2019, the Financial Accounting Standards Board (the “FASB”) issued Accounting Standards Update (“ASU”) 2019-12, Income Taxes (Topic 740): Simplifying the Accounting for Income Taxes, which amends the existing guidance relating to the accounting for income taxes. This ASU is intended to simplify the accounting for income taxes by removing certain exceptions to the general principles of accounting for income taxes and to improve the consistent application of U.S. GAAP for other areas of accounting for income taxes by clarifying and amending existing guidance. This ASU is effective for fiscal years beginning after December 15, 2021, with early adoption permitted. The Company is currently evaluating the effects adoption of this guidance will have on the consolidated financial statements and does not expect that the adoption of this ASU will be material to its consolidated financial statements.</w:t>
      </w:r>
    </w:p>
    <w:p>
      <w:pPr>
        <w:spacing w:after="0" w:line="218" w:lineRule="exact"/>
        <w:rPr>
          <w:sz w:val="20"/>
          <w:szCs w:val="20"/>
          <w:color w:val="auto"/>
        </w:rPr>
      </w:pPr>
    </w:p>
    <w:p>
      <w:pPr>
        <w:jc w:val="both"/>
        <w:ind w:firstLine="267"/>
        <w:spacing w:after="0" w:line="276"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and can be applied to contract modifications due to rate reform and eligible existing and new hedging relationships entered into between March 12, 2020 through December 31, 2022. The amendments of this ASU should be applied on a prospective basis. The Company will continue to monitor the effects of rate reform, if any, on its contracts and the effects of adoption of this ASU through December 31, 2022. The Company does not anticipate the amendments in this ASU to be material to its consolidated financial statements.</w:t>
      </w:r>
    </w:p>
    <w:p>
      <w:pPr>
        <w:spacing w:after="0" w:line="188" w:lineRule="exact"/>
        <w:rPr>
          <w:sz w:val="20"/>
          <w:szCs w:val="20"/>
          <w:color w:val="auto"/>
        </w:rPr>
      </w:pPr>
    </w:p>
    <w:p>
      <w:pPr>
        <w:jc w:val="both"/>
        <w:ind w:firstLine="244"/>
        <w:spacing w:after="0" w:line="259" w:lineRule="auto"/>
        <w:rPr>
          <w:sz w:val="20"/>
          <w:szCs w:val="20"/>
          <w:color w:val="auto"/>
        </w:rPr>
      </w:pPr>
      <w:r>
        <w:rPr>
          <w:rFonts w:ascii="Arial" w:cs="Arial" w:eastAsia="Arial" w:hAnsi="Arial"/>
          <w:sz w:val="17"/>
          <w:szCs w:val="17"/>
          <w:color w:val="auto"/>
        </w:rPr>
        <w:t>In October 2020, the FASB issued ASU No. 2020-10, Codification Improvements, which provides updates for technical corrections, clarifications to guidance, simplifications to wording or structure of guidance, and other minor improvements across various areas of accounting within U.S. GAAP. This ASU is effective for all entities for fiscal years beginning after December 15, 2020, with early adoption permitted. The amendments of this ASU should be applied retrospectively. The Company is currently evaluating the effects adoption of this guidance will have on the consolidated financial statements and does not anticipate the adoption of this ASU will be material to its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52"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7"/>
          <w:szCs w:val="17"/>
          <w:color w:val="auto"/>
        </w:rPr>
        <w:t>In June 2016, the FASB issued ASU 2016-13, Financial Instruments—Credit Losses (Topic 326), which modified the measurement of expected credit losses of certain financial instruments. The Company adopted this ASU as of the first day of fiscal 2021. As a result of adopting this ASU, the Company changed its method of estimating its allowance for doubtful accounts for trade receivables to be based upon the Company's historical credit loss experience adjusted for asset-specific risk characteristics, current economic conditions, and reasonable forecasts. The change in estimating the allowance for doubtful accounts did not have a material effect on the Company's consolidated financial statements.</w:t>
      </w:r>
    </w:p>
    <w:p>
      <w:pPr>
        <w:spacing w:after="0" w:line="201" w:lineRule="exact"/>
        <w:rPr>
          <w:sz w:val="20"/>
          <w:szCs w:val="20"/>
          <w:color w:val="auto"/>
        </w:rPr>
      </w:pPr>
    </w:p>
    <w:p>
      <w:pPr>
        <w:jc w:val="both"/>
        <w:ind w:firstLine="279"/>
        <w:spacing w:after="0" w:line="248" w:lineRule="auto"/>
        <w:rPr>
          <w:sz w:val="20"/>
          <w:szCs w:val="20"/>
          <w:color w:val="auto"/>
        </w:rPr>
      </w:pPr>
      <w:r>
        <w:rPr>
          <w:rFonts w:ascii="Arial" w:cs="Arial" w:eastAsia="Arial" w:hAnsi="Arial"/>
          <w:sz w:val="18"/>
          <w:szCs w:val="18"/>
          <w:color w:val="auto"/>
        </w:rPr>
        <w:t>In August 2018, the FASB issued ASU No. 2018-13, Fair Value Measurement (Topic 820), which modified disclosure requirements on fair value measurements of Accounting Standards Codification (“ASC”) 820. The Company adopted this ASU as of the first day of fiscal 2021. The adoption of this ASU did not have a material effect on the consolidated financial statements or the related disclosures.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56" w:lineRule="exact"/>
        <w:rPr>
          <w:sz w:val="20"/>
          <w:szCs w:val="20"/>
          <w:color w:val="auto"/>
        </w:rPr>
      </w:pPr>
    </w:p>
    <w:p>
      <w:pPr>
        <w:jc w:val="both"/>
        <w:ind w:firstLine="223"/>
        <w:spacing w:after="0" w:line="294" w:lineRule="auto"/>
        <w:rPr>
          <w:sz w:val="20"/>
          <w:szCs w:val="20"/>
          <w:color w:val="auto"/>
        </w:rPr>
      </w:pPr>
      <w:r>
        <w:rPr>
          <w:rFonts w:ascii="Arial" w:cs="Arial" w:eastAsia="Arial" w:hAnsi="Arial"/>
          <w:sz w:val="16"/>
          <w:szCs w:val="16"/>
          <w:color w:val="auto"/>
        </w:rPr>
        <w:t>On August 21, 2019, Simply Good USA entered into the Purchase Agreement with VMG Voyage Holdings, LLC, VMG Tax-Exempt II, L.P., Voyage Employee Holdings, LLC, and other sellers defined in the Purchase Agreement. On November 7, 2019, pursuant to the Purchase Agreement, Simply Good USA completed the Acquisition of Quest for a cash purchase price at closing of $988.9 million subject to customary post-closing adjustments.</w:t>
      </w:r>
    </w:p>
    <w:p>
      <w:pPr>
        <w:spacing w:after="0" w:line="174" w:lineRule="exact"/>
        <w:rPr>
          <w:sz w:val="20"/>
          <w:szCs w:val="20"/>
          <w:color w:val="auto"/>
        </w:rPr>
      </w:pPr>
    </w:p>
    <w:p>
      <w:pPr>
        <w:jc w:val="both"/>
        <w:ind w:firstLine="193"/>
        <w:spacing w:after="0" w:line="311" w:lineRule="auto"/>
        <w:rPr>
          <w:sz w:val="20"/>
          <w:szCs w:val="20"/>
          <w:color w:val="auto"/>
        </w:rPr>
      </w:pPr>
      <w:r>
        <w:rPr>
          <w:rFonts w:ascii="Arial" w:cs="Arial" w:eastAsia="Arial" w:hAnsi="Arial"/>
          <w:sz w:val="16"/>
          <w:szCs w:val="16"/>
          <w:color w:val="auto"/>
        </w:rPr>
        <w:t>Simply Good USA acquired Quest as a part of the Company's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w:t>
      </w:r>
    </w:p>
    <w:p>
      <w:pPr>
        <w:spacing w:after="0" w:line="176" w:lineRule="exact"/>
        <w:rPr>
          <w:sz w:val="20"/>
          <w:szCs w:val="20"/>
          <w:color w:val="auto"/>
        </w:rPr>
      </w:pPr>
    </w:p>
    <w:p>
      <w:pPr>
        <w:jc w:val="both"/>
        <w:ind w:firstLine="189"/>
        <w:spacing w:after="0" w:line="263" w:lineRule="auto"/>
        <w:rPr>
          <w:sz w:val="20"/>
          <w:szCs w:val="20"/>
          <w:color w:val="auto"/>
        </w:rPr>
      </w:pPr>
      <w:r>
        <w:rPr>
          <w:rFonts w:ascii="Arial" w:cs="Arial" w:eastAsia="Arial" w:hAnsi="Arial"/>
          <w:sz w:val="18"/>
          <w:szCs w:val="18"/>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In the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fiscal quarter of 2020, the Company received a post-closing release from escrow of approximately $2.1 million related to net working capital adjustments, resulting in a total net consideration paid of $986.8 million as of November 28, 2020.</w:t>
      </w:r>
    </w:p>
    <w:p>
      <w:pPr>
        <w:spacing w:after="0" w:line="197" w:lineRule="exact"/>
        <w:rPr>
          <w:sz w:val="20"/>
          <w:szCs w:val="20"/>
          <w:color w:val="auto"/>
        </w:rPr>
      </w:pPr>
    </w:p>
    <w:p>
      <w:pPr>
        <w:jc w:val="both"/>
        <w:ind w:firstLine="252"/>
        <w:spacing w:after="0" w:line="270" w:lineRule="auto"/>
        <w:rPr>
          <w:sz w:val="20"/>
          <w:szCs w:val="20"/>
          <w:color w:val="auto"/>
        </w:rPr>
      </w:pPr>
      <w:r>
        <w:rPr>
          <w:rFonts w:ascii="Arial" w:cs="Arial" w:eastAsia="Arial" w:hAnsi="Arial"/>
          <w:sz w:val="16"/>
          <w:szCs w:val="16"/>
          <w:color w:val="auto"/>
        </w:rPr>
        <w:t xml:space="preserve">For the thirteen weeks ended November 30, 2019, </w:t>
      </w:r>
      <w:r>
        <w:rPr>
          <w:rFonts w:ascii="Arial" w:cs="Arial" w:eastAsia="Arial" w:hAnsi="Arial"/>
          <w:sz w:val="16"/>
          <w:szCs w:val="16"/>
          <w:i w:val="1"/>
          <w:iCs w:val="1"/>
          <w:color w:val="auto"/>
        </w:rPr>
        <w:t>Business transaction costs</w:t>
      </w:r>
      <w:r>
        <w:rPr>
          <w:rFonts w:ascii="Arial" w:cs="Arial" w:eastAsia="Arial" w:hAnsi="Arial"/>
          <w:sz w:val="16"/>
          <w:szCs w:val="16"/>
          <w:color w:val="auto"/>
        </w:rPr>
        <w:t xml:space="preserve"> within the Consolidated Statements of Operations and Comprehensive Income were $26.2 million, which included $14.5 million of transaction advisory fees related to the Acquisition of Quest, $3.2 million of banker commitment fees, $6.1 million of non-deferrable debt issuance costs related to the incremental term loan, and $2.4 million of other costs, including legal, due diligence, and accounting fees. Included in the transaction advisory fees was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represented approximately 1.2% of the total cash purchase price paid by the Company on the closing date of the Acquisition of Quest. All transaction advisory fees relating to the Acquisition of Quest were approved by the Company’s Audit Committee.</w:t>
      </w:r>
    </w:p>
    <w:p>
      <w:pPr>
        <w:spacing w:after="0" w:line="198" w:lineRule="exact"/>
        <w:rPr>
          <w:sz w:val="20"/>
          <w:szCs w:val="20"/>
          <w:color w:val="auto"/>
        </w:rPr>
      </w:pPr>
    </w:p>
    <w:p>
      <w:pPr>
        <w:jc w:val="both"/>
        <w:ind w:firstLine="207"/>
        <w:spacing w:after="0" w:line="261" w:lineRule="auto"/>
        <w:rPr>
          <w:sz w:val="20"/>
          <w:szCs w:val="20"/>
          <w:color w:val="auto"/>
        </w:rPr>
      </w:pPr>
      <w:r>
        <w:rPr>
          <w:rFonts w:ascii="Arial" w:cs="Arial" w:eastAsia="Arial" w:hAnsi="Arial"/>
          <w:sz w:val="18"/>
          <w:szCs w:val="18"/>
          <w:color w:val="auto"/>
        </w:rPr>
        <w:t>The following table sets forth the final purchase price allocation of the Acquisition of Quest to the estimated fair value of the net assets acquired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57785</wp:posOffset>
            </wp:positionV>
            <wp:extent cx="637794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77940" cy="163195"/>
                    </a:xfrm>
                    <a:prstGeom prst="rect">
                      <a:avLst/>
                    </a:prstGeom>
                    <a:noFill/>
                  </pic:spPr>
                </pic:pic>
              </a:graphicData>
            </a:graphic>
          </wp:anchor>
        </w:drawing>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Assets acquired:</w:t>
      </w:r>
    </w:p>
    <w:p>
      <w:pPr>
        <w:spacing w:after="0" w:line="73"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5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25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25,359</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44,032</w:t>
            </w:r>
          </w:p>
        </w:tc>
      </w:tr>
      <w:tr>
        <w:trPr>
          <w:trHeight w:val="26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assets</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3,812</w:t>
            </w:r>
          </w:p>
        </w:tc>
      </w:tr>
      <w:tr>
        <w:trPr>
          <w:trHeight w:val="259"/>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9,843</w:t>
            </w:r>
          </w:p>
        </w:tc>
      </w:tr>
      <w:tr>
        <w:trPr>
          <w:trHeight w:val="257"/>
        </w:trPr>
        <w:tc>
          <w:tcPr>
            <w:tcW w:w="8500" w:type="dxa"/>
            <w:vAlign w:val="bottom"/>
          </w:tcPr>
          <w:p>
            <w:pPr>
              <w:ind w:left="22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868,375</w:t>
            </w:r>
          </w:p>
        </w:tc>
      </w:tr>
      <w:tr>
        <w:trPr>
          <w:trHeight w:val="257"/>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assets</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53"/>
        </w:trPr>
        <w:tc>
          <w:tcPr>
            <w:tcW w:w="85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53"/>
        </w:trPr>
        <w:tc>
          <w:tcPr>
            <w:tcW w:w="850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260"/>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5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w:t>
            </w:r>
          </w:p>
        </w:tc>
      </w:tr>
      <w:tr>
        <w:trPr>
          <w:trHeight w:val="253"/>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18,891</w:t>
            </w:r>
          </w:p>
        </w:tc>
      </w:tr>
      <w:tr>
        <w:trPr>
          <w:trHeight w:val="24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912,295</w:t>
            </w:r>
          </w:p>
        </w:tc>
      </w:tr>
      <w:tr>
        <w:trPr>
          <w:trHeight w:val="256"/>
        </w:trPr>
        <w:tc>
          <w:tcPr>
            <w:tcW w:w="8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5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74,525</w:t>
            </w:r>
          </w:p>
        </w:tc>
      </w:tr>
      <w:tr>
        <w:trPr>
          <w:trHeight w:val="235"/>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986,820</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8"/>
        <w:spacing w:after="0" w:line="261" w:lineRule="auto"/>
        <w:tabs>
          <w:tab w:leader="none" w:pos="253"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Property and equipment, net primarily consisted of leasehold improvements for the Quest headquarters of $6.9 million, furniture and fixtures of $2.2 million, and equipment of $0.7 million. The Quest headquarters lease ends in April 2029. The useful lives of the leasehold improvements, furniture and fixtures, and equipment are consistent with the Company's accounting policies.</w:t>
      </w:r>
    </w:p>
    <w:p>
      <w:pPr>
        <w:spacing w:after="0" w:line="74" w:lineRule="exact"/>
        <w:rPr>
          <w:rFonts w:ascii="Arial" w:cs="Arial" w:eastAsia="Arial" w:hAnsi="Arial"/>
          <w:sz w:val="16"/>
          <w:szCs w:val="16"/>
          <w:color w:val="auto"/>
        </w:rPr>
      </w:pPr>
    </w:p>
    <w:p>
      <w:pPr>
        <w:jc w:val="both"/>
        <w:ind w:firstLine="8"/>
        <w:spacing w:after="0" w:line="250" w:lineRule="auto"/>
        <w:tabs>
          <w:tab w:leader="none" w:pos="23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Intangible assets were recorded at fair value consistent with ASC 820 as a result of the Acquisition of Quest. Intangible assets consisted of $750.0 million of indefinite brands and trademarks, $115.0 million of amortizable customer relationships, and $3.4 million of internally developed software.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 The fair values of the intangible assets were estimated using inputs primarily from the income approach and the with/without method, which estimates the value using the cash flow impact in a hypothetical scenario where the customer relationships are not in place. The significant assumptions used in estimating the fair value of the intangible assets include the estimated life the asset will contribute to cash flows, profitability, and the estimated discount rate.</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Primarily as a result of the fair value attributable to the identifiable intangible assets, the deferred income tax liability was $10.8 million.</w:t>
      </w:r>
    </w:p>
    <w:p>
      <w:pPr>
        <w:spacing w:after="0" w:line="113"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was estimated to be $67.7 million. Goodwill represents the future economic benefits arising from other assets acquired that could not be individually identified and separately recognized.</w:t>
      </w:r>
    </w:p>
    <w:p>
      <w:pPr>
        <w:spacing w:after="0" w:line="209" w:lineRule="exact"/>
        <w:rPr>
          <w:sz w:val="20"/>
          <w:szCs w:val="20"/>
          <w:color w:val="auto"/>
        </w:rPr>
      </w:pPr>
    </w:p>
    <w:p>
      <w:pPr>
        <w:jc w:val="both"/>
        <w:ind w:firstLine="282"/>
        <w:spacing w:after="0" w:line="243" w:lineRule="auto"/>
        <w:rPr>
          <w:sz w:val="20"/>
          <w:szCs w:val="20"/>
          <w:color w:val="auto"/>
        </w:rPr>
      </w:pPr>
      <w:r>
        <w:rPr>
          <w:rFonts w:ascii="Arial" w:cs="Arial" w:eastAsia="Arial" w:hAnsi="Arial"/>
          <w:sz w:val="18"/>
          <w:szCs w:val="18"/>
          <w:color w:val="auto"/>
        </w:rPr>
        <w:t>Since the initial preliminary estimates reported in the first fiscal quarter of 2020, the Company has updated certain amounts reflected in the final purchase price allocation, as summarized in the fair values of assets acquired and liabilities assumed as set forth above. Specifically, the carrying amount of the intangible assets, net were increased by $20.0 million as a result of valuation adjustments related to the Company's finalization of tax attributes, which also resulted in a decrease to deferred income taxes of $3.2 million.</w:t>
      </w:r>
    </w:p>
    <w:p>
      <w:pPr>
        <w:sectPr>
          <w:pgSz w:w="11900" w:h="16838" w:orient="portrait"/>
          <w:cols w:equalWidth="0" w:num="1">
            <w:col w:w="11240"/>
          </w:cols>
          <w:pgMar w:left="320" w:top="125" w:right="339" w:bottom="1440" w:gutter="0" w:footer="0" w:header="0"/>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Additionally, accounts receivable, net decreased $4.3 million and inventories increased $0.9 million due to fair value measurement period adjustments, and the carrying amount of property and equipment, net decreased by $0.5 million to reflect its estimated fair value. As a result of these adjustments and the change in total net consideration paid of approximately $2.1 million related to net working capital adjustments discussed above, goodwill has decreased $21.5 million. Measurement period adjustments were recognized in the reporting period in which the adjustments were determined and calculated as if the accounting had been completed at the acquisition date.</w:t>
      </w:r>
    </w:p>
    <w:p>
      <w:pPr>
        <w:spacing w:after="0" w:line="216" w:lineRule="exact"/>
        <w:rPr>
          <w:sz w:val="20"/>
          <w:szCs w:val="20"/>
          <w:color w:val="auto"/>
        </w:rPr>
      </w:pPr>
    </w:p>
    <w:p>
      <w:pPr>
        <w:jc w:val="both"/>
        <w:ind w:firstLine="305"/>
        <w:spacing w:after="0" w:line="261" w:lineRule="auto"/>
        <w:rPr>
          <w:sz w:val="20"/>
          <w:szCs w:val="20"/>
          <w:color w:val="auto"/>
        </w:rPr>
      </w:pPr>
      <w:r>
        <w:rPr>
          <w:rFonts w:ascii="Arial" w:cs="Arial" w:eastAsia="Arial" w:hAnsi="Arial"/>
          <w:sz w:val="18"/>
          <w:szCs w:val="18"/>
          <w:color w:val="auto"/>
        </w:rPr>
        <w:t>The results of Quest's operations have been included in the Company's Consolidated Financial Statements since November 7, 2019, the date of acquisition. The following table provides net sales from the acquired Quest business included in the Company's results:</w:t>
      </w:r>
    </w:p>
    <w:p>
      <w:pPr>
        <w:spacing w:after="0" w:line="337"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5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5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95,769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17,082</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Net sales for the thirteen weeks ended November 28, 2020 excludes immaterial international net sales.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56" w:lineRule="exact"/>
        <w:rPr>
          <w:sz w:val="20"/>
          <w:szCs w:val="20"/>
          <w:color w:val="auto"/>
        </w:rPr>
      </w:pPr>
    </w:p>
    <w:p>
      <w:pPr>
        <w:jc w:val="both"/>
        <w:ind w:firstLine="193"/>
        <w:spacing w:after="0" w:line="24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 The following unaudited pro forma financial information presents the combined results of the Company and Quest as if the Acquisition of Quest has occurred at the beginning of fiscal 2019:</w:t>
      </w:r>
    </w:p>
    <w:p>
      <w:pPr>
        <w:spacing w:after="0" w:line="152" w:lineRule="exact"/>
        <w:rPr>
          <w:sz w:val="20"/>
          <w:szCs w:val="20"/>
          <w:color w:val="auto"/>
        </w:rPr>
      </w:pPr>
    </w:p>
    <w:tbl>
      <w:tblPr>
        <w:tblLayout w:type="fixed"/>
        <w:tblInd w:w="2780" w:type="dxa"/>
        <w:tblCellMar>
          <w:top w:w="0" w:type="dxa"/>
          <w:left w:w="0" w:type="dxa"/>
          <w:bottom w:w="0" w:type="dxa"/>
          <w:right w:w="0" w:type="dxa"/>
        </w:tblCellMar>
      </w:tblPr>
      <w:tr>
        <w:trPr>
          <w:trHeight w:val="206"/>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w w:val="89"/>
              </w:rPr>
              <w:t>Thirteen Weeks</w:t>
            </w:r>
          </w:p>
        </w:tc>
        <w:tc>
          <w:tcPr>
            <w:tcW w:w="560" w:type="dxa"/>
            <w:vAlign w:val="bottom"/>
          </w:tcPr>
          <w:p>
            <w:pPr>
              <w:ind w:left="20"/>
              <w:spacing w:after="0"/>
              <w:rPr>
                <w:sz w:val="20"/>
                <w:szCs w:val="20"/>
                <w:color w:val="auto"/>
              </w:rPr>
            </w:pPr>
            <w:r>
              <w:rPr>
                <w:rFonts w:ascii="Arial" w:cs="Arial" w:eastAsia="Arial" w:hAnsi="Arial"/>
                <w:sz w:val="16"/>
                <w:szCs w:val="16"/>
                <w:color w:val="auto"/>
              </w:rPr>
              <w:t>Ended</w:t>
            </w:r>
          </w:p>
        </w:tc>
      </w:tr>
      <w:tr>
        <w:trPr>
          <w:trHeight w:val="25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November 30,</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2019</w:t>
            </w:r>
          </w:p>
        </w:tc>
      </w:tr>
      <w:tr>
        <w:trPr>
          <w:trHeight w:val="23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220,556</w:t>
            </w:r>
          </w:p>
        </w:tc>
      </w:tr>
      <w:tr>
        <w:trPr>
          <w:trHeight w:val="254"/>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spacing w:after="0"/>
              <w:rPr>
                <w:sz w:val="22"/>
                <w:szCs w:val="22"/>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88,188</w:t>
            </w:r>
          </w:p>
        </w:tc>
      </w:tr>
      <w:tr>
        <w:trPr>
          <w:trHeight w:val="25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15,648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56" w:lineRule="exact"/>
        <w:rPr>
          <w:sz w:val="20"/>
          <w:szCs w:val="20"/>
          <w:color w:val="auto"/>
        </w:rPr>
      </w:pPr>
    </w:p>
    <w:p>
      <w:pPr>
        <w:jc w:val="both"/>
        <w:ind w:firstLine="214"/>
        <w:spacing w:after="0" w:line="291" w:lineRule="auto"/>
        <w:rPr>
          <w:sz w:val="20"/>
          <w:szCs w:val="20"/>
          <w:color w:val="auto"/>
        </w:rPr>
      </w:pPr>
      <w:r>
        <w:rPr>
          <w:rFonts w:ascii="Arial" w:cs="Arial" w:eastAsia="Arial" w:hAnsi="Arial"/>
          <w:sz w:val="17"/>
          <w:szCs w:val="17"/>
          <w:color w:val="auto"/>
        </w:rPr>
        <w:t>Revenues from transactions with external customers for each of the Company’s products would be impracticable to disclose and management does not view its business by product line. The following is a summary of revenue disaggregated by geographic area and brand:</w:t>
      </w:r>
    </w:p>
    <w:p>
      <w:pPr>
        <w:spacing w:after="0" w:line="57"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4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4"/>
        </w:trPr>
        <w:tc>
          <w:tcPr>
            <w:tcW w:w="6840" w:type="dxa"/>
            <w:vAlign w:val="bottom"/>
            <w:gridSpan w:val="2"/>
          </w:tcPr>
          <w:p>
            <w:pPr>
              <w:ind w:left="120"/>
              <w:spacing w:after="0"/>
              <w:rPr>
                <w:sz w:val="20"/>
                <w:szCs w:val="20"/>
                <w:color w:val="auto"/>
              </w:rPr>
            </w:pPr>
            <w:r>
              <w:rPr>
                <w:rFonts w:ascii="Arial" w:cs="Arial" w:eastAsia="Arial" w:hAnsi="Arial"/>
                <w:sz w:val="16"/>
                <w:szCs w:val="16"/>
                <w:color w:val="auto"/>
              </w:rPr>
              <w:t>Atkins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122,761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127,812</w:t>
            </w:r>
          </w:p>
        </w:tc>
      </w:tr>
      <w:tr>
        <w:trPr>
          <w:trHeight w:val="256"/>
        </w:trPr>
        <w:tc>
          <w:tcPr>
            <w:tcW w:w="68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Quest</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95,769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17,082</w:t>
            </w:r>
          </w:p>
        </w:tc>
      </w:tr>
      <w:tr>
        <w:trPr>
          <w:trHeight w:val="236"/>
        </w:trPr>
        <w:tc>
          <w:tcPr>
            <w:tcW w:w="6840" w:type="dxa"/>
            <w:vAlign w:val="bottom"/>
            <w:gridSpan w:val="2"/>
          </w:tcPr>
          <w:p>
            <w:pPr>
              <w:ind w:left="240"/>
              <w:spacing w:after="0"/>
              <w:rPr>
                <w:sz w:val="20"/>
                <w:szCs w:val="20"/>
                <w:color w:val="auto"/>
              </w:rPr>
            </w:pPr>
            <w:r>
              <w:rPr>
                <w:rFonts w:ascii="Arial" w:cs="Arial" w:eastAsia="Arial" w:hAnsi="Arial"/>
                <w:sz w:val="16"/>
                <w:szCs w:val="16"/>
                <w:color w:val="auto"/>
              </w:rPr>
              <w:t>Total North America</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218,530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144,894</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7,259</w:t>
            </w:r>
          </w:p>
        </w:tc>
      </w:tr>
      <w:tr>
        <w:trPr>
          <w:trHeight w:val="213"/>
        </w:trPr>
        <w:tc>
          <w:tcPr>
            <w:tcW w:w="6840" w:type="dxa"/>
            <w:vAlign w:val="bottom"/>
            <w:gridSpan w:val="2"/>
          </w:tcPr>
          <w:p>
            <w:pPr>
              <w:ind w:left="120"/>
              <w:spacing w:after="0"/>
              <w:rPr>
                <w:sz w:val="20"/>
                <w:szCs w:val="20"/>
                <w:color w:val="auto"/>
              </w:rPr>
            </w:pPr>
            <w:r>
              <w:rPr>
                <w:rFonts w:ascii="Arial" w:cs="Arial" w:eastAsia="Arial" w:hAnsi="Arial"/>
                <w:sz w:val="16"/>
                <w:szCs w:val="16"/>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231,152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152,153</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64"/>
        <w:spacing w:after="0" w:line="270" w:lineRule="auto"/>
        <w:rPr>
          <w:sz w:val="20"/>
          <w:szCs w:val="20"/>
          <w:color w:val="auto"/>
        </w:rPr>
      </w:pPr>
      <w:r>
        <w:rPr>
          <w:rFonts w:ascii="Arial" w:cs="Arial" w:eastAsia="Arial" w:hAnsi="Arial"/>
          <w:sz w:val="17"/>
          <w:szCs w:val="17"/>
          <w:color w:val="auto"/>
        </w:rPr>
        <w:t>Charges related to credit loss on accounts receivables from transactions with external customers totaled approximately $0.1 million for the thirteen weeks ended November 28, 2020 and were nominal for the thirteen weeks ended November 30, 2019. As of November 28, 2020 and August 29, 2020, the allowance for doubtful accounts related to these accounts receivable was $0.6 million and $0.5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Changes to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during the thirteen week period ended November 28, 2020 were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Goodwill</w:t>
            </w:r>
          </w:p>
        </w:tc>
      </w:tr>
      <w:tr>
        <w:trPr>
          <w:trHeight w:val="253"/>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544,774</w:t>
            </w:r>
          </w:p>
        </w:tc>
      </w:tr>
      <w:tr>
        <w:trPr>
          <w:trHeight w:val="267"/>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Acquisition of business, measurement period adjustment</w:t>
            </w:r>
          </w:p>
        </w:tc>
        <w:tc>
          <w:tcPr>
            <w:tcW w:w="2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1,178</w:t>
            </w:r>
          </w:p>
        </w:tc>
      </w:tr>
      <w:tr>
        <w:trPr>
          <w:trHeight w:val="273"/>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 of business</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(2,818)</w:t>
            </w:r>
          </w:p>
        </w:tc>
      </w:tr>
      <w:tr>
        <w:trPr>
          <w:trHeight w:val="244"/>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Balance as of November 28, 2020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543,134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215"/>
        <w:spacing w:after="0" w:line="274" w:lineRule="auto"/>
        <w:rPr>
          <w:sz w:val="20"/>
          <w:szCs w:val="20"/>
          <w:color w:val="auto"/>
        </w:rPr>
      </w:pPr>
      <w:r>
        <w:rPr>
          <w:rFonts w:ascii="Arial" w:cs="Arial" w:eastAsia="Arial" w:hAnsi="Arial"/>
          <w:sz w:val="16"/>
          <w:szCs w:val="16"/>
          <w:color w:val="auto"/>
        </w:rPr>
        <w:t>The change in Goodwill attributed to the acquisition of a business during the thirteen weeks ended November 28, 2020 was the result of measurement period adjustments made to finalize the acquisition method of accounting for the Acquisition of Quest as described in Note 3. Additionally, effective September 24, 2020, the Company sold the assets exclusively related to its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In conjunction with the SimplyProtein Sale, the Company disposed of $2.8 million of goodwill associated with the SimplyProtein business.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were no impairment charges related to goodwill during the thirteen weeks ended November 28, 2020 or since the inception of the Company.</w:t>
      </w:r>
    </w:p>
    <w:p>
      <w:pPr>
        <w:spacing w:after="0" w:line="25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the Consolidated Balance Sheets consist of the following:</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1"/>
              </w:rPr>
              <w:t>November 28, 2020</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Gross carrying</w:t>
            </w:r>
          </w:p>
        </w:tc>
        <w:tc>
          <w:tcPr>
            <w:tcW w:w="10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39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vMerge w:val="restart"/>
          </w:tcPr>
          <w:p>
            <w:pPr>
              <w:spacing w:after="0"/>
              <w:rPr>
                <w:sz w:val="8"/>
                <w:szCs w:val="8"/>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amount</w:t>
            </w:r>
          </w:p>
        </w:tc>
        <w:tc>
          <w:tcPr>
            <w:tcW w:w="14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vMerge w:val="restart"/>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40" w:type="dxa"/>
            <w:vAlign w:val="bottom"/>
            <w:vMerge w:val="restart"/>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900" w:type="dxa"/>
            <w:vAlign w:val="bottom"/>
            <w:tcBorders>
              <w:bottom w:val="single" w:sz="8" w:color="auto"/>
            </w:tcBorders>
            <w:gridSpan w:val="2"/>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200" w:type="dxa"/>
            <w:vAlign w:val="bottom"/>
            <w:tcBorders>
              <w:bottom w:val="single" w:sz="8" w:color="auto"/>
            </w:tcBorders>
            <w:gridSpan w:val="3"/>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CEEFF"/>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20"/>
              <w:spacing w:after="0"/>
              <w:rPr>
                <w:sz w:val="20"/>
                <w:szCs w:val="20"/>
                <w:color w:val="auto"/>
              </w:rPr>
            </w:pPr>
            <w:r>
              <w:rPr>
                <w:rFonts w:ascii="Arial" w:cs="Arial" w:eastAsia="Arial" w:hAnsi="Arial"/>
                <w:sz w:val="16"/>
                <w:szCs w:val="16"/>
                <w:color w:val="auto"/>
                <w:w w:val="97"/>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974,000</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974,000</w:t>
            </w:r>
          </w:p>
        </w:tc>
        <w:tc>
          <w:tcPr>
            <w:tcW w:w="0" w:type="dxa"/>
            <w:vAlign w:val="bottom"/>
          </w:tcPr>
          <w:p>
            <w:pPr>
              <w:spacing w:after="0"/>
              <w:rPr>
                <w:sz w:val="1"/>
                <w:szCs w:val="1"/>
                <w:color w:val="auto"/>
              </w:rPr>
            </w:pPr>
          </w:p>
        </w:tc>
      </w:tr>
      <w:tr>
        <w:trPr>
          <w:trHeight w:val="25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320" w:type="dxa"/>
            <w:vAlign w:val="bottom"/>
          </w:tcPr>
          <w:p>
            <w:pPr>
              <w:spacing w:after="0"/>
              <w:rPr>
                <w:sz w:val="22"/>
                <w:szCs w:val="22"/>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6"/>
                <w:szCs w:val="16"/>
                <w:color w:val="auto"/>
                <w:w w:val="91"/>
              </w:rPr>
              <w:t>15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21,403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152,597</w:t>
            </w:r>
          </w:p>
        </w:tc>
        <w:tc>
          <w:tcPr>
            <w:tcW w:w="0" w:type="dxa"/>
            <w:vAlign w:val="bottom"/>
          </w:tcPr>
          <w:p>
            <w:pPr>
              <w:spacing w:after="0"/>
              <w:rPr>
                <w:sz w:val="1"/>
                <w:szCs w:val="1"/>
                <w:color w:val="auto"/>
              </w:rPr>
            </w:pPr>
          </w:p>
        </w:tc>
      </w:tr>
      <w:tr>
        <w:trPr>
          <w:trHeight w:val="273"/>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3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center"/>
              <w:ind w:right="440"/>
              <w:spacing w:after="0"/>
              <w:rPr>
                <w:sz w:val="20"/>
                <w:szCs w:val="20"/>
                <w:color w:val="auto"/>
              </w:rPr>
            </w:pPr>
            <w:r>
              <w:rPr>
                <w:rFonts w:ascii="Arial" w:cs="Arial" w:eastAsia="Arial" w:hAnsi="Arial"/>
                <w:sz w:val="16"/>
                <w:szCs w:val="16"/>
                <w:color w:val="auto"/>
                <w:w w:val="91"/>
              </w:rPr>
              <w:t>7 years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Licensing agreements</w:t>
            </w:r>
          </w:p>
        </w:tc>
        <w:tc>
          <w:tcPr>
            <w:tcW w:w="320" w:type="dxa"/>
            <w:vAlign w:val="bottom"/>
          </w:tcPr>
          <w:p>
            <w:pPr>
              <w:spacing w:after="0"/>
              <w:rPr>
                <w:sz w:val="22"/>
                <w:szCs w:val="22"/>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6"/>
                <w:szCs w:val="16"/>
                <w:color w:val="auto"/>
                <w:w w:val="91"/>
              </w:rPr>
              <w:t>14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5,313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16,687</w:t>
            </w:r>
          </w:p>
        </w:tc>
        <w:tc>
          <w:tcPr>
            <w:tcW w:w="0" w:type="dxa"/>
            <w:vAlign w:val="bottom"/>
          </w:tcPr>
          <w:p>
            <w:pPr>
              <w:spacing w:after="0"/>
              <w:rPr>
                <w:sz w:val="1"/>
                <w:szCs w:val="1"/>
                <w:color w:val="auto"/>
              </w:rPr>
            </w:pPr>
          </w:p>
        </w:tc>
      </w:tr>
      <w:tr>
        <w:trPr>
          <w:trHeight w:val="259"/>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Intangible assets in progress</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40"/>
              <w:spacing w:after="0"/>
              <w:rPr>
                <w:sz w:val="20"/>
                <w:szCs w:val="20"/>
                <w:color w:val="auto"/>
              </w:rPr>
            </w:pPr>
            <w:r>
              <w:rPr>
                <w:rFonts w:ascii="Arial" w:cs="Arial" w:eastAsia="Arial" w:hAnsi="Arial"/>
                <w:sz w:val="16"/>
                <w:szCs w:val="16"/>
                <w:color w:val="auto"/>
              </w:rPr>
              <w:t>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4"/>
        </w:trPr>
        <w:tc>
          <w:tcPr>
            <w:tcW w:w="38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1,182,357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1,149,895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color w:val="auto"/>
                <w:w w:val="92"/>
              </w:rPr>
              <w:t>August 29, 2020</w:t>
            </w: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color w:val="auto"/>
                <w:w w:val="92"/>
              </w:rPr>
              <w:t>Gross carrying</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112"/>
        </w:trPr>
        <w:tc>
          <w:tcPr>
            <w:tcW w:w="3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gridSpan w:val="2"/>
            <w:vMerge w:val="restart"/>
          </w:tcPr>
          <w:p>
            <w:pPr>
              <w:spacing w:after="0"/>
              <w:rPr>
                <w:sz w:val="9"/>
                <w:szCs w:val="9"/>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6"/>
                <w:szCs w:val="16"/>
                <w:color w:val="auto"/>
                <w:w w:val="99"/>
              </w:rPr>
              <w:t>Useful life</w:t>
            </w:r>
          </w:p>
        </w:tc>
        <w:tc>
          <w:tcPr>
            <w:tcW w:w="12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color w:val="auto"/>
                <w:w w:val="89"/>
              </w:rPr>
              <w:t>amount</w:t>
            </w:r>
          </w:p>
        </w:tc>
        <w:tc>
          <w:tcPr>
            <w:tcW w:w="1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40" w:type="dxa"/>
            <w:vAlign w:val="bottom"/>
            <w:vMerge w:val="restart"/>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8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gridSpan w:val="2"/>
            <w:vMerge w:val="continue"/>
          </w:tcPr>
          <w:p>
            <w:pPr>
              <w:spacing w:after="0"/>
              <w:rPr>
                <w:sz w:val="8"/>
                <w:szCs w:val="8"/>
                <w:color w:val="auto"/>
              </w:rPr>
            </w:pPr>
          </w:p>
        </w:tc>
        <w:tc>
          <w:tcPr>
            <w:tcW w:w="120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Brands and trademarks</w:t>
            </w:r>
          </w:p>
        </w:tc>
        <w:tc>
          <w:tcPr>
            <w:tcW w:w="1320" w:type="dxa"/>
            <w:vAlign w:val="bottom"/>
            <w:gridSpan w:val="4"/>
          </w:tcPr>
          <w:p>
            <w:pPr>
              <w:jc w:val="center"/>
              <w:ind w:right="140"/>
              <w:spacing w:after="0"/>
              <w:rPr>
                <w:sz w:val="20"/>
                <w:szCs w:val="20"/>
                <w:color w:val="auto"/>
              </w:rPr>
            </w:pPr>
            <w:r>
              <w:rPr>
                <w:rFonts w:ascii="Arial" w:cs="Arial" w:eastAsia="Arial" w:hAnsi="Arial"/>
                <w:sz w:val="16"/>
                <w:szCs w:val="16"/>
                <w:color w:val="auto"/>
              </w:rPr>
              <w:t>Indefinite life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979,000</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979,000</w:t>
            </w:r>
          </w:p>
        </w:tc>
        <w:tc>
          <w:tcPr>
            <w:tcW w:w="0" w:type="dxa"/>
            <w:vAlign w:val="bottom"/>
          </w:tcPr>
          <w:p>
            <w:pPr>
              <w:spacing w:after="0"/>
              <w:rPr>
                <w:sz w:val="1"/>
                <w:szCs w:val="1"/>
                <w:color w:val="auto"/>
              </w:rPr>
            </w:pPr>
          </w:p>
        </w:tc>
      </w:tr>
      <w:tr>
        <w:trPr>
          <w:trHeight w:val="260"/>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Customer relationships</w:t>
            </w:r>
          </w:p>
        </w:tc>
        <w:tc>
          <w:tcPr>
            <w:tcW w:w="320" w:type="dxa"/>
            <w:vAlign w:val="bottom"/>
          </w:tcPr>
          <w:p>
            <w:pPr>
              <w:spacing w:after="0"/>
              <w:rPr>
                <w:sz w:val="22"/>
                <w:szCs w:val="22"/>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color w:val="auto"/>
                <w:w w:val="87"/>
              </w:rPr>
              <w:t>15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18,503</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155,497</w:t>
            </w:r>
          </w:p>
        </w:tc>
        <w:tc>
          <w:tcPr>
            <w:tcW w:w="0" w:type="dxa"/>
            <w:vAlign w:val="bottom"/>
          </w:tcPr>
          <w:p>
            <w:pPr>
              <w:spacing w:after="0"/>
              <w:rPr>
                <w:sz w:val="1"/>
                <w:szCs w:val="1"/>
                <w:color w:val="auto"/>
              </w:rPr>
            </w:pPr>
          </w:p>
        </w:tc>
      </w:tr>
      <w:tr>
        <w:trPr>
          <w:trHeight w:val="260"/>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3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center"/>
              <w:ind w:right="460"/>
              <w:spacing w:after="0"/>
              <w:rPr>
                <w:sz w:val="20"/>
                <w:szCs w:val="20"/>
                <w:color w:val="auto"/>
              </w:rPr>
            </w:pPr>
            <w:r>
              <w:rPr>
                <w:rFonts w:ascii="Arial" w:cs="Arial" w:eastAsia="Arial" w:hAnsi="Arial"/>
                <w:sz w:val="16"/>
                <w:szCs w:val="16"/>
                <w:color w:val="auto"/>
                <w:w w:val="87"/>
              </w:rPr>
              <w:t>7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w:t>
            </w:r>
          </w:p>
        </w:tc>
        <w:tc>
          <w:tcPr>
            <w:tcW w:w="0" w:type="dxa"/>
            <w:vAlign w:val="bottom"/>
          </w:tcPr>
          <w:p>
            <w:pPr>
              <w:spacing w:after="0"/>
              <w:rPr>
                <w:sz w:val="1"/>
                <w:szCs w:val="1"/>
                <w:color w:val="auto"/>
              </w:rPr>
            </w:pPr>
          </w:p>
        </w:tc>
      </w:tr>
      <w:tr>
        <w:trPr>
          <w:trHeight w:val="253"/>
        </w:trPr>
        <w:tc>
          <w:tcPr>
            <w:tcW w:w="4020" w:type="dxa"/>
            <w:vAlign w:val="bottom"/>
            <w:gridSpan w:val="3"/>
          </w:tcPr>
          <w:p>
            <w:pPr>
              <w:ind w:left="380"/>
              <w:spacing w:after="0"/>
              <w:rPr>
                <w:sz w:val="20"/>
                <w:szCs w:val="20"/>
                <w:color w:val="auto"/>
              </w:rPr>
            </w:pPr>
            <w:r>
              <w:rPr>
                <w:rFonts w:ascii="Arial" w:cs="Arial" w:eastAsia="Arial" w:hAnsi="Arial"/>
                <w:sz w:val="16"/>
                <w:szCs w:val="16"/>
                <w:color w:val="auto"/>
              </w:rPr>
              <w:t>Licensing agreements</w:t>
            </w:r>
          </w:p>
        </w:tc>
        <w:tc>
          <w:tcPr>
            <w:tcW w:w="320" w:type="dxa"/>
            <w:vAlign w:val="bottom"/>
          </w:tcPr>
          <w:p>
            <w:pPr>
              <w:spacing w:after="0"/>
              <w:rPr>
                <w:sz w:val="22"/>
                <w:szCs w:val="22"/>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6"/>
                <w:szCs w:val="16"/>
                <w:color w:val="auto"/>
                <w:w w:val="87"/>
              </w:rPr>
              <w:t>14 years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4,920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17,080</w:t>
            </w:r>
          </w:p>
        </w:tc>
        <w:tc>
          <w:tcPr>
            <w:tcW w:w="0" w:type="dxa"/>
            <w:vAlign w:val="bottom"/>
          </w:tcPr>
          <w:p>
            <w:pPr>
              <w:spacing w:after="0"/>
              <w:rPr>
                <w:sz w:val="1"/>
                <w:szCs w:val="1"/>
                <w:color w:val="auto"/>
              </w:rPr>
            </w:pPr>
          </w:p>
        </w:tc>
      </w:tr>
      <w:tr>
        <w:trPr>
          <w:trHeight w:val="257"/>
        </w:trPr>
        <w:tc>
          <w:tcPr>
            <w:tcW w:w="402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w:t>
            </w:r>
          </w:p>
        </w:tc>
        <w:tc>
          <w:tcPr>
            <w:tcW w:w="14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3,322</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1,187,967</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29,199</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1,158,768</w:t>
            </w:r>
          </w:p>
        </w:tc>
        <w:tc>
          <w:tcPr>
            <w:tcW w:w="0" w:type="dxa"/>
            <w:vAlign w:val="bottom"/>
          </w:tcPr>
          <w:p>
            <w:pPr>
              <w:spacing w:after="0"/>
              <w:rPr>
                <w:sz w:val="1"/>
                <w:szCs w:val="1"/>
                <w:color w:val="auto"/>
              </w:rPr>
            </w:pPr>
          </w:p>
        </w:tc>
      </w:tr>
      <w:tr>
        <w:trPr>
          <w:trHeight w:val="24"/>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32"/>
        <w:spacing w:after="0" w:line="241" w:lineRule="auto"/>
        <w:rPr>
          <w:sz w:val="20"/>
          <w:szCs w:val="20"/>
          <w:color w:val="auto"/>
        </w:rPr>
      </w:pPr>
      <w:r>
        <w:rPr>
          <w:rFonts w:ascii="Arial" w:cs="Arial" w:eastAsia="Arial" w:hAnsi="Arial"/>
          <w:sz w:val="18"/>
          <w:szCs w:val="18"/>
          <w:color w:val="auto"/>
        </w:rPr>
        <w:t>Changes in Intangible assets, net during the thirteen weeks ended November 28, 2020 were primarily related to the SimplyProtein Sale and recurring amortization expense. In conjunction with the SimplyProtein Sale, the Company sold its SimplyProtein brand intangible asset, which had a carrying value of approximately $5.0 million as of the date of the sale. Amortization expense related to intangible assets during the thirteen weeks ended November 28, 2020 and November 30, 2019 was $3.9 million and $2.3 million, respectively. There were no impairment charges related to intangible assets during the thirteen weeks ended November 28, 2020 and November 30, 2019.</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Amortization</w:t>
            </w:r>
          </w:p>
        </w:tc>
      </w:tr>
      <w:tr>
        <w:trPr>
          <w:trHeight w:val="253"/>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15,224</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14,938</w:t>
            </w:r>
          </w:p>
        </w:tc>
      </w:tr>
      <w:tr>
        <w:trPr>
          <w:trHeight w:val="267"/>
        </w:trPr>
        <w:tc>
          <w:tcPr>
            <w:tcW w:w="834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14,257</w:t>
            </w:r>
          </w:p>
        </w:tc>
      </w:tr>
      <w:tr>
        <w:trPr>
          <w:trHeight w:val="273"/>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13,171</w:t>
            </w:r>
          </w:p>
        </w:tc>
      </w:tr>
      <w:tr>
        <w:trPr>
          <w:trHeight w:val="267"/>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2026 and thereafter</w:t>
            </w:r>
          </w:p>
        </w:tc>
        <w:tc>
          <w:tcPr>
            <w:tcW w:w="2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106,720</w:t>
            </w:r>
          </w:p>
        </w:tc>
      </w:tr>
      <w:tr>
        <w:trPr>
          <w:trHeight w:val="251"/>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175,840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Long-Term Debt and Line of Credit</w:t>
      </w:r>
    </w:p>
    <w:p>
      <w:pPr>
        <w:spacing w:after="0" w:line="256" w:lineRule="exact"/>
        <w:rPr>
          <w:sz w:val="20"/>
          <w:szCs w:val="20"/>
          <w:color w:val="auto"/>
        </w:rPr>
      </w:pPr>
    </w:p>
    <w:p>
      <w:pPr>
        <w:jc w:val="both"/>
        <w:ind w:firstLine="193"/>
        <w:spacing w:after="0" w:line="272" w:lineRule="auto"/>
        <w:rPr>
          <w:sz w:val="20"/>
          <w:szCs w:val="20"/>
          <w:color w:val="auto"/>
        </w:rPr>
      </w:pPr>
      <w:r>
        <w:rPr>
          <w:rFonts w:ascii="Arial" w:cs="Arial" w:eastAsia="Arial" w:hAnsi="Arial"/>
          <w:sz w:val="16"/>
          <w:szCs w:val="16"/>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5" w:lineRule="exact"/>
        <w:rPr>
          <w:sz w:val="20"/>
          <w:szCs w:val="20"/>
          <w:color w:val="auto"/>
        </w:rPr>
      </w:pPr>
    </w:p>
    <w:p>
      <w:pPr>
        <w:jc w:val="both"/>
        <w:ind w:firstLine="225"/>
        <w:spacing w:after="0" w:line="274"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90"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02" w:lineRule="exact"/>
        <w:rPr>
          <w:sz w:val="20"/>
          <w:szCs w:val="20"/>
          <w:color w:val="auto"/>
        </w:rPr>
      </w:pPr>
    </w:p>
    <w:p>
      <w:pPr>
        <w:jc w:val="both"/>
        <w:ind w:firstLine="195"/>
        <w:spacing w:after="0" w:line="238"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The Company was in compliance with all financial covenants as of November 28, 2020 and August 29, 2020, respectively.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Long-term debt consists of the following:</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4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Term Facility (effective rate of 4.8% at November 28,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606,500</w:t>
            </w:r>
          </w:p>
        </w:tc>
      </w:tr>
      <w:tr>
        <w:trPr>
          <w:trHeight w:val="254"/>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Finance lease liabilities (effective rate of 5.6% at November 28, 2020)</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922</w:t>
            </w:r>
          </w:p>
        </w:tc>
      </w:tr>
      <w:tr>
        <w:trPr>
          <w:trHeight w:val="25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10,272</w:t>
            </w: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573,198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597,150</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finance lease liabilities</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572,923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596,879</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is not required to make principal payments on the Term Facility over the twelve months following the period ended November 28,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as of November 28, 2020 and August 29, 2020, there were no amounts drawn against the Revolving Credit Facility.</w:t>
      </w:r>
    </w:p>
    <w:p>
      <w:pPr>
        <w:spacing w:after="0" w:line="223" w:lineRule="exact"/>
        <w:rPr>
          <w:sz w:val="20"/>
          <w:szCs w:val="20"/>
          <w:color w:val="auto"/>
        </w:rPr>
      </w:pPr>
    </w:p>
    <w:p>
      <w:pPr>
        <w:jc w:val="both"/>
        <w:ind w:firstLine="274"/>
        <w:spacing w:after="0" w:line="248" w:lineRule="auto"/>
        <w:rPr>
          <w:sz w:val="20"/>
          <w:szCs w:val="20"/>
          <w:color w:val="auto"/>
        </w:rPr>
      </w:pPr>
      <w:r>
        <w:rPr>
          <w:rFonts w:ascii="Arial" w:cs="Arial" w:eastAsia="Arial" w:hAnsi="Arial"/>
          <w:sz w:val="18"/>
          <w:szCs w:val="18"/>
          <w:color w:val="auto"/>
        </w:rPr>
        <w:t>As of November 28, 2020, the Company had letters of credit in the amount of $4.4 million outstanding. These letters of credit offset against the availability of the Revolving Credit Facility and exist to support three of the Company's leased buildings and insurance programs relating to workers' compensation. No amounts were drawn against these letters of credit at November 28, 2020.</w:t>
      </w:r>
    </w:p>
    <w:p>
      <w:pPr>
        <w:spacing w:after="0" w:line="209" w:lineRule="exact"/>
        <w:rPr>
          <w:sz w:val="20"/>
          <w:szCs w:val="20"/>
          <w:color w:val="auto"/>
        </w:rPr>
      </w:pPr>
    </w:p>
    <w:p>
      <w:pPr>
        <w:jc w:val="both"/>
        <w:ind w:firstLine="268"/>
        <w:spacing w:after="0" w:line="248" w:lineRule="auto"/>
        <w:rPr>
          <w:sz w:val="20"/>
          <w:szCs w:val="20"/>
          <w:color w:val="auto"/>
        </w:rPr>
      </w:pPr>
      <w:r>
        <w:rPr>
          <w:rFonts w:ascii="Arial" w:cs="Arial" w:eastAsia="Arial" w:hAnsi="Arial"/>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November 28, 2020 and August 29, 2020, the book value of the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Company’s debt approximated fair value. The estimated fair value of the Term Loan is valued based on observable inputs and classified as Level 2 in the fair value hierarchy.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56" w:lineRule="exact"/>
        <w:rPr>
          <w:sz w:val="20"/>
          <w:szCs w:val="20"/>
          <w:color w:val="auto"/>
        </w:rPr>
      </w:pPr>
    </w:p>
    <w:p>
      <w:pPr>
        <w:jc w:val="both"/>
        <w:ind w:firstLine="182"/>
        <w:spacing w:after="0" w:line="248"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5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97" w:lineRule="exact"/>
        <w:rPr>
          <w:sz w:val="20"/>
          <w:szCs w:val="20"/>
          <w:color w:val="auto"/>
        </w:rPr>
      </w:pPr>
    </w:p>
    <w:p>
      <w:pPr>
        <w:ind w:firstLine="362"/>
        <w:spacing w:after="0" w:line="261"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November 28, 2020 and August 29, 2020 due to the relatively short maturity of these instruments.</w:t>
      </w:r>
    </w:p>
    <w:p>
      <w:pPr>
        <w:spacing w:after="0" w:line="19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tax expense and the effective tax rate resulting from operations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color w:val="auto"/>
              </w:rPr>
              <w:t>Thirteen Weeks Ended</w:t>
            </w:r>
          </w:p>
        </w:tc>
      </w:tr>
      <w:tr>
        <w:trPr>
          <w:trHeight w:val="23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2"/>
              </w:rPr>
              <w:t>November 28, 2020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November 30, 2019</w:t>
            </w:r>
          </w:p>
        </w:tc>
      </w:tr>
      <w:tr>
        <w:trPr>
          <w:trHeight w:val="24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30,874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(6,522)</w:t>
            </w:r>
          </w:p>
        </w:tc>
      </w:tr>
      <w:tr>
        <w:trPr>
          <w:trHeight w:val="253"/>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8,374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(1,729)</w:t>
            </w:r>
          </w:p>
        </w:tc>
      </w:tr>
      <w:tr>
        <w:trPr>
          <w:trHeight w:val="260"/>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26.5 %</w:t>
            </w:r>
          </w:p>
        </w:tc>
      </w:tr>
    </w:tbl>
    <w:p>
      <w:pPr>
        <w:spacing w:after="0" w:line="310" w:lineRule="exact"/>
        <w:rPr>
          <w:sz w:val="20"/>
          <w:szCs w:val="20"/>
          <w:color w:val="auto"/>
        </w:rPr>
      </w:pPr>
    </w:p>
    <w:p>
      <w:pPr>
        <w:ind w:firstLine="279"/>
        <w:spacing w:after="0" w:line="261" w:lineRule="auto"/>
        <w:rPr>
          <w:sz w:val="20"/>
          <w:szCs w:val="20"/>
          <w:color w:val="auto"/>
        </w:rPr>
      </w:pPr>
      <w:r>
        <w:rPr>
          <w:rFonts w:ascii="Arial" w:cs="Arial" w:eastAsia="Arial" w:hAnsi="Arial"/>
          <w:sz w:val="18"/>
          <w:szCs w:val="18"/>
          <w:color w:val="auto"/>
        </w:rPr>
        <w:t>The effective tax rate for the thirteen weeks ended November 28, 2020 was 0.6% greater than the effective tax rate for the thirteen weeks ended November 30, 2019, which was primarily driven by other permanent differences.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color w:val="auto"/>
        </w:rPr>
        <w:t>The components of lease expense were as follows:</w:t>
      </w:r>
    </w:p>
    <w:p>
      <w:pPr>
        <w:spacing w:after="0" w:line="135"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color w:val="auto"/>
              </w:rPr>
              <w:t>Thirteen Weeks Ended</w:t>
            </w:r>
          </w:p>
        </w:tc>
      </w:tr>
      <w:tr>
        <w:trPr>
          <w:trHeight w:val="236"/>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Statement of Operations Caption</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28, 2020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November 30, 2019</w:t>
            </w:r>
          </w:p>
        </w:tc>
      </w:tr>
      <w:tr>
        <w:trPr>
          <w:trHeight w:val="23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4"/>
        </w:trPr>
        <w:tc>
          <w:tcPr>
            <w:tcW w:w="3080" w:type="dxa"/>
            <w:vAlign w:val="bottom"/>
            <w:gridSpan w:val="2"/>
          </w:tcPr>
          <w:p>
            <w:pPr>
              <w:ind w:left="120"/>
              <w:spacing w:after="0"/>
              <w:rPr>
                <w:sz w:val="20"/>
                <w:szCs w:val="20"/>
                <w:color w:val="auto"/>
              </w:rPr>
            </w:pPr>
            <w:r>
              <w:rPr>
                <w:rFonts w:ascii="Arial" w:cs="Arial" w:eastAsia="Arial" w:hAnsi="Arial"/>
                <w:sz w:val="16"/>
                <w:szCs w:val="16"/>
                <w:color w:val="auto"/>
              </w:rPr>
              <w:t>Lease cost</w:t>
            </w:r>
          </w:p>
        </w:tc>
        <w:tc>
          <w:tcPr>
            <w:tcW w:w="3780" w:type="dxa"/>
            <w:vAlign w:val="bottom"/>
            <w:gridSpan w:val="2"/>
          </w:tcPr>
          <w:p>
            <w:pPr>
              <w:spacing w:after="0"/>
              <w:rPr>
                <w:sz w:val="20"/>
                <w:szCs w:val="20"/>
                <w:color w:val="auto"/>
              </w:rPr>
            </w:pPr>
            <w:r>
              <w:rPr>
                <w:rFonts w:ascii="Arial" w:cs="Arial" w:eastAsia="Arial" w:hAnsi="Arial"/>
                <w:sz w:val="16"/>
                <w:szCs w:val="16"/>
                <w:i w:val="1"/>
                <w:iCs w:val="1"/>
                <w:color w:val="auto"/>
              </w:rPr>
              <w:t>Cost of goods sold and General and administrative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1,498</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806</w:t>
            </w:r>
          </w:p>
        </w:tc>
      </w:tr>
      <w:tr>
        <w:trPr>
          <w:trHeight w:val="259"/>
        </w:trPr>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Cost of goods sold and General and administrative</w:t>
            </w:r>
          </w:p>
        </w:tc>
        <w:tc>
          <w:tcPr>
            <w:tcW w:w="1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3"/>
        </w:trPr>
        <w:tc>
          <w:tcPr>
            <w:tcW w:w="3080" w:type="dxa"/>
            <w:vAlign w:val="bottom"/>
            <w:gridSpan w:val="2"/>
          </w:tcPr>
          <w:p>
            <w:pPr>
              <w:ind w:left="200"/>
              <w:spacing w:after="0"/>
              <w:rPr>
                <w:sz w:val="20"/>
                <w:szCs w:val="20"/>
                <w:color w:val="auto"/>
              </w:rPr>
            </w:pPr>
            <w:r>
              <w:rPr>
                <w:rFonts w:ascii="Arial" w:cs="Arial" w:eastAsia="Arial" w:hAnsi="Arial"/>
                <w:sz w:val="16"/>
                <w:szCs w:val="16"/>
                <w:color w:val="auto"/>
              </w:rPr>
              <w:t>Operating lease cost</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259"/>
        </w:trPr>
        <w:tc>
          <w:tcPr>
            <w:tcW w:w="2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color w:val="auto"/>
              </w:rPr>
              <w:t>Short term lease cost</w:t>
            </w:r>
          </w:p>
        </w:tc>
        <w:tc>
          <w:tcPr>
            <w:tcW w:w="3780" w:type="dxa"/>
            <w:vAlign w:val="bottom"/>
            <w:gridSpan w:val="2"/>
          </w:tcPr>
          <w:p>
            <w:pPr>
              <w:spacing w:after="0"/>
              <w:rPr>
                <w:sz w:val="20"/>
                <w:szCs w:val="20"/>
                <w:color w:val="auto"/>
              </w:rPr>
            </w:pPr>
            <w:r>
              <w:rPr>
                <w:rFonts w:ascii="Arial" w:cs="Arial" w:eastAsia="Arial" w:hAnsi="Arial"/>
                <w:sz w:val="16"/>
                <w:szCs w:val="16"/>
                <w:i w:val="1"/>
                <w:iCs w:val="1"/>
                <w:color w:val="auto"/>
              </w:rPr>
              <w:t>General and administrative</w:t>
            </w:r>
          </w:p>
        </w:tc>
        <w:tc>
          <w:tcPr>
            <w:tcW w:w="10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60"/>
        </w:trPr>
        <w:tc>
          <w:tcPr>
            <w:tcW w:w="2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color w:val="auto"/>
              </w:rPr>
              <w:t>Finance lease cost:</w:t>
            </w:r>
          </w:p>
        </w:tc>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9"/>
        </w:trPr>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right-of-use assets</w:t>
            </w: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Cost of goods sold</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54"/>
        </w:trPr>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 on lease liabilities</w:t>
            </w: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Interest expense</w:t>
            </w: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9"/>
        </w:trPr>
        <w:tc>
          <w:tcPr>
            <w:tcW w:w="3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finance lease cost</w:t>
            </w: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57"/>
        </w:trPr>
        <w:tc>
          <w:tcPr>
            <w:tcW w:w="29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234"/>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lease cost</w:t>
            </w:r>
          </w:p>
        </w:tc>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(1) Variable lease cost primarily consists of common area maintenance, such as cleaning and repairs.</w:t>
      </w:r>
    </w:p>
    <w:p>
      <w:pPr>
        <w:spacing w:after="0" w:line="244" w:lineRule="exact"/>
        <w:rPr>
          <w:sz w:val="20"/>
          <w:szCs w:val="20"/>
          <w:color w:val="auto"/>
        </w:rPr>
      </w:pPr>
    </w:p>
    <w:p>
      <w:pPr>
        <w:jc w:val="both"/>
        <w:ind w:firstLine="188"/>
        <w:spacing w:after="0" w:line="243" w:lineRule="auto"/>
        <w:rPr>
          <w:sz w:val="20"/>
          <w:szCs w:val="20"/>
          <w:color w:val="auto"/>
        </w:rPr>
      </w:pPr>
      <w:r>
        <w:rPr>
          <w:rFonts w:ascii="Arial" w:cs="Arial" w:eastAsia="Arial" w:hAnsi="Arial"/>
          <w:sz w:val="18"/>
          <w:szCs w:val="18"/>
          <w:color w:val="auto"/>
        </w:rPr>
        <w:t xml:space="preserve">In conjunction with the Company's restructuring activities as discussed in Note 15, the Company incurred a $0.4 million impairment charge related to its operating lease right-of-use asset for its lease in Toronto, Ontario during the thirteen weeks ended November 28, 2020. Costs for these restructuring activities have been included within </w:t>
      </w:r>
      <w:r>
        <w:rPr>
          <w:rFonts w:ascii="Arial" w:cs="Arial" w:eastAsia="Arial" w:hAnsi="Arial"/>
          <w:sz w:val="18"/>
          <w:szCs w:val="18"/>
          <w:i w:val="1"/>
          <w:iCs w:val="1"/>
          <w:color w:val="auto"/>
        </w:rPr>
        <w:t>General and administrative</w:t>
      </w:r>
      <w:r>
        <w:rPr>
          <w:rFonts w:ascii="Arial" w:cs="Arial" w:eastAsia="Arial" w:hAnsi="Arial"/>
          <w:sz w:val="18"/>
          <w:szCs w:val="18"/>
          <w:color w:val="auto"/>
        </w:rPr>
        <w:t xml:space="preserve"> on the Consolidated Statements of Operations and Comprehensive Income. Refer to Note 15, Restructuring and Related Charges, for additional information regarding restructuring activities.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9"/>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Sheet Caption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28, 2020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6"/>
              </w:rPr>
              <w:t>August 29, 2020</w:t>
            </w:r>
          </w:p>
        </w:tc>
      </w:tr>
      <w:tr>
        <w:trPr>
          <w:trHeight w:val="239"/>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color w:val="auto"/>
              </w:rPr>
              <w:t>Operating lease right- of-use assets</w:t>
            </w:r>
          </w:p>
        </w:tc>
        <w:tc>
          <w:tcPr>
            <w:tcW w:w="3780" w:type="dxa"/>
            <w:vAlign w:val="bottom"/>
            <w:gridSpan w:val="2"/>
          </w:tcPr>
          <w:p>
            <w:pPr>
              <w:spacing w:after="0"/>
              <w:rPr>
                <w:sz w:val="20"/>
                <w:szCs w:val="20"/>
                <w:color w:val="auto"/>
              </w:rPr>
            </w:pPr>
            <w:r>
              <w:rPr>
                <w:rFonts w:ascii="Arial" w:cs="Arial" w:eastAsia="Arial" w:hAnsi="Arial"/>
                <w:sz w:val="16"/>
                <w:szCs w:val="16"/>
                <w:i w:val="1"/>
                <w:iCs w:val="1"/>
                <w:color w:val="auto"/>
              </w:rPr>
              <w:t>Other long-term assets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24,532</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25,703</w:t>
            </w:r>
          </w:p>
        </w:tc>
      </w:tr>
      <w:tr>
        <w:trPr>
          <w:trHeight w:val="257"/>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right-of-use assets</w:t>
            </w: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Property and equipment, net</w:t>
            </w:r>
          </w:p>
        </w:tc>
        <w:tc>
          <w:tcPr>
            <w:tcW w:w="1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r>
      <w:tr>
        <w:trPr>
          <w:trHeight w:val="213"/>
        </w:trPr>
        <w:tc>
          <w:tcPr>
            <w:tcW w:w="3080" w:type="dxa"/>
            <w:vAlign w:val="bottom"/>
            <w:gridSpan w:val="2"/>
          </w:tcPr>
          <w:p>
            <w:pPr>
              <w:ind w:left="120"/>
              <w:spacing w:after="0"/>
              <w:rPr>
                <w:sz w:val="20"/>
                <w:szCs w:val="20"/>
                <w:color w:val="auto"/>
              </w:rPr>
            </w:pPr>
            <w:r>
              <w:rPr>
                <w:rFonts w:ascii="Arial" w:cs="Arial" w:eastAsia="Arial" w:hAnsi="Arial"/>
                <w:sz w:val="16"/>
                <w:szCs w:val="16"/>
                <w:color w:val="auto"/>
              </w:rPr>
              <w:t>Total lease assets</w:t>
            </w: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26,615</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2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b w:val="1"/>
                <w:bCs w:val="1"/>
                <w:color w:val="auto"/>
              </w:rPr>
              <w:t>Liabilities</w:t>
            </w:r>
          </w:p>
        </w:tc>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3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w:t>
            </w:r>
          </w:p>
        </w:tc>
        <w:tc>
          <w:tcPr>
            <w:tcW w:w="3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3"/>
        </w:trPr>
        <w:tc>
          <w:tcPr>
            <w:tcW w:w="3080" w:type="dxa"/>
            <w:vAlign w:val="bottom"/>
            <w:gridSpan w:val="2"/>
          </w:tcPr>
          <w:p>
            <w:pPr>
              <w:ind w:left="120"/>
              <w:spacing w:after="0"/>
              <w:rPr>
                <w:sz w:val="20"/>
                <w:szCs w:val="20"/>
                <w:color w:val="auto"/>
              </w:rPr>
            </w:pPr>
            <w:r>
              <w:rPr>
                <w:rFonts w:ascii="Arial" w:cs="Arial" w:eastAsia="Arial" w:hAnsi="Arial"/>
                <w:sz w:val="16"/>
                <w:szCs w:val="16"/>
                <w:color w:val="auto"/>
              </w:rPr>
              <w:t>Operating lease liabilities</w:t>
            </w:r>
          </w:p>
        </w:tc>
        <w:tc>
          <w:tcPr>
            <w:tcW w:w="3780" w:type="dxa"/>
            <w:vAlign w:val="bottom"/>
            <w:gridSpan w:val="2"/>
          </w:tcPr>
          <w:p>
            <w:pPr>
              <w:spacing w:after="0"/>
              <w:rPr>
                <w:sz w:val="20"/>
                <w:szCs w:val="20"/>
                <w:color w:val="auto"/>
              </w:rPr>
            </w:pPr>
            <w:r>
              <w:rPr>
                <w:rFonts w:ascii="Arial" w:cs="Arial" w:eastAsia="Arial" w:hAnsi="Arial"/>
                <w:sz w:val="16"/>
                <w:szCs w:val="16"/>
                <w:i w:val="1"/>
                <w:iCs w:val="1"/>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4,355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4,329</w:t>
            </w:r>
          </w:p>
        </w:tc>
      </w:tr>
      <w:tr>
        <w:trPr>
          <w:trHeight w:val="260"/>
        </w:trPr>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Finance lease liabilities</w:t>
            </w: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Current maturities of long-term debt</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53"/>
        </w:trPr>
        <w:tc>
          <w:tcPr>
            <w:tcW w:w="3080" w:type="dxa"/>
            <w:vAlign w:val="bottom"/>
            <w:gridSpan w:val="2"/>
          </w:tcPr>
          <w:p>
            <w:pPr>
              <w:spacing w:after="0"/>
              <w:rPr>
                <w:sz w:val="20"/>
                <w:szCs w:val="20"/>
                <w:color w:val="auto"/>
              </w:rPr>
            </w:pPr>
            <w:r>
              <w:rPr>
                <w:rFonts w:ascii="Arial" w:cs="Arial" w:eastAsia="Arial" w:hAnsi="Arial"/>
                <w:sz w:val="16"/>
                <w:szCs w:val="16"/>
                <w:color w:val="auto"/>
              </w:rPr>
              <w:t>Long-term:</w:t>
            </w:r>
          </w:p>
        </w:tc>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60"/>
        </w:trPr>
        <w:tc>
          <w:tcPr>
            <w:tcW w:w="30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lease liabilities</w:t>
            </w:r>
          </w:p>
        </w:tc>
        <w:tc>
          <w:tcPr>
            <w:tcW w:w="37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Other long-term liabilities</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21,882</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22,764</w:t>
            </w:r>
          </w:p>
        </w:tc>
      </w:tr>
      <w:tr>
        <w:trPr>
          <w:trHeight w:val="253"/>
        </w:trPr>
        <w:tc>
          <w:tcPr>
            <w:tcW w:w="3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Finance lease liabilities</w:t>
            </w: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i w:val="1"/>
                <w:iCs w:val="1"/>
                <w:color w:val="auto"/>
              </w:rPr>
              <w:t>Long-term debt, less current maturities</w:t>
            </w: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r>
      <w:tr>
        <w:trPr>
          <w:trHeight w:val="238"/>
        </w:trPr>
        <w:tc>
          <w:tcPr>
            <w:tcW w:w="3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lease liabilities</w:t>
            </w:r>
          </w:p>
        </w:tc>
        <w:tc>
          <w:tcPr>
            <w:tcW w:w="3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28,015</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Future maturities of lease liabilities as of November 28, 2020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1"/>
              </w:rPr>
              <w:t>Operating Leases</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Finance Leases</w:t>
            </w:r>
          </w:p>
        </w:tc>
      </w:tr>
      <w:tr>
        <w:trPr>
          <w:trHeight w:val="24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year ending:</w:t>
            </w: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5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4,166</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5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54"/>
        </w:trPr>
        <w:tc>
          <w:tcPr>
            <w:tcW w:w="672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4,187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9"/>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54"/>
        </w:trPr>
        <w:tc>
          <w:tcPr>
            <w:tcW w:w="672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3,837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11,050</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32,251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(6,014)</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2"/>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w:t>
            </w:r>
          </w:p>
        </w:tc>
      </w:tr>
      <w:tr>
        <w:trPr>
          <w:trHeight w:val="21"/>
        </w:trPr>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91"/>
        <w:spacing w:after="0" w:line="294" w:lineRule="auto"/>
        <w:rPr>
          <w:sz w:val="20"/>
          <w:szCs w:val="20"/>
          <w:color w:val="auto"/>
        </w:rPr>
      </w:pPr>
      <w:r>
        <w:rPr>
          <w:rFonts w:ascii="Arial" w:cs="Arial" w:eastAsia="Arial" w:hAnsi="Arial"/>
          <w:sz w:val="16"/>
          <w:szCs w:val="16"/>
          <w:color w:val="auto"/>
        </w:rPr>
        <w:t>As of November 28, 2020, the Company had entered into a lease with estimated total minimum future lease payments of $32.2 million over a 10.0-year minimum lease term that had not yet commenced, and as a result it is not recorded on the Consolidated Balance Sheets. The Company expects the lease to commence in fiscal year 2021, and the Company has the option to renew the lease for an additional 5.0 years or 10.0 years after the minimum lease term.</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weighted-average remaining lease term and weighted-average discount rate for operating and finance leases were as follows:</w:t>
      </w:r>
    </w:p>
    <w:p>
      <w:pPr>
        <w:spacing w:after="0" w:line="176"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color w:val="auto"/>
              </w:rPr>
              <w:t>November 28, 2020</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August 29, 2020</w:t>
            </w:r>
          </w:p>
        </w:tc>
      </w:tr>
      <w:tr>
        <w:trPr>
          <w:trHeight w:val="240"/>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r>
      <w:tr>
        <w:trPr>
          <w:trHeight w:val="253"/>
        </w:trPr>
        <w:tc>
          <w:tcPr>
            <w:tcW w:w="676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580" w:type="dxa"/>
            <w:vAlign w:val="bottom"/>
          </w:tcPr>
          <w:p>
            <w:pPr>
              <w:jc w:val="right"/>
              <w:spacing w:after="0"/>
              <w:rPr>
                <w:sz w:val="20"/>
                <w:szCs w:val="20"/>
                <w:color w:val="auto"/>
              </w:rPr>
            </w:pPr>
            <w:r>
              <w:rPr>
                <w:rFonts w:ascii="Arial" w:cs="Arial" w:eastAsia="Arial" w:hAnsi="Arial"/>
                <w:sz w:val="16"/>
                <w:szCs w:val="16"/>
                <w:color w:val="auto"/>
              </w:rPr>
              <w:t>6.78</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60"/>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53"/>
        </w:trPr>
        <w:tc>
          <w:tcPr>
            <w:tcW w:w="67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60"/>
        </w:trPr>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50"/>
        </w:trPr>
        <w:tc>
          <w:tcPr>
            <w:tcW w:w="67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1580" w:type="dxa"/>
            <w:vAlign w:val="bottom"/>
          </w:tcPr>
          <w:p>
            <w:pPr>
              <w:jc w:val="right"/>
              <w:spacing w:after="0"/>
              <w:rPr>
                <w:sz w:val="20"/>
                <w:szCs w:val="20"/>
                <w:color w:val="auto"/>
              </w:rPr>
            </w:pPr>
            <w:r>
              <w:rPr>
                <w:rFonts w:ascii="Arial" w:cs="Arial" w:eastAsia="Arial" w:hAnsi="Arial"/>
                <w:sz w:val="16"/>
                <w:szCs w:val="16"/>
                <w:color w:val="auto"/>
              </w:rPr>
              <w:t>5.6 %</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5.6 %</w:t>
            </w:r>
          </w:p>
        </w:tc>
      </w:tr>
    </w:tbl>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2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4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1,811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1,170</w:t>
            </w:r>
          </w:p>
        </w:tc>
      </w:tr>
      <w:tr>
        <w:trPr>
          <w:trHeight w:val="26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cash flows from finance leases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50"/>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Financing cash flows from finance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182"/>
        <w:spacing w:after="0" w:line="243"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 financial condition or cash flows.</w:t>
      </w:r>
    </w:p>
    <w:p>
      <w:pPr>
        <w:spacing w:after="0" w:line="215" w:lineRule="exact"/>
        <w:rPr>
          <w:sz w:val="20"/>
          <w:szCs w:val="20"/>
          <w:color w:val="auto"/>
        </w:rPr>
      </w:pPr>
    </w:p>
    <w:p>
      <w:pPr>
        <w:jc w:val="both"/>
        <w:ind w:firstLine="182"/>
        <w:spacing w:after="0" w:line="243" w:lineRule="auto"/>
        <w:rPr>
          <w:sz w:val="20"/>
          <w:szCs w:val="20"/>
          <w:color w:val="auto"/>
        </w:rPr>
      </w:pPr>
      <w:r>
        <w:rPr>
          <w:rFonts w:ascii="Arial" w:cs="Arial" w:eastAsia="Arial" w:hAnsi="Arial"/>
          <w:sz w:val="18"/>
          <w:szCs w:val="18"/>
          <w:color w:val="auto"/>
        </w:rPr>
        <w:t>During the fiscal year ended August 31, 2019, the Company reserved $3.5 million for the potential settlement of class action litigation concerning certain product label claims. During the thirteen weeks ended November 30, 2019, the Company reserved an additional $0.3 million. The reserve was included within General and administrative in the Consolidated Statements of Operations and Comprehensive Income, and the reserve was fully paid into escrow and settled during the fiscal year ended August 29, 2020.</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November 28, 2020 and August 29, 2020, the Company had $1.3 million reserved for potential settlements.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jc w:val="both"/>
        <w:ind w:firstLine="198"/>
        <w:spacing w:after="0" w:line="262"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November 28, 2020, the Company will be required to make payments of $2.9 million over the next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52" w:lineRule="exact"/>
        <w:rPr>
          <w:sz w:val="20"/>
          <w:szCs w:val="20"/>
          <w:color w:val="auto"/>
        </w:rPr>
      </w:pPr>
    </w:p>
    <w:p>
      <w:pPr>
        <w:jc w:val="both"/>
        <w:ind w:firstLine="217"/>
        <w:spacing w:after="0" w:line="262" w:lineRule="auto"/>
        <w:rPr>
          <w:sz w:val="20"/>
          <w:szCs w:val="20"/>
          <w:color w:val="auto"/>
        </w:rPr>
      </w:pPr>
      <w:r>
        <w:rPr>
          <w:rFonts w:ascii="Arial" w:cs="Arial" w:eastAsia="Arial" w:hAnsi="Arial"/>
          <w:sz w:val="17"/>
          <w:szCs w:val="17"/>
          <w:color w:val="auto"/>
        </w:rPr>
        <w:t>On October 9, 2019, the Company completed an underwritten public offering of 13,379,205 shares of common stock at a price to the public of $26.35 per share. The Company paid underwriting discounts and commissions of $0.19 per share resulting in net proceeds to the Company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52" w:lineRule="exact"/>
        <w:rPr>
          <w:sz w:val="20"/>
          <w:szCs w:val="20"/>
          <w:color w:val="auto"/>
        </w:rPr>
      </w:pPr>
    </w:p>
    <w:p>
      <w:pPr>
        <w:jc w:val="both"/>
        <w:ind w:firstLine="201"/>
        <w:spacing w:after="0" w:line="284" w:lineRule="auto"/>
        <w:rPr>
          <w:sz w:val="20"/>
          <w:szCs w:val="20"/>
          <w:color w:val="auto"/>
        </w:rPr>
      </w:pPr>
      <w:r>
        <w:rPr>
          <w:rFonts w:ascii="Arial" w:cs="Arial" w:eastAsia="Arial" w:hAnsi="Arial"/>
          <w:sz w:val="16"/>
          <w:szCs w:val="16"/>
          <w:color w:val="auto"/>
        </w:rPr>
        <w:t>Prior to the Acquisition of Atkins, Conyers Park issued 6,700,000 private placement warrants. The Company assumed these private placement warrants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 As of November 28, 2020, the private placement warrants to purchase 6,700,000 shares of the Company’s common stock remain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234"/>
        <w:spacing w:after="0" w:line="262"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99" w:lineRule="exact"/>
        <w:rPr>
          <w:sz w:val="20"/>
          <w:szCs w:val="20"/>
          <w:color w:val="auto"/>
        </w:rPr>
      </w:pPr>
    </w:p>
    <w:p>
      <w:pPr>
        <w:jc w:val="both"/>
        <w:ind w:right="20" w:firstLine="244"/>
        <w:spacing w:after="0" w:line="261" w:lineRule="auto"/>
        <w:rPr>
          <w:sz w:val="20"/>
          <w:szCs w:val="20"/>
          <w:color w:val="auto"/>
        </w:rPr>
      </w:pPr>
      <w:r>
        <w:rPr>
          <w:rFonts w:ascii="Arial" w:cs="Arial" w:eastAsia="Arial" w:hAnsi="Arial"/>
          <w:sz w:val="18"/>
          <w:szCs w:val="18"/>
          <w:color w:val="auto"/>
        </w:rPr>
        <w:t>During the thirteen weeks ended November 28, 2020 and November 30, 2019, the Company did not repurchase any shares of common stock. As of November 28, 2020, approximately $47.9 million remained available under the stock repurchase program.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jc w:val="both"/>
        <w:ind w:firstLine="182"/>
        <w:spacing w:after="0" w:line="241" w:lineRule="auto"/>
        <w:rPr>
          <w:sz w:val="20"/>
          <w:szCs w:val="20"/>
          <w:color w:val="auto"/>
        </w:rPr>
      </w:pPr>
      <w:r>
        <w:rPr>
          <w:rFonts w:ascii="Arial" w:cs="Arial" w:eastAsia="Arial" w:hAnsi="Arial"/>
          <w:sz w:val="18"/>
          <w:szCs w:val="18"/>
          <w:color w:val="auto"/>
        </w:rPr>
        <w:t>Basic earnings (loss)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 In periods in which the Company has a net loss, diluted earnings per share is based on the weighted average number of common shares issued and outstanding as the effect of including common stock equivalents outstanding would be anti-dilutive.</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(loss) per share:</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33"/>
        </w:trPr>
        <w:tc>
          <w:tcPr>
            <w:tcW w:w="6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3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(loss) per share computation:</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54"/>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9"/>
        </w:trPr>
        <w:tc>
          <w:tcPr>
            <w:tcW w:w="6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54"/>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9"/>
        </w:trPr>
        <w:tc>
          <w:tcPr>
            <w:tcW w:w="6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basic</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95,538,111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89,708,633</w:t>
            </w:r>
          </w:p>
        </w:tc>
      </w:tr>
      <w:tr>
        <w:trPr>
          <w:trHeight w:val="230"/>
        </w:trPr>
        <w:tc>
          <w:tcPr>
            <w:tcW w:w="6840" w:type="dxa"/>
            <w:vAlign w:val="bottom"/>
            <w:gridSpan w:val="2"/>
          </w:tcPr>
          <w:p>
            <w:pPr>
              <w:ind w:left="460"/>
              <w:spacing w:after="0"/>
              <w:rPr>
                <w:sz w:val="20"/>
                <w:szCs w:val="20"/>
                <w:color w:val="auto"/>
              </w:rPr>
            </w:pPr>
            <w:r>
              <w:rPr>
                <w:rFonts w:ascii="Arial" w:cs="Arial" w:eastAsia="Arial" w:hAnsi="Arial"/>
                <w:sz w:val="16"/>
                <w:szCs w:val="16"/>
                <w:color w:val="auto"/>
              </w:rPr>
              <w:t>Basic earnings (loss) per share from 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 computation:</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0"/>
        </w:trPr>
        <w:tc>
          <w:tcPr>
            <w:tcW w:w="6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5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9"/>
        </w:trPr>
        <w:tc>
          <w:tcPr>
            <w:tcW w:w="68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Weighted average common shares outstanding - basic</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95,538,111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89,708,633</w:t>
            </w:r>
          </w:p>
        </w:tc>
      </w:tr>
      <w:tr>
        <w:trPr>
          <w:trHeight w:val="254"/>
        </w:trPr>
        <w:tc>
          <w:tcPr>
            <w:tcW w:w="6840" w:type="dxa"/>
            <w:vAlign w:val="bottom"/>
            <w:gridSpan w:val="2"/>
          </w:tcPr>
          <w:p>
            <w:pPr>
              <w:ind w:left="660"/>
              <w:spacing w:after="0"/>
              <w:rPr>
                <w:sz w:val="20"/>
                <w:szCs w:val="20"/>
                <w:color w:val="auto"/>
              </w:rPr>
            </w:pPr>
            <w:r>
              <w:rPr>
                <w:rFonts w:ascii="Arial" w:cs="Arial" w:eastAsia="Arial" w:hAnsi="Arial"/>
                <w:sz w:val="16"/>
                <w:szCs w:val="16"/>
                <w:color w:val="auto"/>
              </w:rPr>
              <w:t>Public and Private Warrants</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3,216,252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3"/>
        </w:trPr>
        <w:tc>
          <w:tcPr>
            <w:tcW w:w="68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Employee stock options</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899,375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684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Non-vested shares</w:t>
            </w: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109,381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Weighted average common shares - diluted</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99,763,119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89,708,633</w:t>
            </w:r>
          </w:p>
        </w:tc>
      </w:tr>
      <w:tr>
        <w:trPr>
          <w:trHeight w:val="243"/>
        </w:trPr>
        <w:tc>
          <w:tcPr>
            <w:tcW w:w="6840" w:type="dxa"/>
            <w:vAlign w:val="bottom"/>
            <w:gridSpan w:val="2"/>
          </w:tcPr>
          <w:p>
            <w:pPr>
              <w:ind w:left="220"/>
              <w:spacing w:after="0"/>
              <w:rPr>
                <w:sz w:val="20"/>
                <w:szCs w:val="20"/>
                <w:color w:val="auto"/>
              </w:rPr>
            </w:pPr>
            <w:r>
              <w:rPr>
                <w:rFonts w:ascii="Arial" w:cs="Arial" w:eastAsia="Arial" w:hAnsi="Arial"/>
                <w:sz w:val="16"/>
                <w:szCs w:val="16"/>
                <w:color w:val="auto"/>
              </w:rPr>
              <w:t>Diluted earnings (loss) per share from 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5"/>
        <w:spacing w:after="0" w:line="243" w:lineRule="auto"/>
        <w:rPr>
          <w:sz w:val="20"/>
          <w:szCs w:val="20"/>
          <w:color w:val="auto"/>
        </w:rPr>
      </w:pPr>
      <w:r>
        <w:rPr>
          <w:rFonts w:ascii="Arial" w:cs="Arial" w:eastAsia="Arial" w:hAnsi="Arial"/>
          <w:sz w:val="18"/>
          <w:szCs w:val="18"/>
          <w:color w:val="auto"/>
        </w:rPr>
        <w:t>Earnings (loss) per share calculations for the thirteen weeks ended November 28, 2020 and November 30, 2019 excluded 0.7 million and 2.7 million shares of stock options issuable upon exercise, respectively, that would have been anti-dilutive. Earnings per share for the thirteen weeks ended November 28, 2020 excluded an immaterial number of non-vested shares that would have been anti-dilutive. For the thirteen weeks ended November 30, 2019, the loss per share excluded 0.3 million of non-vested shares that would have been anti-dilutive.</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Omnibus Incentive Plan</w:t>
      </w:r>
    </w:p>
    <w:p>
      <w:pPr>
        <w:spacing w:after="0" w:line="256" w:lineRule="exact"/>
        <w:rPr>
          <w:sz w:val="20"/>
          <w:szCs w:val="20"/>
          <w:color w:val="auto"/>
        </w:rPr>
      </w:pPr>
    </w:p>
    <w:p>
      <w:pPr>
        <w:jc w:val="both"/>
        <w:ind w:firstLine="185"/>
        <w:spacing w:after="0" w:line="262" w:lineRule="auto"/>
        <w:rPr>
          <w:sz w:val="20"/>
          <w:szCs w:val="20"/>
          <w:color w:val="auto"/>
        </w:rPr>
      </w:pPr>
      <w:r>
        <w:rPr>
          <w:rFonts w:ascii="Arial" w:cs="Arial" w:eastAsia="Arial" w:hAnsi="Arial"/>
          <w:sz w:val="17"/>
          <w:szCs w:val="17"/>
          <w:color w:val="auto"/>
        </w:rPr>
        <w:t>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General and administrative expense, which is the same financial statement caption where the recipient’s other compensation is reported.</w:t>
      </w:r>
    </w:p>
    <w:p>
      <w:pPr>
        <w:spacing w:after="0" w:line="199" w:lineRule="exact"/>
        <w:rPr>
          <w:sz w:val="20"/>
          <w:szCs w:val="20"/>
          <w:color w:val="auto"/>
        </w:rPr>
      </w:pPr>
    </w:p>
    <w:p>
      <w:pPr>
        <w:jc w:val="both"/>
        <w:ind w:right="20" w:firstLine="282"/>
        <w:spacing w:after="0" w:line="261" w:lineRule="auto"/>
        <w:rPr>
          <w:sz w:val="20"/>
          <w:szCs w:val="20"/>
          <w:color w:val="auto"/>
        </w:rPr>
      </w:pPr>
      <w:r>
        <w:rPr>
          <w:rFonts w:ascii="Arial" w:cs="Arial" w:eastAsia="Arial" w:hAnsi="Arial"/>
          <w:sz w:val="18"/>
          <w:szCs w:val="18"/>
          <w:color w:val="auto"/>
        </w:rPr>
        <w:t>The Company recorded stock-based compensation expense of $1.1 million and $1.7 million in the thirteen weeks ended November 28, 2020 and November 30, 2019,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stock option activity for the thirteen weeks ended November 28, 2020:</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right"/>
              <w:ind w:right="239"/>
              <w:spacing w:after="0"/>
              <w:rPr>
                <w:sz w:val="20"/>
                <w:szCs w:val="20"/>
                <w:color w:val="auto"/>
              </w:rPr>
            </w:pPr>
            <w:r>
              <w:rPr>
                <w:rFonts w:ascii="Arial" w:cs="Arial" w:eastAsia="Arial" w:hAnsi="Arial"/>
                <w:sz w:val="16"/>
                <w:szCs w:val="16"/>
                <w:color w:val="auto"/>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60" w:type="dxa"/>
            <w:vAlign w:val="bottom"/>
          </w:tcPr>
          <w:p>
            <w:pPr>
              <w:jc w:val="right"/>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23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2,615,899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282,952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(13,118)</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(39,575)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23.08</w:t>
            </w:r>
          </w:p>
        </w:tc>
        <w:tc>
          <w:tcPr>
            <w:tcW w:w="140" w:type="dxa"/>
            <w:vAlign w:val="bottom"/>
            <w:tcBorders>
              <w:bottom w:val="single" w:sz="8" w:color="CCEEFF"/>
            </w:tcBorders>
          </w:tcPr>
          <w:p>
            <w:pPr>
              <w:spacing w:after="0"/>
              <w:rPr>
                <w:sz w:val="22"/>
                <w:szCs w:val="22"/>
                <w:color w:val="auto"/>
              </w:rPr>
            </w:pPr>
          </w:p>
        </w:tc>
        <w:tc>
          <w:tcPr>
            <w:tcW w:w="18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November 28,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4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November 28,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2,846,158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November 28,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2,228,465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4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96"/>
        <w:spacing w:after="0" w:line="248" w:lineRule="auto"/>
        <w:rPr>
          <w:sz w:val="20"/>
          <w:szCs w:val="20"/>
          <w:color w:val="auto"/>
        </w:rPr>
      </w:pPr>
      <w:r>
        <w:rPr>
          <w:rFonts w:ascii="Arial" w:cs="Arial" w:eastAsia="Arial" w:hAnsi="Arial"/>
          <w:sz w:val="18"/>
          <w:szCs w:val="18"/>
          <w:color w:val="auto"/>
        </w:rPr>
        <w:t>As of November 28, 2020, the Company had $4.0 million of total unrecognized compensation cost related to stock option plans that will be recognized over a weighted average period of 2.1 years. During each of the thirteen weeks ended November 28, 2020 and November 30, 2019, the Company received $0.2 million in cash from stock option exercises.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restricted stock unit activity for the thirteen weeks ended November 28, 2020:</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ind w:left="220"/>
              <w:spacing w:after="0"/>
              <w:rPr>
                <w:sz w:val="20"/>
                <w:szCs w:val="20"/>
                <w:color w:val="auto"/>
              </w:rPr>
            </w:pPr>
            <w:r>
              <w:rPr>
                <w:rFonts w:ascii="Arial" w:cs="Arial" w:eastAsia="Arial" w:hAnsi="Arial"/>
                <w:sz w:val="16"/>
                <w:szCs w:val="16"/>
                <w:color w:val="auto"/>
              </w:rPr>
              <w:t>Restricted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208,023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22.82</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ind w:left="880"/>
              <w:spacing w:after="0"/>
              <w:rPr>
                <w:sz w:val="20"/>
                <w:szCs w:val="20"/>
                <w:color w:val="auto"/>
              </w:rPr>
            </w:pPr>
            <w:r>
              <w:rPr>
                <w:rFonts w:ascii="Arial" w:cs="Arial" w:eastAsia="Arial" w:hAnsi="Arial"/>
                <w:sz w:val="16"/>
                <w:szCs w:val="16"/>
                <w:color w:val="auto"/>
              </w:rPr>
              <w:t>293,907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21.16</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ind w:left="900"/>
              <w:spacing w:after="0"/>
              <w:rPr>
                <w:sz w:val="20"/>
                <w:szCs w:val="20"/>
                <w:color w:val="auto"/>
              </w:rPr>
            </w:pPr>
            <w:r>
              <w:rPr>
                <w:rFonts w:ascii="Arial" w:cs="Arial" w:eastAsia="Arial" w:hAnsi="Arial"/>
                <w:sz w:val="16"/>
                <w:szCs w:val="16"/>
                <w:color w:val="auto"/>
                <w:w w:val="97"/>
              </w:rPr>
              <w:t>(63,759)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97"/>
              </w:rPr>
              <w:t>(12,530)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23.68</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November 28, 2020</w:t>
            </w:r>
          </w:p>
        </w:tc>
        <w:tc>
          <w:tcPr>
            <w:tcW w:w="15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425,641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r>
    </w:tbl>
    <w:p>
      <w:pPr>
        <w:spacing w:after="0" w:line="323" w:lineRule="exact"/>
        <w:rPr>
          <w:sz w:val="20"/>
          <w:szCs w:val="20"/>
          <w:color w:val="auto"/>
        </w:rPr>
      </w:pPr>
    </w:p>
    <w:p>
      <w:pPr>
        <w:jc w:val="both"/>
        <w:ind w:firstLine="170"/>
        <w:spacing w:after="0" w:line="261" w:lineRule="auto"/>
        <w:rPr>
          <w:sz w:val="20"/>
          <w:szCs w:val="20"/>
          <w:color w:val="auto"/>
        </w:rPr>
      </w:pPr>
      <w:r>
        <w:rPr>
          <w:rFonts w:ascii="Arial" w:cs="Arial" w:eastAsia="Arial" w:hAnsi="Arial"/>
          <w:sz w:val="18"/>
          <w:szCs w:val="18"/>
          <w:color w:val="auto"/>
        </w:rPr>
        <w:t>As of November 28, 2020, the Company had $8.4 million of total unrecognized compensation cost related to restricted stock units that will be recognized over a weighted average period of 2.6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52" w:lineRule="exact"/>
        <w:rPr>
          <w:sz w:val="20"/>
          <w:szCs w:val="20"/>
          <w:color w:val="auto"/>
        </w:rPr>
      </w:pPr>
    </w:p>
    <w:p>
      <w:pPr>
        <w:jc w:val="both"/>
        <w:ind w:firstLine="187"/>
        <w:spacing w:after="0" w:line="248" w:lineRule="auto"/>
        <w:rPr>
          <w:sz w:val="20"/>
          <w:szCs w:val="20"/>
          <w:color w:val="auto"/>
        </w:rPr>
      </w:pPr>
      <w:r>
        <w:rPr>
          <w:rFonts w:ascii="Arial" w:cs="Arial" w:eastAsia="Arial" w:hAnsi="Arial"/>
          <w:sz w:val="18"/>
          <w:szCs w:val="18"/>
          <w:color w:val="auto"/>
        </w:rPr>
        <w:t>During the thirteen weeks ended November 28, 2020,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performance stock unit activity for the thirteen weeks ended November 28, 2020:</w:t>
      </w:r>
    </w:p>
    <w:p>
      <w:pPr>
        <w:spacing w:after="0" w:line="140"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w w:val="98"/>
              </w:rPr>
              <w:t>Performance 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color w:val="auto"/>
                <w:w w:val="93"/>
              </w:rPr>
              <w:t>Weighted average</w:t>
            </w:r>
          </w:p>
        </w:tc>
      </w:tr>
      <w:tr>
        <w:trPr>
          <w:trHeight w:val="209"/>
        </w:trPr>
        <w:tc>
          <w:tcPr>
            <w:tcW w:w="68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1"/>
              </w:rPr>
              <w:t>grant-date fair value</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August 29,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w:t>
            </w:r>
          </w:p>
        </w:tc>
      </w:tr>
      <w:tr>
        <w:trPr>
          <w:trHeight w:val="250"/>
        </w:trPr>
        <w:tc>
          <w:tcPr>
            <w:tcW w:w="68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116,309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23.59</w:t>
            </w:r>
          </w:p>
        </w:tc>
      </w:tr>
      <w:tr>
        <w:trPr>
          <w:trHeight w:val="273"/>
        </w:trPr>
        <w:tc>
          <w:tcPr>
            <w:tcW w:w="6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67"/>
        </w:trPr>
        <w:tc>
          <w:tcPr>
            <w:tcW w:w="6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22.06</w:t>
            </w:r>
          </w:p>
        </w:tc>
      </w:tr>
      <w:tr>
        <w:trPr>
          <w:trHeight w:val="250"/>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as of November 28,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r>
    </w:tbl>
    <w:p>
      <w:pPr>
        <w:spacing w:after="0" w:line="323" w:lineRule="exact"/>
        <w:rPr>
          <w:sz w:val="20"/>
          <w:szCs w:val="20"/>
          <w:color w:val="auto"/>
        </w:rPr>
      </w:pPr>
    </w:p>
    <w:p>
      <w:pPr>
        <w:ind w:firstLine="261"/>
        <w:spacing w:after="0" w:line="261" w:lineRule="auto"/>
        <w:rPr>
          <w:sz w:val="20"/>
          <w:szCs w:val="20"/>
          <w:color w:val="auto"/>
        </w:rPr>
      </w:pPr>
      <w:r>
        <w:rPr>
          <w:rFonts w:ascii="Arial" w:cs="Arial" w:eastAsia="Arial" w:hAnsi="Arial"/>
          <w:sz w:val="18"/>
          <w:szCs w:val="18"/>
          <w:color w:val="auto"/>
        </w:rPr>
        <w:t>As of November 28, 2020, the Company had $5.1 million of total unrecognized compensation cost related to performance stock units that will be recognized over a weighted average period of 1.8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52" w:lineRule="exact"/>
        <w:rPr>
          <w:sz w:val="20"/>
          <w:szCs w:val="20"/>
          <w:color w:val="auto"/>
        </w:rPr>
      </w:pPr>
    </w:p>
    <w:p>
      <w:pPr>
        <w:jc w:val="both"/>
        <w:ind w:firstLine="241"/>
        <w:spacing w:after="0" w:line="248"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its common stock once the applicable vesting criteria has been met. SARs cliff vest 3 years from the date of grant and must be exercised within 10 years.</w:t>
      </w:r>
    </w:p>
    <w:p>
      <w:pPr>
        <w:spacing w:after="0" w:line="2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SARs activity for the thirteen weeks ended November 28, 2020:</w:t>
      </w:r>
    </w:p>
    <w:p>
      <w:pPr>
        <w:spacing w:after="0" w:line="154"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60" w:type="dxa"/>
            <w:vAlign w:val="bottom"/>
            <w:vMerge w:val="restart"/>
          </w:tcPr>
          <w:p>
            <w:pPr>
              <w:jc w:val="right"/>
              <w:ind w:right="39"/>
              <w:spacing w:after="0"/>
              <w:rPr>
                <w:sz w:val="20"/>
                <w:szCs w:val="20"/>
                <w:color w:val="auto"/>
              </w:rPr>
            </w:pPr>
            <w:r>
              <w:rPr>
                <w:rFonts w:ascii="Arial" w:cs="Arial" w:eastAsia="Arial" w:hAnsi="Arial"/>
                <w:sz w:val="16"/>
                <w:szCs w:val="16"/>
                <w:color w:val="auto"/>
              </w:rPr>
              <w:t>Shares Underlying</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6"/>
                <w:szCs w:val="16"/>
                <w:color w:val="auto"/>
              </w:rPr>
              <w:t>Weighted average</w:t>
            </w:r>
          </w:p>
        </w:tc>
        <w:tc>
          <w:tcPr>
            <w:tcW w:w="18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color w:val="auto"/>
                <w:w w:val="94"/>
              </w:rPr>
              <w:t>remaining contractual life</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SARs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(in years)</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August 29,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November 28,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53"/>
        </w:trPr>
        <w:tc>
          <w:tcPr>
            <w:tcW w:w="4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November 28,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November 28,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80" w:firstLine="170"/>
        <w:spacing w:after="0" w:line="261" w:lineRule="auto"/>
        <w:rPr>
          <w:sz w:val="20"/>
          <w:szCs w:val="20"/>
          <w:color w:val="auto"/>
        </w:rPr>
      </w:pPr>
      <w:r>
        <w:rPr>
          <w:rFonts w:ascii="Arial" w:cs="Arial" w:eastAsia="Arial" w:hAnsi="Arial"/>
          <w:sz w:val="18"/>
          <w:szCs w:val="18"/>
          <w:color w:val="auto"/>
        </w:rPr>
        <w:t>As of November 28, 2020, the Company had $0.3 million of total unrecognized compensation cost related to its SARs that will be recognized over a weighted average period of 1.93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Customer Information</w:t>
      </w:r>
    </w:p>
    <w:p>
      <w:pPr>
        <w:spacing w:after="0" w:line="256" w:lineRule="exact"/>
        <w:rPr>
          <w:sz w:val="20"/>
          <w:szCs w:val="20"/>
          <w:color w:val="auto"/>
        </w:rPr>
      </w:pPr>
    </w:p>
    <w:p>
      <w:pPr>
        <w:jc w:val="both"/>
        <w:ind w:firstLine="207"/>
        <w:spacing w:after="0" w:line="243" w:lineRule="auto"/>
        <w:rPr>
          <w:sz w:val="20"/>
          <w:szCs w:val="20"/>
          <w:color w:val="auto"/>
        </w:rPr>
      </w:pPr>
      <w:r>
        <w:rPr>
          <w:rFonts w:ascii="Arial" w:cs="Arial" w:eastAsia="Arial" w:hAnsi="Arial"/>
          <w:sz w:val="18"/>
          <w:szCs w:val="18"/>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 and Related Charges</w:t>
      </w:r>
    </w:p>
    <w:p>
      <w:pPr>
        <w:spacing w:after="0" w:line="256" w:lineRule="exact"/>
        <w:rPr>
          <w:sz w:val="20"/>
          <w:szCs w:val="20"/>
          <w:color w:val="auto"/>
        </w:rPr>
      </w:pPr>
    </w:p>
    <w:p>
      <w:pPr>
        <w:jc w:val="both"/>
        <w:ind w:firstLine="185"/>
        <w:spacing w:after="0" w:line="243" w:lineRule="auto"/>
        <w:rPr>
          <w:sz w:val="20"/>
          <w:szCs w:val="20"/>
          <w:color w:val="auto"/>
        </w:rPr>
      </w:pPr>
      <w:r>
        <w:rPr>
          <w:rFonts w:ascii="Arial" w:cs="Arial" w:eastAsia="Arial" w:hAnsi="Arial"/>
          <w:sz w:val="18"/>
          <w:szCs w:val="18"/>
          <w:color w:val="auto"/>
        </w:rPr>
        <w:t>In May 2020, the Company announced certain restructuring activities in conjunction with the implementation of the Company’s future-state organization design, which created a fully integrated organization with its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5" w:lineRule="exact"/>
        <w:rPr>
          <w:sz w:val="20"/>
          <w:szCs w:val="20"/>
          <w:color w:val="auto"/>
        </w:rPr>
      </w:pPr>
    </w:p>
    <w:p>
      <w:pPr>
        <w:jc w:val="both"/>
        <w:ind w:firstLine="314"/>
        <w:spacing w:after="0" w:line="241" w:lineRule="auto"/>
        <w:rPr>
          <w:sz w:val="20"/>
          <w:szCs w:val="20"/>
          <w:color w:val="auto"/>
        </w:rPr>
      </w:pPr>
      <w:r>
        <w:rPr>
          <w:rFonts w:ascii="Arial" w:cs="Arial" w:eastAsia="Arial" w:hAnsi="Arial"/>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to the restructuring liability during the thirteen weeks ended November 28, 2020 were as follows:</w:t>
      </w:r>
    </w:p>
    <w:p>
      <w:pPr>
        <w:spacing w:after="0" w:line="99"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w w:val="97"/>
              </w:rPr>
              <w:t>Restructuring Liability</w:t>
            </w:r>
          </w:p>
        </w:tc>
      </w:tr>
      <w:tr>
        <w:trPr>
          <w:trHeight w:val="242"/>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as of August 29,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4,139</w:t>
            </w:r>
          </w:p>
        </w:tc>
      </w:tr>
      <w:tr>
        <w:trPr>
          <w:trHeight w:val="254"/>
        </w:trPr>
        <w:tc>
          <w:tcPr>
            <w:tcW w:w="8500" w:type="dxa"/>
            <w:vAlign w:val="bottom"/>
            <w:gridSpan w:val="2"/>
          </w:tcPr>
          <w:p>
            <w:pPr>
              <w:ind w:left="20"/>
              <w:spacing w:after="0"/>
              <w:rPr>
                <w:sz w:val="20"/>
                <w:szCs w:val="20"/>
                <w:color w:val="auto"/>
              </w:rPr>
            </w:pPr>
            <w:r>
              <w:rPr>
                <w:rFonts w:ascii="Arial" w:cs="Arial" w:eastAsia="Arial" w:hAnsi="Arial"/>
                <w:sz w:val="16"/>
                <w:szCs w:val="16"/>
                <w:color w:val="auto"/>
              </w:rPr>
              <w:t>Charges</w:t>
            </w:r>
          </w:p>
        </w:tc>
        <w:tc>
          <w:tcPr>
            <w:tcW w:w="10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2,165</w:t>
            </w:r>
          </w:p>
        </w:tc>
      </w:tr>
      <w:tr>
        <w:trPr>
          <w:trHeight w:val="25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payments</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r>
      <w:tr>
        <w:trPr>
          <w:trHeight w:val="254"/>
        </w:trPr>
        <w:tc>
          <w:tcPr>
            <w:tcW w:w="8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Non-cash settlements or adjustments</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37"/>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as of November 28,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295"/>
        <w:spacing w:after="0" w:line="241" w:lineRule="auto"/>
        <w:rPr>
          <w:sz w:val="20"/>
          <w:szCs w:val="20"/>
          <w:color w:val="auto"/>
        </w:rPr>
      </w:pPr>
      <w:r>
        <w:rPr>
          <w:rFonts w:ascii="Arial" w:cs="Arial" w:eastAsia="Arial" w:hAnsi="Arial"/>
          <w:sz w:val="18"/>
          <w:szCs w:val="18"/>
          <w:color w:val="auto"/>
        </w:rPr>
        <w:t>In addition to the $2.2 million restructuring costs incurred related to one-time termination benefits and employee severance as shown above, the Company incurred a $0.4 million restructuring-related impairment charge in the thirteen weeks ended November 28, 2020 related to its operating lease right-of-use asset for its lease in Toronto, Ontario. As a result, for the thirteen weeks ended November 28, 2020, the Company incurred a total of $2.5 million in restructuring and restructuring related costs, which have been included within General and administrative on the Consolidated Statements of Operations and Comprehensive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172"/>
        <w:spacing w:after="0" w:line="248" w:lineRule="auto"/>
        <w:rPr>
          <w:sz w:val="20"/>
          <w:szCs w:val="20"/>
          <w:color w:val="auto"/>
        </w:rPr>
      </w:pPr>
      <w:r>
        <w:rPr>
          <w:rFonts w:ascii="Arial" w:cs="Arial" w:eastAsia="Arial" w:hAnsi="Arial"/>
          <w:sz w:val="18"/>
          <w:szCs w:val="18"/>
          <w:color w:val="auto"/>
        </w:rPr>
        <w:t>As of November 28, 2020, the Company has incurred aggregate restructuring and restructuring-related costs of $8.0 million since May 2020. Overall, the Company expects to incur a total of approximately $9.2 million in restructuring and restructuring related costs, which are to be paid throughout fiscal 2021 and the first quarter of fiscal 2022.</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234"/>
        <w:spacing w:after="0" w:line="238" w:lineRule="auto"/>
        <w:rPr>
          <w:sz w:val="20"/>
          <w:szCs w:val="20"/>
          <w:color w:val="auto"/>
        </w:rPr>
      </w:pPr>
      <w:r>
        <w:rPr>
          <w:rFonts w:ascii="Arial" w:cs="Arial" w:eastAsia="Arial" w:hAnsi="Arial"/>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novel coronavirus ("COVID-19") on our business, financial condition and results of operations.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218" w:lineRule="exact"/>
        <w:rPr>
          <w:sz w:val="20"/>
          <w:szCs w:val="20"/>
          <w:color w:val="auto"/>
        </w:rPr>
      </w:pPr>
    </w:p>
    <w:p>
      <w:pPr>
        <w:jc w:val="both"/>
        <w:ind w:firstLine="193"/>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29, 2020 (“Annual Report”) and our unaudited condensed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21" w:lineRule="exact"/>
        <w:rPr>
          <w:sz w:val="20"/>
          <w:szCs w:val="20"/>
          <w:color w:val="auto"/>
        </w:rPr>
      </w:pPr>
    </w:p>
    <w:p>
      <w:pPr>
        <w:ind w:right="60" w:firstLine="180"/>
        <w:spacing w:after="0" w:line="261"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187"/>
        <w:spacing w:after="0" w:line="253" w:lineRule="auto"/>
        <w:rPr>
          <w:sz w:val="20"/>
          <w:szCs w:val="20"/>
          <w:color w:val="auto"/>
        </w:rPr>
      </w:pPr>
      <w:r>
        <w:rPr>
          <w:rFonts w:ascii="Arial" w:cs="Arial" w:eastAsia="Arial" w:hAnsi="Arial"/>
          <w:sz w:val="17"/>
          <w:szCs w:val="17"/>
          <w:color w:val="auto"/>
        </w:rPr>
        <w:t>The Simply Good Foods Company is a consumer-packaged food and beverage company that aims to lead the nutritious snacking movement with trusted brands that offer a variety of convenient, innovative, great-tasting, better-for-you snacks and meal replacements. Our nutritious snacking platform consists of the following core brands that specialize in providing products for consumers that follow certain nutritional philosophies, dietary approaches and/or health-and-wellness trends: Atkins® for those following a low-carb lifestyle; and Quest® for consumers seeking to partner with a brand that makes the foods they crave work for them, not against them, through a variety of protein-rich foods and beverages that also limit sugars and simple carbs.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category.</w:t>
      </w:r>
    </w:p>
    <w:p>
      <w:pPr>
        <w:spacing w:after="0" w:line="211" w:lineRule="exact"/>
        <w:rPr>
          <w:sz w:val="20"/>
          <w:szCs w:val="20"/>
          <w:color w:val="auto"/>
        </w:rPr>
      </w:pPr>
    </w:p>
    <w:p>
      <w:pPr>
        <w:jc w:val="both"/>
        <w:ind w:firstLine="201"/>
        <w:spacing w:after="0" w:line="248"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 - Acquisition of Quest.”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256" w:lineRule="exact"/>
        <w:rPr>
          <w:sz w:val="20"/>
          <w:szCs w:val="20"/>
          <w:color w:val="auto"/>
        </w:rPr>
      </w:pPr>
    </w:p>
    <w:p>
      <w:pPr>
        <w:jc w:val="both"/>
        <w:ind w:firstLine="186"/>
        <w:spacing w:after="0" w:line="254" w:lineRule="auto"/>
        <w:rPr>
          <w:sz w:val="20"/>
          <w:szCs w:val="20"/>
          <w:color w:val="auto"/>
        </w:rPr>
      </w:pPr>
      <w:r>
        <w:rPr>
          <w:rFonts w:ascii="Arial" w:cs="Arial" w:eastAsia="Arial" w:hAnsi="Arial"/>
          <w:sz w:val="17"/>
          <w:szCs w:val="17"/>
          <w:color w:val="auto"/>
        </w:rPr>
        <w:t>In December 2019, a novel coronavirus disease, or COVID-19, was reported and in January 2020, the World Health Organization, or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On March 27, 2020, the Coronavirus Aid, Relief, and Economic Security (“CARES”) Act was signed into law. The CARES Act provided a substantial stimulus and assistance package intended to address the effect of the COVID-19 pandemic, including tax relief and government loans, grants and investments. Additionally, various federal, state and local government-imposed movement restrictions and initiatives have been implemented to reduce the global transmission of COVID-19, including reduced or eliminated food services, the closure of retailing establishments, the promotion of social distancing and the adoption of remote working policies.</w:t>
      </w:r>
    </w:p>
    <w:p>
      <w:pPr>
        <w:spacing w:after="0" w:line="208" w:lineRule="exact"/>
        <w:rPr>
          <w:sz w:val="20"/>
          <w:szCs w:val="20"/>
          <w:color w:val="auto"/>
        </w:rPr>
      </w:pPr>
    </w:p>
    <w:p>
      <w:pPr>
        <w:jc w:val="both"/>
        <w:ind w:firstLine="342"/>
        <w:spacing w:after="0" w:line="239" w:lineRule="auto"/>
        <w:rPr>
          <w:sz w:val="20"/>
          <w:szCs w:val="20"/>
          <w:color w:val="auto"/>
        </w:rPr>
      </w:pPr>
      <w:r>
        <w:rPr>
          <w:rFonts w:ascii="Arial" w:cs="Arial" w:eastAsia="Arial" w:hAnsi="Arial"/>
          <w:sz w:val="18"/>
          <w:szCs w:val="18"/>
          <w:color w:val="auto"/>
        </w:rPr>
        <w:t>Beginning in the third quarter of 2020, we actively engaged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and the initial surge in consumption, we increased finished goods inventory of some of our key products. In the fourth quarter of 2020 and continuing into the first quarter of 2021, consumption habits became more steady and inventory levels normalized. Based on information available to us as of the date of this Report, we believe we will be able to deliver our products to meet customer orders on a timely basis, and therefore, we expect our products will continue to be available for purchase to meet consumer meal replacement and snacking needs for the foreseeable future. We continue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to monitor customer and consumer demand, and intend to adapt our plans as needed to continue to drive our business and meet our obligations during the evolving COVID-19 situation.</w:t>
      </w:r>
    </w:p>
    <w:p>
      <w:pPr>
        <w:spacing w:after="0" w:line="198" w:lineRule="exact"/>
        <w:rPr>
          <w:sz w:val="20"/>
          <w:szCs w:val="20"/>
          <w:color w:val="auto"/>
        </w:rPr>
      </w:pPr>
    </w:p>
    <w:p>
      <w:pPr>
        <w:jc w:val="both"/>
        <w:ind w:firstLine="213"/>
        <w:spacing w:after="0" w:line="257" w:lineRule="auto"/>
        <w:rPr>
          <w:sz w:val="20"/>
          <w:szCs w:val="20"/>
          <w:color w:val="auto"/>
        </w:rPr>
      </w:pPr>
      <w:r>
        <w:rPr>
          <w:rFonts w:ascii="Arial" w:cs="Arial" w:eastAsia="Arial" w:hAnsi="Arial"/>
          <w:sz w:val="17"/>
          <w:szCs w:val="17"/>
          <w:color w:val="auto"/>
        </w:rPr>
        <w:t>We implemented remote work arrangements and restricted business travel in March 2020, and to date, these arrangements have not materially affected our ability to maintain our business operations, including the operation of financial reporting systems, internal control over financial reporting, and disclosure controls and procedures. We believe our lean infrastructure, which allows for significant flexibility, speed-to-market and minimal capital investment, has enabled us to adjust our expenditures to maintain cash flow until the more fulsome reopening of the U.S. economy and the associated return of shopping behavior to more normal patterns occurs. We also believe the return of these shopping patterns along with our brand benefits of active nutrition and weight management will drive more better-for-you snacking and meal replacement usage occasions.</w:t>
      </w:r>
    </w:p>
    <w:p>
      <w:pPr>
        <w:spacing w:after="0" w:line="202" w:lineRule="exact"/>
        <w:rPr>
          <w:sz w:val="20"/>
          <w:szCs w:val="20"/>
          <w:color w:val="auto"/>
        </w:rPr>
      </w:pPr>
    </w:p>
    <w:p>
      <w:pPr>
        <w:jc w:val="both"/>
        <w:ind w:firstLine="207"/>
        <w:spacing w:after="0" w:line="254" w:lineRule="auto"/>
        <w:rPr>
          <w:sz w:val="20"/>
          <w:szCs w:val="20"/>
          <w:color w:val="auto"/>
        </w:rPr>
      </w:pPr>
      <w:r>
        <w:rPr>
          <w:rFonts w:ascii="Arial" w:cs="Arial" w:eastAsia="Arial" w:hAnsi="Arial"/>
          <w:sz w:val="17"/>
          <w:szCs w:val="17"/>
          <w:color w:val="auto"/>
        </w:rPr>
        <w:t>Our consolidated results of operations for the thirteen weeks ended November 28, 2020 continued to be affected by changes in consumer shopping and consumption behavior due to COVID-19. The nutritional snacking category has experienced a marked decrease in shopping trips (particularly in the mass channel) and fewer usage occasions. There is still uncertainty related to the duration of reduced consumer mobility and when shopping trips will return to pre-pandemic levels, particularly in the mass market retail channel. This has affected our portable and convenient on-the-go products, especially the nutrition and protein bar portion of our business for both our Atkins and Quest brands. While our Quest brand has outperformed its portion of the nutritious snaking segment, the performance of our Atkins brand, which is part of the weight management portion of the market, has remained slower due to what we believe is the temporary softer interest in weight management for consumers, fewer on-the-go usage occasions and weakness in the mass channel that has experienced reduced shopper traffic during the pandemic.</w:t>
      </w:r>
    </w:p>
    <w:p>
      <w:pPr>
        <w:spacing w:after="0" w:line="208" w:lineRule="exact"/>
        <w:rPr>
          <w:sz w:val="20"/>
          <w:szCs w:val="20"/>
          <w:color w:val="auto"/>
        </w:rPr>
      </w:pPr>
    </w:p>
    <w:p>
      <w:pPr>
        <w:jc w:val="both"/>
        <w:ind w:firstLine="201"/>
        <w:spacing w:after="0" w:line="241" w:lineRule="auto"/>
        <w:rPr>
          <w:sz w:val="20"/>
          <w:szCs w:val="20"/>
          <w:color w:val="auto"/>
        </w:rPr>
      </w:pPr>
      <w:r>
        <w:rPr>
          <w:rFonts w:ascii="Arial" w:cs="Arial" w:eastAsia="Arial" w:hAnsi="Arial"/>
          <w:sz w:val="18"/>
          <w:szCs w:val="18"/>
          <w:color w:val="auto"/>
        </w:rPr>
        <w:t>Based on the duration and severity of economic effects from the COVID-19 pandemic, including but not limited to stock market volatility, the potential for (i) continued increased rates of reported cases of COVID-19, (ii) unexpected supply chain disruptions, (iii) changes to customer operations, (iv) continued or additional changes in consumer purchasing and consumption behavior beyond those evidenced to date, and (v) the closure of customer establishments, we remain uncertain of the ultimate effect COVID-19 could have on our business. We also believe the COVID-19 uncertainty will continue during our 2021 fiscal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jc w:val="both"/>
        <w:ind w:firstLine="185"/>
        <w:spacing w:after="0" w:line="243" w:lineRule="auto"/>
        <w:rPr>
          <w:sz w:val="20"/>
          <w:szCs w:val="20"/>
          <w:color w:val="auto"/>
        </w:rPr>
      </w:pPr>
      <w:r>
        <w:rPr>
          <w:rFonts w:ascii="Arial" w:cs="Arial" w:eastAsia="Arial" w:hAnsi="Arial"/>
          <w:sz w:val="18"/>
          <w:szCs w:val="18"/>
          <w:color w:val="auto"/>
        </w:rPr>
        <w:t>In May 2020, we announced certain restructuring activities in conjunction with the implementation of our future-state organization design, which created a fully integrated organization with our completed Acquisition of Quest. The new organization design became effective on August 31, 2020. These restructuring plans primarily include workforce reductions, changes in management structure, and the relocation of business activities from one location to another.</w:t>
      </w:r>
    </w:p>
    <w:p>
      <w:pPr>
        <w:spacing w:after="0" w:line="215" w:lineRule="exact"/>
        <w:rPr>
          <w:sz w:val="20"/>
          <w:szCs w:val="20"/>
          <w:color w:val="auto"/>
        </w:rPr>
      </w:pPr>
    </w:p>
    <w:p>
      <w:pPr>
        <w:jc w:val="both"/>
        <w:ind w:firstLine="228"/>
        <w:spacing w:after="0"/>
        <w:rPr>
          <w:sz w:val="20"/>
          <w:szCs w:val="20"/>
          <w:color w:val="auto"/>
        </w:rPr>
      </w:pPr>
      <w:r>
        <w:rPr>
          <w:rFonts w:ascii="Arial" w:cs="Arial" w:eastAsia="Arial" w:hAnsi="Arial"/>
          <w:sz w:val="18"/>
          <w:szCs w:val="18"/>
          <w:color w:val="auto"/>
        </w:rPr>
        <w:t>For the thirteen weeks ended November 28, 2020, we incurred a total of $2.5 million in restructuring and restructuring related costs which have been included within General and administrative on the Consolidated Statements of Operations and Comprehensive Income. As of November 28, 2020, we have incurred aggregate restructuring and restructuring related costs of $8.0 million since May 2020. Overall, we expect to incur a total of approximately $9.2 million in restructuring and restructuring-related costs, which are to be paid throughout fiscal 2021 and the first quarter of fiscal 2022. Refer to Note 15, Restructuring and Related Charges, of our Notes to Unaudited Condensed Consolidated Financial Statements in this Report for additional information regarding restructuring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SimplyProtein Sale</w:t>
      </w:r>
    </w:p>
    <w:p>
      <w:pPr>
        <w:spacing w:after="0" w:line="256" w:lineRule="exact"/>
        <w:rPr>
          <w:sz w:val="20"/>
          <w:szCs w:val="20"/>
          <w:color w:val="auto"/>
        </w:rPr>
      </w:pPr>
    </w:p>
    <w:p>
      <w:pPr>
        <w:jc w:val="both"/>
        <w:ind w:firstLine="290"/>
        <w:spacing w:after="0"/>
        <w:rPr>
          <w:sz w:val="20"/>
          <w:szCs w:val="20"/>
          <w:color w:val="auto"/>
        </w:rPr>
      </w:pPr>
      <w:r>
        <w:rPr>
          <w:rFonts w:ascii="Arial" w:cs="Arial" w:eastAsia="Arial" w:hAnsi="Arial"/>
          <w:sz w:val="18"/>
          <w:szCs w:val="18"/>
          <w:color w:val="auto"/>
        </w:rPr>
        <w:t>Effective September 24, 2020, we sold the assets exclusively related to our SimplyProtein® brand of products for approximately $8.8 million of consideration, including cash of $5.8 million and a note receivable for $3.0 million, to a newly formed entity led by the Company’s former Canadian-based management team who had been responsible for this brand prior to the sale transaction (the "SimplyProtein Sale"). In addition to purchasing these assets, the buyer assumed certain liabilities related to the SimplyProtein brand’s business. There was no gain or loss recognized as a result of the SimplyProtein Sale. The transaction enables our management to focus its full time and our resources on our core Atkins® and Quest® branded businesses and other strategic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56" w:lineRule="exact"/>
        <w:rPr>
          <w:sz w:val="20"/>
          <w:szCs w:val="20"/>
          <w:color w:val="auto"/>
        </w:rPr>
      </w:pPr>
    </w:p>
    <w:p>
      <w:pPr>
        <w:jc w:val="both"/>
        <w:ind w:firstLine="292"/>
        <w:spacing w:after="0" w:line="259" w:lineRule="auto"/>
        <w:rPr>
          <w:sz w:val="20"/>
          <w:szCs w:val="20"/>
          <w:color w:val="auto"/>
        </w:rPr>
      </w:pPr>
      <w:r>
        <w:rPr>
          <w:rFonts w:ascii="Arial" w:cs="Arial" w:eastAsia="Arial" w:hAnsi="Arial"/>
          <w:sz w:val="17"/>
          <w:szCs w:val="17"/>
          <w:color w:val="auto"/>
        </w:rPr>
        <w:t>Following the Acquisition of Quest, our operations are organized into two operating segments, Atkins and Quest, which are aggregated into one reporting segment, due to similar financial, economic and operating characteristics. The operating segments are also similar in the following areas: (a) the nature of the products; (b) the nature of the production processes; (c) the methods used to distribute products to customers, (d) the type of customer for the products, and (e) the nature of the regulatory environment. The recently announced restructuring and new organization design creates an efficient and fully integrated organization that will continue to support and build multi-category nutritional snacking brands.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4" w:name="page25"/>
    <w:bookmarkEnd w:id="24"/>
    <w:p>
      <w:pPr>
        <w:jc w:val="both"/>
        <w:ind w:firstLine="261"/>
        <w:spacing w:after="0" w:line="266"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w:t>
      </w:r>
    </w:p>
    <w:p>
      <w:pPr>
        <w:spacing w:after="0" w:line="189" w:lineRule="exact"/>
        <w:rPr>
          <w:sz w:val="20"/>
          <w:szCs w:val="20"/>
          <w:color w:val="auto"/>
        </w:rPr>
      </w:pPr>
    </w:p>
    <w:p>
      <w:pPr>
        <w:jc w:val="both"/>
        <w:ind w:firstLine="180"/>
        <w:spacing w:after="0" w:line="245"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8" w:lineRule="exact"/>
        <w:rPr>
          <w:sz w:val="20"/>
          <w:szCs w:val="20"/>
          <w:color w:val="auto"/>
        </w:rPr>
      </w:pPr>
    </w:p>
    <w:p>
      <w:pPr>
        <w:jc w:val="both"/>
        <w:ind w:firstLine="247"/>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transaction costs. The following is a brief description of the components of operating expenses:</w:t>
      </w:r>
    </w:p>
    <w:p>
      <w:pPr>
        <w:spacing w:after="0" w:line="193"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are comprised of broker commissions, customer marketing, media and other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are comprised of expenses associated with corporate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that support our business, including employee salaries, professional services, integration costs, restructuring costs, insurance and other general corporate expenses.</w:t>
      </w:r>
    </w:p>
    <w:p>
      <w:pPr>
        <w:spacing w:after="0" w:line="20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97" w:lineRule="exact"/>
        <w:rPr>
          <w:rFonts w:ascii="Arial" w:cs="Arial" w:eastAsia="Arial" w:hAnsi="Arial"/>
          <w:sz w:val="18"/>
          <w:szCs w:val="18"/>
          <w:i w:val="1"/>
          <w:iCs w:val="1"/>
          <w:color w:val="auto"/>
        </w:rPr>
      </w:pPr>
    </w:p>
    <w:p>
      <w:pPr>
        <w:ind w:left="66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Business transaction costs. </w:t>
      </w:r>
      <w:r>
        <w:rPr>
          <w:rFonts w:ascii="Arial" w:cs="Arial" w:eastAsia="Arial" w:hAnsi="Arial"/>
          <w:sz w:val="17"/>
          <w:szCs w:val="17"/>
          <w:color w:val="auto"/>
        </w:rPr>
        <w:t>Business transaction costs are comprised of legal, due diligence, consulting and accounting firm expenses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process of actively pursuing potential and completed business combinations, including the Acquisition of 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194"/>
        <w:spacing w:after="0" w:line="241" w:lineRule="auto"/>
        <w:rPr>
          <w:sz w:val="20"/>
          <w:szCs w:val="20"/>
          <w:color w:val="auto"/>
        </w:rPr>
      </w:pPr>
      <w:r>
        <w:rPr>
          <w:rFonts w:ascii="Arial" w:cs="Arial" w:eastAsia="Arial" w:hAnsi="Arial"/>
          <w:sz w:val="18"/>
          <w:szCs w:val="18"/>
          <w:color w:val="auto"/>
        </w:rPr>
        <w:t>Overall, the results in the first quarter of fiscal 2020 were better than expected amid the ongoing challenges of operating in the COVID-19 environment. The Acquisition of Quest and the strong performance of the Quest brand drove the increases in net sales and net operating income for the thirteen weeks ended November 28, 2020 compared to the thirteen weeks ended November 30, 2019. While we are encouraged with our start to fiscal year 2021, including the momentum of the Quest brand and the progress made against our strategic initiatives, there is still uncertainty related to when mobility, consumption behavior and shopping trips will return to pre-COVID-19 levels.</w:t>
      </w:r>
    </w:p>
    <w:p>
      <w:pPr>
        <w:spacing w:after="0" w:line="216" w:lineRule="exact"/>
        <w:rPr>
          <w:sz w:val="20"/>
          <w:szCs w:val="20"/>
          <w:color w:val="auto"/>
        </w:rPr>
      </w:pPr>
    </w:p>
    <w:p>
      <w:pPr>
        <w:jc w:val="both"/>
        <w:ind w:firstLine="259"/>
        <w:spacing w:after="0"/>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measures of Adjusted EBITDA and Adjusted Diluted Earnings Per Share. Because not all companies use identical calculations, this presentation of Adjusted EBITDA and Adjusted Diluted Earnings Per Share may not be comparable to other similarly titled measures of other companies. See “Reconciliation of Adjusted EBITDA” below for a reconciliation of Adjusted EBITDA to net income for each applicable period. See “Reconciliation of Adjusted Diluted Earnings Per Share” below for a reconciliation of Adjusted Diluted Earnings Per Share to diluted earnings per share for each applicable period.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Unaudited Results for the Thirteen Weeks Ended November 28, 2020 and the Thirteen Weeks Ended November 30, 2019</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unaudited table presents, for the periods indicated, selected information from our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including information presented as a percentage of net sales:</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179"/>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300"/>
              <w:spacing w:after="0" w:line="179" w:lineRule="exact"/>
              <w:rPr>
                <w:sz w:val="20"/>
                <w:szCs w:val="20"/>
                <w:color w:val="auto"/>
              </w:rPr>
            </w:pPr>
            <w:r>
              <w:rPr>
                <w:rFonts w:ascii="Arial" w:cs="Arial" w:eastAsia="Arial" w:hAnsi="Arial"/>
                <w:sz w:val="16"/>
                <w:szCs w:val="16"/>
                <w:color w:val="auto"/>
                <w:w w:val="91"/>
              </w:rPr>
              <w:t>Thirteen Weeks</w:t>
            </w: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right="280"/>
              <w:spacing w:after="0" w:line="179" w:lineRule="exact"/>
              <w:rPr>
                <w:sz w:val="20"/>
                <w:szCs w:val="20"/>
                <w:color w:val="auto"/>
              </w:rPr>
            </w:pPr>
            <w:r>
              <w:rPr>
                <w:rFonts w:ascii="Arial" w:cs="Arial" w:eastAsia="Arial" w:hAnsi="Arial"/>
                <w:sz w:val="16"/>
                <w:szCs w:val="16"/>
                <w:color w:val="auto"/>
                <w:w w:val="91"/>
              </w:rPr>
              <w:t>Thirteen Weeks</w:t>
            </w:r>
          </w:p>
        </w:tc>
        <w:tc>
          <w:tcPr>
            <w:tcW w:w="960" w:type="dxa"/>
            <w:vAlign w:val="bottom"/>
            <w:tcBorders>
              <w:top w:val="single" w:sz="8" w:color="auto"/>
            </w:tcBorders>
          </w:tcPr>
          <w:p>
            <w:pPr>
              <w:spacing w:after="0"/>
              <w:rPr>
                <w:sz w:val="15"/>
                <w:szCs w:val="15"/>
                <w:color w:val="auto"/>
              </w:rPr>
            </w:pPr>
          </w:p>
        </w:tc>
      </w:tr>
      <w:tr>
        <w:trPr>
          <w:trHeight w:val="206"/>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Ended</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color w:val="auto"/>
                <w:w w:val="86"/>
              </w:rPr>
              <w:t>Ended</w:t>
            </w:r>
          </w:p>
        </w:tc>
        <w:tc>
          <w:tcPr>
            <w:tcW w:w="960" w:type="dxa"/>
            <w:vAlign w:val="bottom"/>
          </w:tcPr>
          <w:p>
            <w:pPr>
              <w:spacing w:after="0"/>
              <w:rPr>
                <w:sz w:val="17"/>
                <w:szCs w:val="17"/>
                <w:color w:val="auto"/>
              </w:rPr>
            </w:pPr>
          </w:p>
        </w:tc>
      </w:tr>
      <w:tr>
        <w:trPr>
          <w:trHeight w:val="25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November 28, 2020</w:t>
            </w: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of Sales</w:t>
            </w:r>
          </w:p>
        </w:tc>
        <w:tc>
          <w:tcPr>
            <w:tcW w:w="1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1"/>
              </w:rPr>
              <w:t>November 30, 2019</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 of Sales</w:t>
            </w:r>
          </w:p>
        </w:tc>
      </w:tr>
      <w:tr>
        <w:trPr>
          <w:trHeight w:val="23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231,152</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152,153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4"/>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137,111</w:t>
            </w: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59.3 %</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89,947</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59.1 %</w:t>
            </w:r>
          </w:p>
        </w:tc>
      </w:tr>
      <w:tr>
        <w:trPr>
          <w:trHeight w:val="239"/>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40.7 %</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40.9 %</w:t>
            </w:r>
          </w:p>
        </w:tc>
      </w:tr>
      <w:tr>
        <w:trPr>
          <w:trHeight w:val="256"/>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3"/>
        </w:trPr>
        <w:tc>
          <w:tcPr>
            <w:tcW w:w="4640" w:type="dxa"/>
            <w:vAlign w:val="bottom"/>
            <w:gridSpan w:val="2"/>
          </w:tcPr>
          <w:p>
            <w:pPr>
              <w:ind w:left="220"/>
              <w:spacing w:after="0"/>
              <w:rPr>
                <w:sz w:val="20"/>
                <w:szCs w:val="20"/>
                <w:color w:val="auto"/>
              </w:rPr>
            </w:pPr>
            <w:r>
              <w:rPr>
                <w:rFonts w:ascii="Arial" w:cs="Arial" w:eastAsia="Arial" w:hAnsi="Arial"/>
                <w:sz w:val="16"/>
                <w:szCs w:val="16"/>
                <w:color w:val="auto"/>
              </w:rPr>
              <w:t>Selling and marketing</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25,195</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10.9 %</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18,434</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12.1 %</w:t>
            </w:r>
          </w:p>
        </w:tc>
      </w:tr>
      <w:tr>
        <w:trPr>
          <w:trHeight w:val="260"/>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25,415</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11.9 %</w:t>
            </w:r>
          </w:p>
        </w:tc>
      </w:tr>
      <w:tr>
        <w:trPr>
          <w:trHeight w:val="253"/>
        </w:trPr>
        <w:tc>
          <w:tcPr>
            <w:tcW w:w="464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4,244</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1.8 %</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2,453</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56"/>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Business transaction costs</w:t>
            </w:r>
          </w:p>
        </w:tc>
        <w:tc>
          <w:tcPr>
            <w:tcW w:w="1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26,159</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17.2 %</w:t>
            </w:r>
          </w:p>
        </w:tc>
      </w:tr>
      <w:tr>
        <w:trPr>
          <w:trHeight w:val="237"/>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54,854</w:t>
            </w:r>
          </w:p>
        </w:tc>
        <w:tc>
          <w:tcPr>
            <w:tcW w:w="14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23.7 %</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65,191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42.8 %</w:t>
            </w:r>
          </w:p>
        </w:tc>
      </w:tr>
      <w:tr>
        <w:trPr>
          <w:trHeight w:val="259"/>
        </w:trPr>
        <w:tc>
          <w:tcPr>
            <w:tcW w:w="4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4"/>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Income (loss) from operations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39,187</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17.0 %</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9"/>
        </w:trPr>
        <w:tc>
          <w:tcPr>
            <w:tcW w:w="4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3"/>
        </w:trPr>
        <w:tc>
          <w:tcPr>
            <w:tcW w:w="4640" w:type="dxa"/>
            <w:vAlign w:val="bottom"/>
            <w:gridSpan w:val="2"/>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0"/>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53"/>
        </w:trPr>
        <w:tc>
          <w:tcPr>
            <w:tcW w:w="464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(8,372)</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(4,969)</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60"/>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Gain on foreign currency transactions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3"/>
        </w:trPr>
        <w:tc>
          <w:tcPr>
            <w:tcW w:w="4640" w:type="dxa"/>
            <w:vAlign w:val="bottom"/>
            <w:gridSpan w:val="2"/>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0"/>
        </w:trPr>
        <w:tc>
          <w:tcPr>
            <w:tcW w:w="4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16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(8,313)</w:t>
            </w:r>
          </w:p>
        </w:tc>
        <w:tc>
          <w:tcPr>
            <w:tcW w:w="1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57"/>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30,874</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54"/>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c>
          <w:tcPr>
            <w:tcW w:w="1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financial data:</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4640" w:type="dxa"/>
            <w:vAlign w:val="bottom"/>
            <w:gridSpan w:val="2"/>
          </w:tcPr>
          <w:p>
            <w:pPr>
              <w:ind w:left="220"/>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48,697</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21.1 %</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31,795</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20.9 %</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firstLine="8"/>
        <w:spacing w:after="0" w:line="275" w:lineRule="auto"/>
        <w:tabs>
          <w:tab w:leader="none" w:pos="236"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191" w:lineRule="exact"/>
        <w:rPr>
          <w:sz w:val="20"/>
          <w:szCs w:val="20"/>
          <w:color w:val="auto"/>
        </w:rPr>
      </w:pPr>
    </w:p>
    <w:p>
      <w:pPr>
        <w:jc w:val="both"/>
        <w:ind w:firstLine="193"/>
        <w:spacing w:after="0" w:line="260" w:lineRule="auto"/>
        <w:rPr>
          <w:sz w:val="20"/>
          <w:szCs w:val="20"/>
          <w:color w:val="auto"/>
        </w:rPr>
      </w:pPr>
      <w:r>
        <w:rPr>
          <w:rFonts w:ascii="Arial" w:cs="Arial" w:eastAsia="Arial" w:hAnsi="Arial"/>
          <w:sz w:val="17"/>
          <w:szCs w:val="17"/>
          <w:b w:val="1"/>
          <w:bCs w:val="1"/>
          <w:color w:val="auto"/>
        </w:rPr>
        <w:t>Net sales</w:t>
      </w:r>
      <w:r>
        <w:rPr>
          <w:rFonts w:ascii="Arial" w:cs="Arial" w:eastAsia="Arial" w:hAnsi="Arial"/>
          <w:sz w:val="17"/>
          <w:szCs w:val="17"/>
          <w:color w:val="auto"/>
        </w:rPr>
        <w:t>. Net sales of $231.2 million represented an increase of $79.0 million, or 51.9%, for the thirteen weeks ended November 28, 2020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thirteen weeks ended November 30, 2019. The net sales increase of 51.9% was primarily attributable to the Acquisition of Quest, which drove 51.7% of the increase. The remaining 0.2% increase in net sales attributable to the legacy Atkins business was primarily driven by international sales growth, partially offset by a 1.7% decrease in net sales due to the SimplyProtein Sale in the first quarter of fiscal year 2021 as well as reduced sales volume due to the continued effects of COVID-19 related movement restrictions and stay-at-home orders.</w:t>
      </w:r>
    </w:p>
    <w:p>
      <w:pPr>
        <w:spacing w:after="0" w:line="201" w:lineRule="exact"/>
        <w:rPr>
          <w:sz w:val="20"/>
          <w:szCs w:val="20"/>
          <w:color w:val="auto"/>
        </w:rPr>
      </w:pPr>
    </w:p>
    <w:p>
      <w:pPr>
        <w:ind w:right="380" w:firstLine="180"/>
        <w:spacing w:after="0" w:line="324" w:lineRule="auto"/>
        <w:rPr>
          <w:sz w:val="20"/>
          <w:szCs w:val="20"/>
          <w:color w:val="auto"/>
        </w:rPr>
      </w:pPr>
      <w:r>
        <w:rPr>
          <w:rFonts w:ascii="Arial" w:cs="Arial" w:eastAsia="Arial" w:hAnsi="Arial"/>
          <w:sz w:val="16"/>
          <w:szCs w:val="16"/>
          <w:b w:val="1"/>
          <w:bCs w:val="1"/>
          <w:i w:val="1"/>
          <w:iCs w:val="1"/>
          <w:color w:val="auto"/>
        </w:rPr>
        <w:t>Cost of goods sold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goods sold increased $47.2 million, or 52.4%, for the thirteen weeks ended November 28, 2020 compared to the thirteen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weeks ended November 30, 2019. The cost of goods sold increase was driven by sales volume growth attributable to the Acquisition of Quest.</w:t>
      </w:r>
    </w:p>
    <w:p>
      <w:pPr>
        <w:spacing w:after="0" w:line="151" w:lineRule="exact"/>
        <w:rPr>
          <w:sz w:val="20"/>
          <w:szCs w:val="20"/>
          <w:color w:val="auto"/>
        </w:rPr>
      </w:pPr>
    </w:p>
    <w:p>
      <w:pPr>
        <w:jc w:val="both"/>
        <w:ind w:firstLine="220"/>
        <w:spacing w:after="0" w:line="24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$31.8 million, or 51.2%, for the thirteen weeks ended November 28,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30, 2019. Gross profit of $94.0 million, or 40.7% of net sales, for the thirteen weeks ended November 28, 2020 decreased 20 basis points from 40.9% of net sales for the thirteen weeks ended November 30, 2019. The decrease in gross profit margin was primarily the result of the Acquisition of Quest's lower gross profit margins, partially offset by a non-cash $2.4 million inventory purchase accounting step-up adjustment in the first quarter of fiscal year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ind w:firstLine="207"/>
        <w:spacing w:after="0" w:line="261"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decreased $10.3 million, or 15.9%, for the thirteen weeks ended November 28, 2020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30, 2019 due to the following:</w:t>
      </w:r>
    </w:p>
    <w:p>
      <w:pPr>
        <w:spacing w:after="0" w:line="211" w:lineRule="exact"/>
        <w:rPr>
          <w:sz w:val="20"/>
          <w:szCs w:val="20"/>
          <w:color w:val="auto"/>
        </w:rPr>
      </w:pPr>
    </w:p>
    <w:p>
      <w:pPr>
        <w:ind w:left="1300" w:right="20" w:hanging="239"/>
        <w:spacing w:after="0" w:line="324" w:lineRule="auto"/>
        <w:tabs>
          <w:tab w:leader="none" w:pos="129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increased $6.8 million, or 36.7%, for the thirteen weeks ended November 28,</w:t>
      </w:r>
      <w:r>
        <w:rPr>
          <w:rFonts w:ascii="Arial" w:cs="Arial" w:eastAsia="Arial" w:hAnsi="Arial"/>
          <w:sz w:val="17"/>
          <w:szCs w:val="17"/>
          <w:i w:val="1"/>
          <w:iCs w:val="1"/>
          <w:color w:val="auto"/>
        </w:rPr>
        <w:t xml:space="preserve"> </w:t>
      </w:r>
      <w:r>
        <w:rPr>
          <w:rFonts w:ascii="Arial" w:cs="Arial" w:eastAsia="Arial" w:hAnsi="Arial"/>
          <w:sz w:val="17"/>
          <w:szCs w:val="17"/>
          <w:color w:val="auto"/>
        </w:rPr>
        <w:t>2020 compared to the thirteen weeks ended November 30, 2019. The increase was primarily related to the Acquisition of Quest.</w:t>
      </w:r>
    </w:p>
    <w:p>
      <w:pPr>
        <w:spacing w:after="0" w:line="174" w:lineRule="exact"/>
        <w:rPr>
          <w:rFonts w:ascii="Arial" w:cs="Arial" w:eastAsia="Arial" w:hAnsi="Arial"/>
          <w:sz w:val="17"/>
          <w:szCs w:val="17"/>
          <w:i w:val="1"/>
          <w:iCs w:val="1"/>
          <w:color w:val="auto"/>
        </w:rPr>
      </w:pPr>
    </w:p>
    <w:p>
      <w:pPr>
        <w:jc w:val="both"/>
        <w:ind w:left="1300" w:hanging="239"/>
        <w:spacing w:after="0" w:line="296" w:lineRule="auto"/>
        <w:tabs>
          <w:tab w:leader="none" w:pos="129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$7.3 million, or 40.1%, for the thirteen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28, 2020 compared to the thirteen weeks ended November 30, 2019. The increase was primarily attributable to the Acquisition of Quest as well as restructuring charges of $2.5 million in the thirteen weeks ended November 28, 2020. These increases were partially offset by reductions in stock-based compensation and costs related to the integration of Quest.</w:t>
      </w:r>
    </w:p>
    <w:p>
      <w:pPr>
        <w:spacing w:after="0" w:line="196" w:lineRule="exact"/>
        <w:rPr>
          <w:rFonts w:ascii="Arial" w:cs="Arial" w:eastAsia="Arial" w:hAnsi="Arial"/>
          <w:sz w:val="17"/>
          <w:szCs w:val="17"/>
          <w:i w:val="1"/>
          <w:iCs w:val="1"/>
          <w:color w:val="auto"/>
        </w:rPr>
      </w:pPr>
    </w:p>
    <w:p>
      <w:pPr>
        <w:jc w:val="both"/>
        <w:ind w:left="1300" w:hanging="239"/>
        <w:spacing w:after="0" w:line="279"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$1.8 million, or 73.0%,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28, 2020 compared to the thirteen weeks ended November 30, 2019. The increase was primarily due to amortization for the intangible assets recognized in the Acquisition of Quest of $2.2 million.</w:t>
      </w:r>
    </w:p>
    <w:p>
      <w:pPr>
        <w:spacing w:after="0" w:line="209" w:lineRule="exact"/>
        <w:rPr>
          <w:rFonts w:ascii="Arial" w:cs="Arial" w:eastAsia="Arial" w:hAnsi="Arial"/>
          <w:sz w:val="18"/>
          <w:szCs w:val="18"/>
          <w:color w:val="auto"/>
        </w:rPr>
      </w:pPr>
    </w:p>
    <w:p>
      <w:pPr>
        <w:ind w:left="1300" w:right="20" w:hanging="239"/>
        <w:spacing w:after="0" w:line="29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were $26.2 million for the thirteen weeks ended November 30, 2019 and was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expenses related to the Acquisition of Quest.</w:t>
      </w:r>
    </w:p>
    <w:p>
      <w:pPr>
        <w:spacing w:after="0" w:line="183" w:lineRule="exact"/>
        <w:rPr>
          <w:sz w:val="20"/>
          <w:szCs w:val="20"/>
          <w:color w:val="auto"/>
        </w:rPr>
      </w:pPr>
    </w:p>
    <w:p>
      <w:pPr>
        <w:jc w:val="both"/>
        <w:ind w:firstLine="288"/>
        <w:spacing w:after="0" w:line="24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$1.4 million for the thirteen weeks ended November 28,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30, 2019 primarily due to $195.3 million of cash on hand being utilized for the Acquisition of Quest in the first quarter of fiscal year 2020 and lower market rates.</w:t>
      </w:r>
    </w:p>
    <w:p>
      <w:pPr>
        <w:spacing w:after="0" w:line="209" w:lineRule="exact"/>
        <w:rPr>
          <w:sz w:val="20"/>
          <w:szCs w:val="20"/>
          <w:color w:val="auto"/>
        </w:rPr>
      </w:pPr>
    </w:p>
    <w:p>
      <w:pPr>
        <w:jc w:val="both"/>
        <w:ind w:firstLine="274"/>
        <w:spacing w:after="0" w:line="324"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increased $3.4 million for the thirteen weeks ended November 28, 2020 compared to the thirteen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30, 2019 primarily due to the first quarter of fiscal year 2020 term loan funding of $460.0 million to partially finance the Acquisition of Quest.</w:t>
      </w:r>
    </w:p>
    <w:p>
      <w:pPr>
        <w:spacing w:after="0" w:line="151" w:lineRule="exact"/>
        <w:rPr>
          <w:sz w:val="20"/>
          <w:szCs w:val="20"/>
          <w:color w:val="auto"/>
        </w:rPr>
      </w:pPr>
    </w:p>
    <w:p>
      <w:pPr>
        <w:jc w:val="both"/>
        <w:ind w:firstLine="220"/>
        <w:spacing w:after="0" w:line="261" w:lineRule="auto"/>
        <w:rPr>
          <w:sz w:val="20"/>
          <w:szCs w:val="20"/>
          <w:color w:val="auto"/>
        </w:rPr>
      </w:pPr>
      <w:r>
        <w:rPr>
          <w:rFonts w:ascii="Arial" w:cs="Arial" w:eastAsia="Arial" w:hAnsi="Arial"/>
          <w:sz w:val="18"/>
          <w:szCs w:val="18"/>
          <w:b w:val="1"/>
          <w:bCs w:val="1"/>
          <w:i w:val="1"/>
          <w:iCs w:val="1"/>
          <w:color w:val="auto"/>
        </w:rPr>
        <w:t xml:space="preserve">Gain on foreign currency transactions. </w:t>
      </w:r>
      <w:r>
        <w:rPr>
          <w:rFonts w:ascii="Arial" w:cs="Arial" w:eastAsia="Arial" w:hAnsi="Arial"/>
          <w:sz w:val="18"/>
          <w:szCs w:val="18"/>
          <w:color w:val="auto"/>
        </w:rPr>
        <w:t>The gain in foreign currency related to our international operations was nominal for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28, 2020 and November 30, 2019.</w:t>
      </w:r>
    </w:p>
    <w:p>
      <w:pPr>
        <w:spacing w:after="0" w:line="198" w:lineRule="exact"/>
        <w:rPr>
          <w:sz w:val="20"/>
          <w:szCs w:val="20"/>
          <w:color w:val="auto"/>
        </w:rPr>
      </w:pPr>
    </w:p>
    <w:p>
      <w:pPr>
        <w:jc w:val="both"/>
        <w:ind w:firstLine="207"/>
        <w:spacing w:after="0" w:line="248"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increased $10.1 million, for the thirteen weeks ended November 28, 2020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30, 2019. The increase in our income tax expense is primarily driven by higher pre-tax book income offset by other permanent differences.</w:t>
      </w:r>
    </w:p>
    <w:p>
      <w:pPr>
        <w:spacing w:after="0" w:line="209" w:lineRule="exact"/>
        <w:rPr>
          <w:sz w:val="20"/>
          <w:szCs w:val="20"/>
          <w:color w:val="auto"/>
        </w:rPr>
      </w:pPr>
    </w:p>
    <w:p>
      <w:pPr>
        <w:jc w:val="both"/>
        <w:ind w:firstLine="180"/>
        <w:spacing w:after="0" w:line="248" w:lineRule="auto"/>
        <w:rPr>
          <w:sz w:val="20"/>
          <w:szCs w:val="20"/>
          <w:color w:val="auto"/>
        </w:rPr>
      </w:pPr>
      <w:r>
        <w:rPr>
          <w:rFonts w:ascii="Arial" w:cs="Arial" w:eastAsia="Arial" w:hAnsi="Arial"/>
          <w:sz w:val="18"/>
          <w:szCs w:val="18"/>
          <w:b w:val="1"/>
          <w:bCs w:val="1"/>
          <w:i w:val="1"/>
          <w:iCs w:val="1"/>
          <w:color w:val="auto"/>
        </w:rPr>
        <w:t>Net income (loss)</w:t>
      </w:r>
      <w:r>
        <w:rPr>
          <w:rFonts w:ascii="Arial" w:cs="Arial" w:eastAsia="Arial" w:hAnsi="Arial"/>
          <w:sz w:val="18"/>
          <w:szCs w:val="18"/>
          <w:color w:val="auto"/>
        </w:rPr>
        <w:t>. Net income was $22.5 million for the thirteen weeks ended November 28, 2020, an increase of $27.3 million compared to the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$4.8 million for the thirteen weeks ended November 30, 2019. The increase was primarily related to increased operating income and decreased transaction costs from the Acquisition of Quest in the first quarter of fiscal year 2020.</w:t>
      </w:r>
    </w:p>
    <w:p>
      <w:pPr>
        <w:spacing w:after="0" w:line="209" w:lineRule="exact"/>
        <w:rPr>
          <w:sz w:val="20"/>
          <w:szCs w:val="20"/>
          <w:color w:val="auto"/>
        </w:rPr>
      </w:pPr>
    </w:p>
    <w:p>
      <w:pPr>
        <w:jc w:val="both"/>
        <w:ind w:firstLine="234"/>
        <w:spacing w:after="0" w:line="248"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increased $16.9 million, or 53.2%, for the thirteen weeks ended November 28, 2020 compared to the thirteen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November 30, 2019, driven primarily by the Acquisition of Quest. For a reconciliation of Adjusted EBITDA to its most directly comparable GAAP measure, see “Reconciliation of Adjusted EBITDA” below.</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52" w:lineRule="exact"/>
        <w:rPr>
          <w:sz w:val="20"/>
          <w:szCs w:val="20"/>
          <w:color w:val="auto"/>
        </w:rPr>
      </w:pPr>
    </w:p>
    <w:p>
      <w:pPr>
        <w:jc w:val="both"/>
        <w:ind w:firstLine="180"/>
        <w:spacing w:after="0" w:line="252" w:lineRule="auto"/>
        <w:rPr>
          <w:sz w:val="20"/>
          <w:szCs w:val="20"/>
          <w:color w:val="auto"/>
        </w:rPr>
      </w:pPr>
      <w:r>
        <w:rPr>
          <w:rFonts w:ascii="Arial" w:cs="Arial" w:eastAsia="Arial" w:hAnsi="Arial"/>
          <w:sz w:val="17"/>
          <w:szCs w:val="17"/>
          <w:b w:val="1"/>
          <w:bCs w:val="1"/>
          <w:i w:val="1"/>
          <w:iCs w:val="1"/>
          <w:color w:val="auto"/>
        </w:rPr>
        <w:t>Adjusted EBITDA</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EBITDA is a non-GAAP financial measure commonly used in our industry and should not be construed as an alternative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and other non-core expenses. The Company believes that the inclusion of these supplementary adjustments in presenting Adjusted EBITDA, when used in conjunction with net income, are appropriate to provide additional information to investors, and management of the Company uses Adjusted EBITDA to supplement net income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EBITDA may not be comparable to other similarly titled captions of other companies due to differences in the non-GAAP calculation.</w:t>
      </w:r>
    </w:p>
    <w:p>
      <w:pPr>
        <w:spacing w:after="0" w:line="210" w:lineRule="exact"/>
        <w:rPr>
          <w:sz w:val="20"/>
          <w:szCs w:val="20"/>
          <w:color w:val="auto"/>
        </w:rPr>
      </w:pPr>
    </w:p>
    <w:p>
      <w:pPr>
        <w:jc w:val="both"/>
        <w:ind w:firstLine="271"/>
        <w:spacing w:after="0" w:line="261"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thirteen weeks ended November 28, 2020 and November 30, 2019:</w:t>
      </w:r>
    </w:p>
    <w:p>
      <w:pPr>
        <w:spacing w:after="0" w:line="108"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33"/>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91"/>
              </w:rPr>
              <w:t>November 28,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39"/>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(4,793)</w:t>
            </w:r>
          </w:p>
        </w:tc>
      </w:tr>
      <w:tr>
        <w:trPr>
          <w:trHeight w:val="25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(1,379)</w:t>
            </w:r>
          </w:p>
        </w:tc>
      </w:tr>
      <w:tr>
        <w:trPr>
          <w:trHeight w:val="260"/>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r>
      <w:tr>
        <w:trPr>
          <w:trHeight w:val="253"/>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(1,729)</w:t>
            </w:r>
          </w:p>
        </w:tc>
      </w:tr>
      <w:tr>
        <w:trPr>
          <w:trHeight w:val="257"/>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w:t>
            </w:r>
          </w:p>
        </w:tc>
      </w:tr>
      <w:tr>
        <w:trPr>
          <w:trHeight w:val="250"/>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43,756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59"/>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Business transaction costs</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26,159</w:t>
            </w:r>
          </w:p>
        </w:tc>
      </w:tr>
      <w:tr>
        <w:trPr>
          <w:trHeight w:val="25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1,673</w:t>
            </w:r>
          </w:p>
        </w:tc>
      </w:tr>
      <w:tr>
        <w:trPr>
          <w:trHeight w:val="26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Inventory step-up</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5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Integration of Quest</w:t>
            </w: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6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Non-core legal costs</w:t>
            </w:r>
          </w:p>
        </w:tc>
        <w:tc>
          <w:tcPr>
            <w:tcW w:w="10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60"/>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84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31,795</w:t>
            </w:r>
          </w:p>
        </w:tc>
      </w:tr>
      <w:tr>
        <w:trPr>
          <w:trHeight w:val="20"/>
        </w:trPr>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ind w:left="260" w:hanging="171"/>
        <w:spacing w:after="0"/>
        <w:tabs>
          <w:tab w:leader="none" w:pos="26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Other items consist principally of exchange impact of foreign currency transactions and other expenses.</w:t>
      </w:r>
    </w:p>
    <w:p>
      <w:pPr>
        <w:spacing w:after="0" w:line="200" w:lineRule="exact"/>
        <w:rPr>
          <w:rFonts w:ascii="Arial" w:cs="Arial" w:eastAsia="Arial" w:hAnsi="Arial"/>
          <w:sz w:val="20"/>
          <w:szCs w:val="20"/>
          <w:color w:val="auto"/>
          <w:vertAlign w:val="superscript"/>
        </w:rPr>
      </w:pPr>
    </w:p>
    <w:p>
      <w:pPr>
        <w:spacing w:after="0" w:line="372"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Diluted Earnings Per Share</w:t>
      </w:r>
    </w:p>
    <w:p>
      <w:pPr>
        <w:spacing w:after="0" w:line="252" w:lineRule="exact"/>
        <w:rPr>
          <w:sz w:val="20"/>
          <w:szCs w:val="20"/>
          <w:color w:val="auto"/>
        </w:rPr>
      </w:pPr>
    </w:p>
    <w:p>
      <w:pPr>
        <w:jc w:val="both"/>
        <w:ind w:firstLine="247"/>
        <w:spacing w:after="0" w:line="252" w:lineRule="auto"/>
        <w:rPr>
          <w:sz w:val="20"/>
          <w:szCs w:val="20"/>
          <w:color w:val="auto"/>
        </w:rPr>
      </w:pPr>
      <w:r>
        <w:rPr>
          <w:rFonts w:ascii="Arial" w:cs="Arial" w:eastAsia="Arial" w:hAnsi="Arial"/>
          <w:sz w:val="17"/>
          <w:szCs w:val="17"/>
          <w:b w:val="1"/>
          <w:bCs w:val="1"/>
          <w:i w:val="1"/>
          <w:iCs w:val="1"/>
          <w:color w:val="auto"/>
        </w:rPr>
        <w:t>Adjusted Diluted Earnings Per Share</w:t>
      </w:r>
      <w:r>
        <w:rPr>
          <w:rFonts w:ascii="Arial" w:cs="Arial" w:eastAsia="Arial" w:hAnsi="Arial"/>
          <w:sz w:val="17"/>
          <w:szCs w:val="17"/>
          <w:color w:val="auto"/>
        </w:rPr>
        <w:t>. Adjusted Diluted Earnings Per Share is a non-GAAP financial measure commonly used in our industry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should not be construed as an alternative to diluted earnings per share as an indicator of operating performance. Simply Good Foods defines Adjusted Diluted Earnings Per Share as diluted earnings per share before depreciation and amortization, business transaction costs, stock-based compensation expense, inventory step-up, integration costs, restructuring costs, non-core legal costs, and other non-core expenses, on a theoretical tax effected basis of such adjustments at an assumed statutory rate. The Company believes that the inclusion of these supplementary adjustments in presenting Adjusted Diluted Earnings per Share, when used in conjunction with diluted earnings per share, are appropriate to provide additional information to investors, and management of the Company uses Adjusted Diluted Earnings Per Share to supplement diluted earnings per shares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Arial" w:cs="Arial" w:eastAsia="Arial" w:hAnsi="Arial"/>
          <w:sz w:val="17"/>
          <w:szCs w:val="17"/>
          <w:i w:val="1"/>
          <w:iCs w:val="1"/>
          <w:color w:val="auto"/>
        </w:rPr>
        <w:t>.</w:t>
      </w:r>
      <w:r>
        <w:rPr>
          <w:rFonts w:ascii="Arial" w:cs="Arial" w:eastAsia="Arial" w:hAnsi="Arial"/>
          <w:sz w:val="17"/>
          <w:szCs w:val="17"/>
          <w:color w:val="auto"/>
        </w:rPr>
        <w:t xml:space="preserve"> Adjusted Diluted Earnings per Share may not be comparable to other similarly titled captions of other companies due to differences in the non-GAAP calculation.</w:t>
      </w:r>
    </w:p>
    <w:p>
      <w:pPr>
        <w:spacing w:after="0" w:line="210" w:lineRule="exact"/>
        <w:rPr>
          <w:sz w:val="20"/>
          <w:szCs w:val="20"/>
          <w:color w:val="auto"/>
        </w:rPr>
      </w:pPr>
    </w:p>
    <w:p>
      <w:pPr>
        <w:jc w:val="both"/>
        <w:ind w:firstLine="206"/>
        <w:spacing w:after="0" w:line="261" w:lineRule="auto"/>
        <w:rPr>
          <w:sz w:val="20"/>
          <w:szCs w:val="20"/>
          <w:color w:val="auto"/>
        </w:rPr>
      </w:pPr>
      <w:r>
        <w:rPr>
          <w:rFonts w:ascii="Arial" w:cs="Arial" w:eastAsia="Arial" w:hAnsi="Arial"/>
          <w:sz w:val="18"/>
          <w:szCs w:val="18"/>
          <w:color w:val="auto"/>
        </w:rPr>
        <w:t>The following unaudited tables below provide a reconciliation of Adjusted Diluted Earnings Per Share to its most directly comparable GAAP measure, which is diluted earnings per share, for the thirteen and thirteen weeks ended November 28, 2020 and November 30, 2019:</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209"/>
        </w:trPr>
        <w:tc>
          <w:tcPr>
            <w:tcW w:w="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6"/>
                <w:szCs w:val="16"/>
                <w:color w:val="auto"/>
              </w:rPr>
              <w:t>Thirteen Weeks Ended</w:t>
            </w:r>
          </w:p>
        </w:tc>
      </w:tr>
      <w:tr>
        <w:trPr>
          <w:trHeight w:val="233"/>
        </w:trPr>
        <w:tc>
          <w:tcPr>
            <w:tcW w:w="2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60" w:type="dxa"/>
            <w:vAlign w:val="bottom"/>
            <w:gridSpan w:val="2"/>
          </w:tcPr>
          <w:p>
            <w:pPr>
              <w:jc w:val="right"/>
              <w:ind w:right="139"/>
              <w:spacing w:after="0"/>
              <w:rPr>
                <w:sz w:val="20"/>
                <w:szCs w:val="20"/>
                <w:color w:val="auto"/>
              </w:rPr>
            </w:pPr>
            <w:r>
              <w:rPr>
                <w:rFonts w:ascii="Arial" w:cs="Arial" w:eastAsia="Arial" w:hAnsi="Arial"/>
                <w:sz w:val="16"/>
                <w:szCs w:val="16"/>
                <w:color w:val="auto"/>
                <w:w w:val="93"/>
              </w:rPr>
              <w:t>November 28, 2020</w:t>
            </w:r>
          </w:p>
        </w:tc>
        <w:tc>
          <w:tcPr>
            <w:tcW w:w="1620" w:type="dxa"/>
            <w:vAlign w:val="bottom"/>
            <w:gridSpan w:val="2"/>
          </w:tcPr>
          <w:p>
            <w:pPr>
              <w:jc w:val="right"/>
              <w:ind w:right="139"/>
              <w:spacing w:after="0"/>
              <w:rPr>
                <w:sz w:val="20"/>
                <w:szCs w:val="20"/>
                <w:color w:val="auto"/>
              </w:rPr>
            </w:pPr>
            <w:r>
              <w:rPr>
                <w:rFonts w:ascii="Arial" w:cs="Arial" w:eastAsia="Arial" w:hAnsi="Arial"/>
                <w:sz w:val="16"/>
                <w:szCs w:val="16"/>
                <w:color w:val="auto"/>
                <w:w w:val="98"/>
              </w:rPr>
              <w:t>November 30, 2019</w:t>
            </w:r>
          </w:p>
        </w:tc>
      </w:tr>
      <w:tr>
        <w:trPr>
          <w:trHeight w:val="237"/>
        </w:trPr>
        <w:tc>
          <w:tcPr>
            <w:tcW w:w="4920" w:type="dxa"/>
            <w:vAlign w:val="bottom"/>
            <w:gridSpan w:val="2"/>
          </w:tcPr>
          <w:p>
            <w:pPr>
              <w:spacing w:after="0"/>
              <w:rPr>
                <w:sz w:val="20"/>
                <w:szCs w:val="20"/>
                <w:color w:val="auto"/>
              </w:rPr>
            </w:pPr>
            <w:r>
              <w:rPr>
                <w:rFonts w:ascii="Arial" w:cs="Arial" w:eastAsia="Arial" w:hAnsi="Arial"/>
                <w:sz w:val="16"/>
                <w:szCs w:val="16"/>
                <w:color w:val="auto"/>
              </w:rPr>
              <w:t>Diluted earnings (loss) per share</w:t>
            </w: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513"/>
        </w:trPr>
        <w:tc>
          <w:tcPr>
            <w:tcW w:w="49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16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0.03</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0.02</w:t>
            </w:r>
          </w:p>
        </w:tc>
      </w:tr>
      <w:tr>
        <w:trPr>
          <w:trHeight w:val="257"/>
        </w:trPr>
        <w:tc>
          <w:tcPr>
            <w:tcW w:w="4920" w:type="dxa"/>
            <w:vAlign w:val="bottom"/>
            <w:gridSpan w:val="2"/>
          </w:tcPr>
          <w:p>
            <w:pPr>
              <w:spacing w:after="0"/>
              <w:rPr>
                <w:sz w:val="20"/>
                <w:szCs w:val="20"/>
                <w:color w:val="auto"/>
              </w:rPr>
            </w:pPr>
            <w:r>
              <w:rPr>
                <w:rFonts w:ascii="Arial" w:cs="Arial" w:eastAsia="Arial" w:hAnsi="Arial"/>
                <w:sz w:val="16"/>
                <w:szCs w:val="16"/>
                <w:color w:val="auto"/>
              </w:rPr>
              <w:t>Business transaction costs</w:t>
            </w: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0.22</w:t>
            </w:r>
          </w:p>
        </w:tc>
      </w:tr>
      <w:tr>
        <w:trPr>
          <w:trHeight w:val="257"/>
        </w:trPr>
        <w:tc>
          <w:tcPr>
            <w:tcW w:w="49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21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0.01</w:t>
            </w:r>
          </w:p>
        </w:tc>
      </w:tr>
      <w:tr>
        <w:trPr>
          <w:trHeight w:val="257"/>
        </w:trPr>
        <w:tc>
          <w:tcPr>
            <w:tcW w:w="4920" w:type="dxa"/>
            <w:vAlign w:val="bottom"/>
            <w:gridSpan w:val="2"/>
          </w:tcPr>
          <w:p>
            <w:pPr>
              <w:spacing w:after="0"/>
              <w:rPr>
                <w:sz w:val="20"/>
                <w:szCs w:val="20"/>
                <w:color w:val="auto"/>
              </w:rPr>
            </w:pPr>
            <w:r>
              <w:rPr>
                <w:rFonts w:ascii="Arial" w:cs="Arial" w:eastAsia="Arial" w:hAnsi="Arial"/>
                <w:sz w:val="16"/>
                <w:szCs w:val="16"/>
                <w:color w:val="auto"/>
              </w:rPr>
              <w:t>Inventory step-up</w:t>
            </w: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0.02</w:t>
            </w:r>
          </w:p>
        </w:tc>
      </w:tr>
      <w:tr>
        <w:trPr>
          <w:trHeight w:val="256"/>
        </w:trPr>
        <w:tc>
          <w:tcPr>
            <w:tcW w:w="4920" w:type="dxa"/>
            <w:vAlign w:val="bottom"/>
            <w:gridSpan w:val="2"/>
          </w:tcPr>
          <w:p>
            <w:pPr>
              <w:spacing w:after="0"/>
              <w:rPr>
                <w:sz w:val="20"/>
                <w:szCs w:val="20"/>
                <w:color w:val="auto"/>
              </w:rPr>
            </w:pPr>
            <w:r>
              <w:rPr>
                <w:rFonts w:ascii="Arial" w:cs="Arial" w:eastAsia="Arial" w:hAnsi="Arial"/>
                <w:sz w:val="16"/>
                <w:szCs w:val="16"/>
                <w:color w:val="auto"/>
              </w:rPr>
              <w:t>Integration of Quest</w:t>
            </w:r>
          </w:p>
        </w:tc>
        <w:tc>
          <w:tcPr>
            <w:tcW w:w="21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0.01</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0.01</w:t>
            </w:r>
          </w:p>
        </w:tc>
      </w:tr>
      <w:tr>
        <w:trPr>
          <w:trHeight w:val="259"/>
        </w:trPr>
        <w:tc>
          <w:tcPr>
            <w:tcW w:w="4920" w:type="dxa"/>
            <w:vAlign w:val="bottom"/>
            <w:gridSpan w:val="2"/>
          </w:tcPr>
          <w:p>
            <w:pPr>
              <w:spacing w:after="0"/>
              <w:rPr>
                <w:sz w:val="20"/>
                <w:szCs w:val="20"/>
                <w:color w:val="auto"/>
              </w:rPr>
            </w:pPr>
            <w:r>
              <w:rPr>
                <w:rFonts w:ascii="Arial" w:cs="Arial" w:eastAsia="Arial" w:hAnsi="Arial"/>
                <w:sz w:val="16"/>
                <w:szCs w:val="16"/>
                <w:color w:val="auto"/>
              </w:rPr>
              <w:t>Restructuring</w:t>
            </w:r>
          </w:p>
        </w:tc>
        <w:tc>
          <w:tcPr>
            <w:tcW w:w="216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0"/>
        </w:trPr>
        <w:tc>
          <w:tcPr>
            <w:tcW w:w="220" w:type="dxa"/>
            <w:vAlign w:val="bottom"/>
          </w:tcPr>
          <w:p>
            <w:pPr>
              <w:spacing w:after="0"/>
              <w:rPr>
                <w:sz w:val="20"/>
                <w:szCs w:val="20"/>
                <w:color w:val="auto"/>
              </w:rPr>
            </w:pPr>
            <w:r>
              <w:rPr>
                <w:rFonts w:ascii="Arial" w:cs="Arial" w:eastAsia="Arial" w:hAnsi="Arial"/>
                <w:sz w:val="15"/>
                <w:szCs w:val="15"/>
                <w:color w:val="auto"/>
                <w:w w:val="72"/>
              </w:rPr>
              <w:t>Non</w:t>
            </w:r>
          </w:p>
        </w:tc>
        <w:tc>
          <w:tcPr>
            <w:tcW w:w="4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-core legal costs</w:t>
            </w:r>
          </w:p>
        </w:tc>
        <w:tc>
          <w:tcPr>
            <w:tcW w:w="2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920" w:type="dxa"/>
            <w:vAlign w:val="bottom"/>
            <w:gridSpan w:val="2"/>
          </w:tcPr>
          <w:p>
            <w:pPr>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20" w:type="dxa"/>
            <w:vAlign w:val="bottom"/>
          </w:tcPr>
          <w:p>
            <w:pPr>
              <w:spacing w:after="0"/>
              <w:rPr>
                <w:sz w:val="20"/>
                <w:szCs w:val="20"/>
                <w:color w:val="auto"/>
              </w:rPr>
            </w:pPr>
            <w:r>
              <w:rPr>
                <w:rFonts w:ascii="Arial" w:cs="Arial" w:eastAsia="Arial" w:hAnsi="Arial"/>
                <w:sz w:val="16"/>
                <w:szCs w:val="16"/>
                <w:color w:val="auto"/>
                <w:w w:val="80"/>
              </w:rPr>
              <w:t>Net</w:t>
            </w:r>
          </w:p>
        </w:tc>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impact on diluted earnings per share</w:t>
            </w:r>
          </w:p>
        </w:tc>
        <w:tc>
          <w:tcPr>
            <w:tcW w:w="2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56"/>
        </w:trPr>
        <w:tc>
          <w:tcPr>
            <w:tcW w:w="4920" w:type="dxa"/>
            <w:vAlign w:val="bottom"/>
            <w:gridSpan w:val="2"/>
          </w:tcPr>
          <w:p>
            <w:pPr>
              <w:spacing w:after="0"/>
              <w:rPr>
                <w:sz w:val="20"/>
                <w:szCs w:val="20"/>
                <w:color w:val="auto"/>
              </w:rPr>
            </w:pPr>
            <w:r>
              <w:rPr>
                <w:rFonts w:ascii="Arial" w:cs="Arial" w:eastAsia="Arial" w:hAnsi="Arial"/>
                <w:sz w:val="16"/>
                <w:szCs w:val="16"/>
                <w:color w:val="auto"/>
              </w:rPr>
              <w:t xml:space="preserve">Rounding </w:t>
            </w:r>
            <w:r>
              <w:rPr>
                <w:rFonts w:ascii="Arial" w:cs="Arial" w:eastAsia="Arial" w:hAnsi="Arial"/>
                <w:sz w:val="21"/>
                <w:szCs w:val="21"/>
                <w:color w:val="auto"/>
                <w:vertAlign w:val="superscript"/>
              </w:rPr>
              <w:t>(2)</w:t>
            </w:r>
          </w:p>
        </w:tc>
        <w:tc>
          <w:tcPr>
            <w:tcW w:w="2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20" w:type="dxa"/>
            <w:vAlign w:val="bottom"/>
            <w:gridSpan w:val="2"/>
          </w:tcPr>
          <w:p>
            <w:pPr>
              <w:spacing w:after="0"/>
              <w:rPr>
                <w:sz w:val="20"/>
                <w:szCs w:val="20"/>
                <w:color w:val="auto"/>
              </w:rPr>
            </w:pPr>
            <w:r>
              <w:rPr>
                <w:rFonts w:ascii="Arial" w:cs="Arial" w:eastAsia="Arial" w:hAnsi="Arial"/>
                <w:sz w:val="16"/>
                <w:szCs w:val="16"/>
                <w:color w:val="auto"/>
              </w:rPr>
              <w:t>Adjusted diluted earnings per share</w:t>
            </w: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0.22</w:t>
            </w:r>
          </w:p>
        </w:tc>
      </w:tr>
      <w:tr>
        <w:trPr>
          <w:trHeight w:val="20"/>
        </w:trPr>
        <w:tc>
          <w:tcPr>
            <w:tcW w:w="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-2133600</wp:posOffset>
            </wp:positionV>
            <wp:extent cx="637794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794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-1807845</wp:posOffset>
            </wp:positionV>
            <wp:extent cx="637794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7794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-1482090</wp:posOffset>
            </wp:positionV>
            <wp:extent cx="637794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7794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-1156970</wp:posOffset>
            </wp:positionV>
            <wp:extent cx="637794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77940" cy="16319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-179070</wp:posOffset>
            </wp:positionV>
            <wp:extent cx="637794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77940" cy="163195"/>
                    </a:xfrm>
                    <a:prstGeom prst="rect">
                      <a:avLst/>
                    </a:prstGeom>
                    <a:noFill/>
                  </pic:spPr>
                </pic:pic>
              </a:graphicData>
            </a:graphic>
          </wp:anchor>
        </w:drawing>
      </w:r>
    </w:p>
    <w:p>
      <w:pPr>
        <w:spacing w:after="0" w:line="24" w:lineRule="exact"/>
        <w:rPr>
          <w:sz w:val="20"/>
          <w:szCs w:val="20"/>
          <w:color w:val="auto"/>
        </w:rPr>
      </w:pPr>
    </w:p>
    <w:p>
      <w:pPr>
        <w:ind w:left="260" w:hanging="171"/>
        <w:spacing w:after="0"/>
        <w:tabs>
          <w:tab w:leader="none" w:pos="26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Other items consist principally of exchange impact of foreign currency transactions and other expenses.</w:t>
      </w:r>
    </w:p>
    <w:p>
      <w:pPr>
        <w:ind w:left="260" w:hanging="171"/>
        <w:spacing w:after="0" w:line="215" w:lineRule="auto"/>
        <w:tabs>
          <w:tab w:leader="none" w:pos="27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Adjusted Diluted Earnings Per Share amounts are computed independently for each quarter. Therefore, the sum of the quarterly Adjusted Diluted Earnings Per Share amounts may not equal the year to date Adjusted Diluted Earnings Per Share amounts due to rounding.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198"/>
        <w:spacing w:after="0" w:line="261"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198" w:lineRule="exact"/>
        <w:rPr>
          <w:sz w:val="20"/>
          <w:szCs w:val="20"/>
          <w:color w:val="auto"/>
        </w:rPr>
      </w:pPr>
    </w:p>
    <w:p>
      <w:pPr>
        <w:jc w:val="both"/>
        <w:ind w:firstLine="187"/>
        <w:spacing w:after="0" w:line="243" w:lineRule="auto"/>
        <w:rPr>
          <w:sz w:val="20"/>
          <w:szCs w:val="20"/>
          <w:color w:val="auto"/>
        </w:rPr>
      </w:pPr>
      <w:r>
        <w:rPr>
          <w:rFonts w:ascii="Arial" w:cs="Arial" w:eastAsia="Arial" w:hAnsi="Arial"/>
          <w:sz w:val="18"/>
          <w:szCs w:val="18"/>
          <w:color w:val="auto"/>
        </w:rPr>
        <w:t>We had $91.5 million in cash and cash equivalents as of November 28, 2020.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52" w:lineRule="exact"/>
        <w:rPr>
          <w:sz w:val="20"/>
          <w:szCs w:val="20"/>
          <w:color w:val="auto"/>
        </w:rPr>
      </w:pPr>
    </w:p>
    <w:p>
      <w:pPr>
        <w:jc w:val="both"/>
        <w:ind w:firstLine="184"/>
        <w:spacing w:after="0" w:line="254" w:lineRule="auto"/>
        <w:rPr>
          <w:sz w:val="20"/>
          <w:szCs w:val="20"/>
          <w:color w:val="auto"/>
        </w:rPr>
      </w:pPr>
      <w:r>
        <w:rPr>
          <w:rFonts w:ascii="Arial" w:cs="Arial" w:eastAsia="Arial" w:hAnsi="Arial"/>
          <w:sz w:val="17"/>
          <w:szCs w:val="17"/>
          <w:color w:val="auto"/>
        </w:rPr>
        <w:t>On July 7, 2017, we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is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we have pledged certain equity interests in its subsidiaries.</w:t>
      </w:r>
    </w:p>
    <w:p>
      <w:pPr>
        <w:spacing w:after="0" w:line="208" w:lineRule="exact"/>
        <w:rPr>
          <w:sz w:val="20"/>
          <w:szCs w:val="20"/>
          <w:color w:val="auto"/>
        </w:rPr>
      </w:pPr>
    </w:p>
    <w:p>
      <w:pPr>
        <w:jc w:val="both"/>
        <w:ind w:firstLine="200"/>
        <w:spacing w:after="0" w:line="255" w:lineRule="auto"/>
        <w:rPr>
          <w:sz w:val="20"/>
          <w:szCs w:val="20"/>
          <w:color w:val="auto"/>
        </w:rPr>
      </w:pPr>
      <w:r>
        <w:rPr>
          <w:rFonts w:ascii="Arial" w:cs="Arial" w:eastAsia="Arial" w:hAnsi="Arial"/>
          <w:sz w:val="17"/>
          <w:szCs w:val="17"/>
          <w:color w:val="auto"/>
        </w:rPr>
        <w:t>On March 16, 2018 (the “Amendment Date”), we entered into an amendment (the “Repricing Amendment”) to the Credit Agreement. As a result of the Repricing Amendment, the interest rate on the Term Loan was reduced and, as of the Amendment Date, such loans had an interest rate equal to, at our option, either LIBOR plus an applicable margin of 3.50% or a base rate plus an applicable margin of 2.50%. The Repricing Amendment did not change the interest rate on the Revolving Credit Facility. The Revolving Credit Facility continued to bear interest based upon our consolidated net leverage ratio as of the last financial statements delivered to the administrative agent. No additional debt was incurred, or any proceeds received, by us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207" w:lineRule="exact"/>
        <w:rPr>
          <w:sz w:val="20"/>
          <w:szCs w:val="20"/>
          <w:color w:val="auto"/>
        </w:rPr>
      </w:pPr>
    </w:p>
    <w:p>
      <w:pPr>
        <w:jc w:val="both"/>
        <w:ind w:firstLine="281"/>
        <w:spacing w:after="0"/>
        <w:rPr>
          <w:sz w:val="20"/>
          <w:szCs w:val="20"/>
          <w:color w:val="auto"/>
        </w:rPr>
      </w:pPr>
      <w:r>
        <w:rPr>
          <w:rFonts w:ascii="Arial" w:cs="Arial" w:eastAsia="Arial" w:hAnsi="Arial"/>
          <w:sz w:val="18"/>
          <w:szCs w:val="18"/>
          <w:color w:val="auto"/>
        </w:rPr>
        <w:t>On November 7, 2019, we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our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216" w:lineRule="exact"/>
        <w:rPr>
          <w:sz w:val="20"/>
          <w:szCs w:val="20"/>
          <w:color w:val="auto"/>
        </w:rPr>
      </w:pPr>
    </w:p>
    <w:p>
      <w:pPr>
        <w:jc w:val="both"/>
        <w:ind w:right="20" w:firstLine="184"/>
        <w:spacing w:after="0" w:line="270"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date is July 7, 2024.</w:t>
      </w:r>
    </w:p>
    <w:p>
      <w:pPr>
        <w:spacing w:after="0" w:line="191" w:lineRule="exact"/>
        <w:rPr>
          <w:sz w:val="20"/>
          <w:szCs w:val="20"/>
          <w:color w:val="auto"/>
        </w:rPr>
      </w:pPr>
    </w:p>
    <w:p>
      <w:pPr>
        <w:jc w:val="both"/>
        <w:ind w:firstLine="195"/>
        <w:spacing w:after="0" w:line="238" w:lineRule="auto"/>
        <w:rPr>
          <w:sz w:val="20"/>
          <w:szCs w:val="20"/>
          <w:color w:val="auto"/>
        </w:rPr>
      </w:pPr>
      <w:r>
        <w:rPr>
          <w:rFonts w:ascii="Arial" w:cs="Arial" w:eastAsia="Arial" w:hAnsi="Arial"/>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facilities may result in an event of default. We were in compliance with all financial covenants as of November 28, 2020 and August 29, 2020, respectively.</w:t>
      </w:r>
    </w:p>
    <w:p>
      <w:pPr>
        <w:spacing w:after="0" w:line="221" w:lineRule="exact"/>
        <w:rPr>
          <w:sz w:val="20"/>
          <w:szCs w:val="20"/>
          <w:color w:val="auto"/>
        </w:rPr>
      </w:pPr>
    </w:p>
    <w:p>
      <w:pPr>
        <w:jc w:val="both"/>
        <w:ind w:firstLine="205"/>
        <w:spacing w:after="0" w:line="248" w:lineRule="auto"/>
        <w:rPr>
          <w:sz w:val="20"/>
          <w:szCs w:val="20"/>
          <w:color w:val="auto"/>
        </w:rPr>
      </w:pPr>
      <w:r>
        <w:rPr>
          <w:rFonts w:ascii="Arial" w:cs="Arial" w:eastAsia="Arial" w:hAnsi="Arial"/>
          <w:sz w:val="18"/>
          <w:szCs w:val="18"/>
          <w:color w:val="auto"/>
        </w:rPr>
        <w:t>At November 28, 2020, the outstanding balance of the Term Facility was $581.5 million. We are not required to make principal payments on the Term Facility over the twelve months following the period ended November 28, 2020. As of November 28, 2020, there were no amounts drawn against the Revolving Credit Facility.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w:t>
      </w:r>
    </w:p>
    <w:p>
      <w:pPr>
        <w:spacing w:after="0" w:line="252" w:lineRule="exact"/>
        <w:rPr>
          <w:sz w:val="20"/>
          <w:szCs w:val="20"/>
          <w:color w:val="auto"/>
        </w:rPr>
      </w:pPr>
    </w:p>
    <w:p>
      <w:pPr>
        <w:jc w:val="both"/>
        <w:ind w:firstLine="241"/>
        <w:spacing w:after="0" w:line="243"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We paid $0.8 million for legal, accounting and registrations fees related to the Offering. The net proceeds were used to pay a portion of the purchase price and related fees and expenses for the Acquisition of Quest.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Quest</w:t>
      </w:r>
    </w:p>
    <w:p>
      <w:pPr>
        <w:spacing w:after="0" w:line="252" w:lineRule="exact"/>
        <w:rPr>
          <w:sz w:val="20"/>
          <w:szCs w:val="20"/>
          <w:color w:val="auto"/>
        </w:rPr>
      </w:pPr>
    </w:p>
    <w:p>
      <w:pPr>
        <w:jc w:val="both"/>
        <w:ind w:firstLine="211"/>
        <w:spacing w:after="0" w:line="241" w:lineRule="auto"/>
        <w:rPr>
          <w:sz w:val="20"/>
          <w:szCs w:val="20"/>
          <w:color w:val="auto"/>
        </w:rPr>
      </w:pPr>
      <w:r>
        <w:rPr>
          <w:rFonts w:ascii="Arial" w:cs="Arial" w:eastAsia="Arial" w:hAnsi="Arial"/>
          <w:sz w:val="18"/>
          <w:szCs w:val="18"/>
          <w:color w:val="auto"/>
        </w:rPr>
        <w:t>On August 21, 2019, our wholly-owned subsidiary Simply Good Foods USA, Inc., formerly known as Atkins Nutritionals, Inc. (“Simply Good USA”) entered into a Stock and Unit Purchase Agreement (the "Purchase Agreement") with VMG Voyage Holdings, LLC, VMG Tax-Exempt II, L.P., Voyage Employee Holdings, LLC, and other sellers, as defined in the Purchase Agreement, to acquire Quest, a healthy lifestyle food company. On November 7, 2019, pursuant to the Purchase Agreement, Simply Good USA completed the Acquisition of Quest, for a cash purchase price of approximately $1.0 billion, subject to customary post-closing adjustments.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60" w:lineRule="exact"/>
        <w:rPr>
          <w:sz w:val="20"/>
          <w:szCs w:val="20"/>
          <w:color w:val="auto"/>
        </w:rPr>
      </w:pPr>
    </w:p>
    <w:p>
      <w:pPr>
        <w:jc w:val="both"/>
        <w:ind w:firstLine="193"/>
        <w:spacing w:after="0" w:line="259" w:lineRule="auto"/>
        <w:rPr>
          <w:sz w:val="20"/>
          <w:szCs w:val="20"/>
          <w:color w:val="auto"/>
        </w:rPr>
      </w:pPr>
      <w:r>
        <w:rPr>
          <w:rFonts w:ascii="Arial" w:cs="Arial" w:eastAsia="Arial" w:hAnsi="Arial"/>
          <w:sz w:val="17"/>
          <w:szCs w:val="17"/>
          <w:color w:val="auto"/>
        </w:rPr>
        <w:t>The Acquisition of Quest was funded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of new term loan debt. In the third fiscal quarter of 2020, we received a post-closing release from escrow of approximately $2.1 million related to net working capital adjustments, resulting in a total net consideration paid of $986.8 million as of November 28, 2020. For the thirteen weeks ended November 30, 2019, we incurred business transaction costs $26.2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Company’s private placement warrants to purchase 6,700,000 shares of common stock remain outstanding.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600" w:type="dxa"/>
        <w:tblCellMar>
          <w:top w:w="0" w:type="dxa"/>
          <w:left w:w="0" w:type="dxa"/>
          <w:bottom w:w="0" w:type="dxa"/>
          <w:right w:w="0" w:type="dxa"/>
        </w:tblCellMar>
      </w:tblPr>
      <w:tr>
        <w:trPr>
          <w:trHeight w:val="209"/>
        </w:trPr>
        <w:tc>
          <w:tcPr>
            <w:tcW w:w="6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color w:val="auto"/>
              </w:rPr>
              <w:t>Thirteen Weeks Ended</w:t>
            </w:r>
          </w:p>
        </w:tc>
      </w:tr>
      <w:tr>
        <w:trPr>
          <w:trHeight w:val="236"/>
        </w:trPr>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color w:val="auto"/>
              </w:rPr>
              <w:t>November 28, 2020</w:t>
            </w:r>
          </w:p>
        </w:tc>
        <w:tc>
          <w:tcPr>
            <w:tcW w:w="12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November 30, 2019</w:t>
            </w:r>
          </w:p>
        </w:tc>
      </w:tr>
      <w:tr>
        <w:trPr>
          <w:trHeight w:val="23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15,197</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(7,928)</w:t>
            </w: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(985,731)</w:t>
            </w:r>
          </w:p>
        </w:tc>
      </w:tr>
      <w:tr>
        <w:trPr>
          <w:trHeight w:val="25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800,071</w:t>
            </w:r>
          </w:p>
        </w:tc>
      </w:tr>
    </w:tbl>
    <w:p>
      <w:pPr>
        <w:spacing w:after="0" w:line="310" w:lineRule="exact"/>
        <w:rPr>
          <w:sz w:val="20"/>
          <w:szCs w:val="20"/>
          <w:color w:val="auto"/>
        </w:rPr>
      </w:pPr>
    </w:p>
    <w:p>
      <w:pPr>
        <w:jc w:val="both"/>
        <w:ind w:firstLine="207"/>
        <w:spacing w:after="0" w:line="24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net cash provided by operating activities increased $23.1 million to $15.2 million for the thirteen weeks ended November 28,</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cash used in operating activities of $7.9 million for the thirteen weeks ended November 30, 2019. The increase in cash provided by operating activities was primarily driven by higher income before taxes due to the lack of significant business transaction and integration costs, partially offset by changes in working capital.</w:t>
      </w:r>
    </w:p>
    <w:p>
      <w:pPr>
        <w:spacing w:after="0" w:line="215" w:lineRule="exact"/>
        <w:rPr>
          <w:sz w:val="20"/>
          <w:szCs w:val="20"/>
          <w:color w:val="auto"/>
        </w:rPr>
      </w:pPr>
    </w:p>
    <w:p>
      <w:pPr>
        <w:jc w:val="both"/>
        <w:ind w:firstLine="180"/>
        <w:spacing w:after="0" w:line="294" w:lineRule="auto"/>
        <w:rPr>
          <w:sz w:val="20"/>
          <w:szCs w:val="20"/>
          <w:color w:val="auto"/>
        </w:rPr>
      </w:pPr>
      <w:r>
        <w:rPr>
          <w:rFonts w:ascii="Arial" w:cs="Arial" w:eastAsia="Arial" w:hAnsi="Arial"/>
          <w:sz w:val="16"/>
          <w:szCs w:val="16"/>
          <w:i w:val="1"/>
          <w:iCs w:val="1"/>
          <w:color w:val="auto"/>
        </w:rPr>
        <w:t xml:space="preserve">Investing </w:t>
      </w:r>
      <w:r>
        <w:rPr>
          <w:rFonts w:ascii="Arial" w:cs="Arial" w:eastAsia="Arial" w:hAnsi="Arial"/>
          <w:sz w:val="16"/>
          <w:szCs w:val="16"/>
          <w:color w:val="auto"/>
        </w:rPr>
        <w:t>activities. Our net cash provided by investing activities was $5.6 million for the thirteen weeks ended November 28, 2020, which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$5.8 million of cash proceeds received from the SimplyProtein Sale. The net cash used in investing activities of $985.7 million for the thirteen weeks ended November 30, 2019 was primarily related to the cash paid for the Acquisition of Quest, net of cash acquired, of $984.2 million.</w:t>
      </w:r>
    </w:p>
    <w:p>
      <w:pPr>
        <w:spacing w:after="0" w:line="174" w:lineRule="exact"/>
        <w:rPr>
          <w:sz w:val="20"/>
          <w:szCs w:val="20"/>
          <w:color w:val="auto"/>
        </w:rPr>
      </w:pPr>
    </w:p>
    <w:p>
      <w:pPr>
        <w:ind w:right="160" w:firstLine="180"/>
        <w:spacing w:after="0"/>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Our net cash used in financing activities was $25.1 million for the thirteen weeks ended November 28, 2020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financing activities of $800.1 million for the thirteen weeks ended November 30, 2019. Net cash used in financing activities for the thirteen weeks ended November 28, 2020 primarily consisted of a $25.0 million principal payment on the Term Facility. For the thirteen weeks ended November 30, 2019, net cash provided by financing activities included gross proceeds of $352.5 million from the Offering offset by issuance costs of $3.3 million, proceeds of $460.0 million from the Term Facility borrowing related to the Incremental Facility Amendment offset by issuance costs of $8.2 million, and a $1.0 million principal payment on the Term Facility.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267"/>
        <w:spacing w:after="0" w:line="261" w:lineRule="auto"/>
        <w:rPr>
          <w:sz w:val="20"/>
          <w:szCs w:val="20"/>
          <w:color w:val="auto"/>
        </w:rPr>
      </w:pPr>
      <w:r>
        <w:rPr>
          <w:rFonts w:ascii="Arial" w:cs="Arial" w:eastAsia="Arial" w:hAnsi="Arial"/>
          <w:sz w:val="18"/>
          <w:szCs w:val="18"/>
          <w:color w:val="auto"/>
        </w:rPr>
        <w:t>Our contractual obligations are related to our Credit Agreement and our finance and operating leases. There have been no material changes to our contractual obligations from our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232"/>
        <w:spacing w:after="0" w:line="248" w:lineRule="auto"/>
        <w:rPr>
          <w:sz w:val="20"/>
          <w:szCs w:val="20"/>
          <w:color w:val="auto"/>
        </w:rPr>
      </w:pPr>
      <w:r>
        <w:rPr>
          <w:rFonts w:ascii="Arial" w:cs="Arial" w:eastAsia="Arial" w:hAnsi="Arial"/>
          <w:sz w:val="18"/>
          <w:szCs w:val="18"/>
          <w:color w:val="auto"/>
        </w:rPr>
        <w:t>As of November 28, 2020, we had no material off-balance sheet arrangements that have or are reasonably likely to have a current or future material effect on our financial condition, changes in financial condition, income or expenses, results of operations, liquidity, capital expenditures or capital resources.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jc w:val="both"/>
        <w:ind w:right="20" w:firstLine="208"/>
        <w:spacing w:after="0" w:line="294" w:lineRule="auto"/>
        <w:rPr>
          <w:sz w:val="20"/>
          <w:szCs w:val="20"/>
          <w:color w:val="auto"/>
        </w:rPr>
      </w:pPr>
      <w:r>
        <w:rPr>
          <w:rFonts w:ascii="Arial" w:cs="Arial" w:eastAsia="Arial" w:hAnsi="Arial"/>
          <w:sz w:val="16"/>
          <w:szCs w:val="16"/>
          <w:color w:val="auto"/>
        </w:rPr>
        <w:t>For a description of critical accounting policies that affect our significant judgments and estimates used in the preparation of our consolidated financial statements, refer to our Annual Report. There have been no significant changes to our critical accounting policies since August 29, 2020. Refer to Note 2 of our unaudited interim condensed consolidated financial statements in this Report for further information regarding recently issued accounting standards.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204"/>
        <w:spacing w:after="0" w:line="261" w:lineRule="auto"/>
        <w:rPr>
          <w:sz w:val="20"/>
          <w:szCs w:val="20"/>
          <w:color w:val="auto"/>
        </w:rPr>
      </w:pPr>
      <w:r>
        <w:rPr>
          <w:rFonts w:ascii="Arial" w:cs="Arial" w:eastAsia="Arial" w:hAnsi="Arial"/>
          <w:sz w:val="18"/>
          <w:szCs w:val="18"/>
          <w:color w:val="auto"/>
        </w:rPr>
        <w:t>There were no material changes in our market risk exposure during the thirteen week period ended November 28, 2020. For a discussion of our market risks, see “Quantitative and Qualitative Disclosures About Market Risk” in Part II, Item 7A of our Annual Report.</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183"/>
        <w:spacing w:after="0" w:line="241"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6" w:lineRule="exact"/>
        <w:rPr>
          <w:sz w:val="20"/>
          <w:szCs w:val="20"/>
          <w:color w:val="auto"/>
        </w:rPr>
      </w:pPr>
    </w:p>
    <w:p>
      <w:pPr>
        <w:jc w:val="both"/>
        <w:ind w:firstLine="191"/>
        <w:spacing w:after="0" w:line="243"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November 28, 2020, the Company’s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212"/>
        <w:spacing w:after="0" w:line="239" w:lineRule="auto"/>
        <w:rPr>
          <w:sz w:val="20"/>
          <w:szCs w:val="20"/>
          <w:color w:val="auto"/>
        </w:rPr>
      </w:pPr>
      <w:r>
        <w:rPr>
          <w:rFonts w:ascii="Arial" w:cs="Arial" w:eastAsia="Arial" w:hAnsi="Arial"/>
          <w:sz w:val="18"/>
          <w:szCs w:val="18"/>
          <w:color w:val="auto"/>
        </w:rPr>
        <w:t>As of the first day of fiscal year 2021, the financial reporting of the Company's U.S. operations were fully integrated onto a single enterprise resource platform. Other than the integration and implementation of the enterprise resource platform, there were no changes in our internal controls over financial reporting during the quarter ended November 28, 2020 that have materially affected, or are reasonably likely to materially affect, our internal controls over financial reporting.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6" w:lineRule="exact"/>
        <w:rPr>
          <w:sz w:val="20"/>
          <w:szCs w:val="20"/>
          <w:color w:val="auto"/>
        </w:rPr>
      </w:pPr>
    </w:p>
    <w:p>
      <w:pPr>
        <w:jc w:val="both"/>
        <w:ind w:firstLine="238"/>
        <w:spacing w:after="0" w:line="24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269"/>
        <w:spacing w:after="0" w:line="248"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263"/>
        <w:spacing w:after="0" w:line="262" w:lineRule="auto"/>
        <w:rPr>
          <w:sz w:val="20"/>
          <w:szCs w:val="20"/>
          <w:color w:val="auto"/>
        </w:rPr>
      </w:pPr>
      <w:r>
        <w:rPr>
          <w:rFonts w:ascii="Arial" w:cs="Arial" w:eastAsia="Arial" w:hAnsi="Arial"/>
          <w:sz w:val="17"/>
          <w:szCs w:val="17"/>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120" w:type="dxa"/>
            <w:vAlign w:val="bottom"/>
          </w:tcPr>
          <w:p>
            <w:pPr>
              <w:ind w:left="20"/>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9120" w:type="dxa"/>
            <w:vAlign w:val="bottom"/>
          </w:tcPr>
          <w:p>
            <w:pPr>
              <w:spacing w:after="0"/>
              <w:rPr>
                <w:sz w:val="18"/>
                <w:szCs w:val="18"/>
                <w:color w:val="auto"/>
              </w:rPr>
            </w:pPr>
          </w:p>
        </w:tc>
      </w:tr>
      <w:tr>
        <w:trPr>
          <w:trHeight w:val="60"/>
        </w:trPr>
        <w:tc>
          <w:tcPr>
            <w:tcW w:w="7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r>
      <w:tr>
        <w:trPr>
          <w:trHeight w:val="217"/>
        </w:trPr>
        <w:tc>
          <w:tcPr>
            <w:tcW w:w="76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FF"/>
              </w:rPr>
            </w:pPr>
            <w:hyperlink w:anchor="page36">
              <w:r>
                <w:rPr>
                  <w:rFonts w:ascii="Arial" w:cs="Arial" w:eastAsia="Arial" w:hAnsi="Arial"/>
                  <w:sz w:val="16"/>
                  <w:szCs w:val="16"/>
                  <w:u w:val="single" w:color="auto"/>
                  <w:color w:val="0000FF"/>
                </w:rPr>
                <w:t>31.1</w:t>
              </w:r>
            </w:hyperlink>
          </w:p>
        </w:tc>
        <w:tc>
          <w:tcPr>
            <w:tcW w:w="140" w:type="dxa"/>
            <w:vAlign w:val="bottom"/>
            <w:tcBorders>
              <w:bottom w:val="single" w:sz="8" w:color="CCEEFF"/>
            </w:tcBorders>
            <w:shd w:val="clear" w:color="auto" w:fill="CCEEFF"/>
          </w:tcPr>
          <w:p>
            <w:pPr>
              <w:spacing w:after="0"/>
              <w:rPr>
                <w:sz w:val="18"/>
                <w:szCs w:val="18"/>
                <w:color w:val="auto"/>
              </w:rPr>
            </w:pPr>
          </w:p>
        </w:tc>
        <w:tc>
          <w:tcPr>
            <w:tcW w:w="9120" w:type="dxa"/>
            <w:vAlign w:val="bottom"/>
            <w:tcBorders>
              <w:bottom w:val="single" w:sz="8" w:color="CCEEFF"/>
            </w:tcBorders>
            <w:shd w:val="clear" w:color="auto" w:fill="CCEEFF"/>
          </w:tcPr>
          <w:p>
            <w:pPr>
              <w:ind w:left="20"/>
              <w:spacing w:after="0"/>
              <w:rPr>
                <w:rFonts w:ascii="Arial" w:cs="Arial" w:eastAsia="Arial" w:hAnsi="Arial"/>
                <w:sz w:val="16"/>
                <w:szCs w:val="16"/>
                <w:color w:val="0000FF"/>
              </w:rPr>
            </w:pPr>
            <w:hyperlink w:anchor="page36">
              <w:r>
                <w:rPr>
                  <w:rFonts w:ascii="Arial" w:cs="Arial" w:eastAsia="Arial" w:hAnsi="Arial"/>
                  <w:sz w:val="16"/>
                  <w:szCs w:val="16"/>
                  <w:u w:val="single" w:color="auto"/>
                  <w:color w:val="0000FF"/>
                </w:rPr>
                <w:t>Certification of Principal Executive Officer pursuant to Section 302 of the Sarbanes Oxley Act of 2002</w:t>
              </w:r>
              <w:r>
                <w:rPr>
                  <w:rFonts w:ascii="Arial" w:cs="Arial" w:eastAsia="Arial" w:hAnsi="Arial"/>
                  <w:sz w:val="16"/>
                  <w:szCs w:val="16"/>
                  <w:color w:val="0000FF"/>
                </w:rPr>
                <w:t>.</w:t>
              </w:r>
            </w:hyperlink>
          </w:p>
        </w:tc>
      </w:tr>
      <w:tr>
        <w:trPr>
          <w:trHeight w:val="213"/>
        </w:trPr>
        <w:tc>
          <w:tcPr>
            <w:tcW w:w="760" w:type="dxa"/>
            <w:vAlign w:val="bottom"/>
          </w:tcPr>
          <w:p>
            <w:pPr>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31.2</w:t>
              </w:r>
            </w:hyperlink>
          </w:p>
        </w:tc>
        <w:tc>
          <w:tcPr>
            <w:tcW w:w="140" w:type="dxa"/>
            <w:vAlign w:val="bottom"/>
          </w:tcPr>
          <w:p>
            <w:pPr>
              <w:spacing w:after="0"/>
              <w:rPr>
                <w:sz w:val="18"/>
                <w:szCs w:val="18"/>
                <w:color w:val="auto"/>
              </w:rPr>
            </w:pPr>
          </w:p>
        </w:tc>
        <w:tc>
          <w:tcPr>
            <w:tcW w:w="9120" w:type="dxa"/>
            <w:vAlign w:val="bottom"/>
          </w:tcPr>
          <w:p>
            <w:pPr>
              <w:ind w:left="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Certification of Principal Financial Officer pursuant to Section 302 of the Sarbanes Oxley Act of 2002.</w:t>
              </w:r>
            </w:hyperlink>
          </w:p>
        </w:tc>
      </w:tr>
      <w:tr>
        <w:trPr>
          <w:trHeight w:val="239"/>
        </w:trPr>
        <w:tc>
          <w:tcPr>
            <w:tcW w:w="76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32.1</w:t>
              </w:r>
            </w:hyperlink>
          </w:p>
        </w:tc>
        <w:tc>
          <w:tcPr>
            <w:tcW w:w="140" w:type="dxa"/>
            <w:vAlign w:val="bottom"/>
            <w:tcBorders>
              <w:bottom w:val="single" w:sz="8" w:color="CCEEFF"/>
            </w:tcBorders>
            <w:shd w:val="clear" w:color="auto" w:fill="CCEEFF"/>
          </w:tcPr>
          <w:p>
            <w:pPr>
              <w:spacing w:after="0"/>
              <w:rPr>
                <w:sz w:val="20"/>
                <w:szCs w:val="20"/>
                <w:color w:val="auto"/>
              </w:rPr>
            </w:pPr>
          </w:p>
        </w:tc>
        <w:tc>
          <w:tcPr>
            <w:tcW w:w="9120" w:type="dxa"/>
            <w:vAlign w:val="bottom"/>
            <w:tcBorders>
              <w:bottom w:val="single" w:sz="8" w:color="CCEEFF"/>
            </w:tcBorders>
            <w:shd w:val="clear" w:color="auto" w:fill="CCEEFF"/>
          </w:tcPr>
          <w:p>
            <w:pPr>
              <w:ind w:left="20"/>
              <w:spacing w:after="0"/>
              <w:rPr>
                <w:rFonts w:ascii="Arial" w:cs="Arial" w:eastAsia="Arial" w:hAnsi="Arial"/>
                <w:sz w:val="16"/>
                <w:szCs w:val="16"/>
                <w:u w:val="single" w:color="auto"/>
                <w:color w:val="0000FF"/>
              </w:rPr>
            </w:pPr>
            <w:hyperlink w:anchor="page38">
              <w:r>
                <w:rPr>
                  <w:rFonts w:ascii="Arial" w:cs="Arial" w:eastAsia="Arial" w:hAnsi="Arial"/>
                  <w:sz w:val="16"/>
                  <w:szCs w:val="16"/>
                  <w:u w:val="single" w:color="auto"/>
                  <w:color w:val="0000FF"/>
                </w:rPr>
                <w:t>Certification of Principal Executive Officer and Principal Financial Officer pursuant to Section 906 of the Sarbanes Oxley Act.</w:t>
              </w:r>
            </w:hyperlink>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101.INS</w:t>
            </w:r>
          </w:p>
        </w:tc>
        <w:tc>
          <w:tcPr>
            <w:tcW w:w="9120" w:type="dxa"/>
            <w:vAlign w:val="bottom"/>
          </w:tcPr>
          <w:p>
            <w:pPr>
              <w:ind w:left="20"/>
              <w:spacing w:after="0"/>
              <w:rPr>
                <w:sz w:val="20"/>
                <w:szCs w:val="20"/>
                <w:color w:val="auto"/>
              </w:rPr>
            </w:pPr>
            <w:r>
              <w:rPr>
                <w:rFonts w:ascii="Arial" w:cs="Arial" w:eastAsia="Arial" w:hAnsi="Arial"/>
                <w:sz w:val="16"/>
                <w:szCs w:val="16"/>
                <w:color w:val="auto"/>
              </w:rPr>
              <w:t>XBRL Instance Document</w:t>
            </w:r>
          </w:p>
        </w:tc>
      </w:tr>
      <w:tr>
        <w:trPr>
          <w:trHeight w:val="46"/>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12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101.SCH</w:t>
            </w: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XBRL Taxonomy Extension Schema 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101.CAL</w:t>
            </w:r>
          </w:p>
        </w:tc>
        <w:tc>
          <w:tcPr>
            <w:tcW w:w="9120" w:type="dxa"/>
            <w:vAlign w:val="bottom"/>
          </w:tcPr>
          <w:p>
            <w:pPr>
              <w:ind w:left="2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7"/>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120" w:type="dxa"/>
            <w:vAlign w:val="bottom"/>
          </w:tcPr>
          <w:p>
            <w:pPr>
              <w:spacing w:after="0"/>
              <w:rPr>
                <w:sz w:val="4"/>
                <w:szCs w:val="4"/>
                <w:color w:val="auto"/>
              </w:rPr>
            </w:pPr>
          </w:p>
        </w:tc>
      </w:tr>
      <w:tr>
        <w:trPr>
          <w:trHeight w:val="237"/>
        </w:trPr>
        <w:tc>
          <w:tcPr>
            <w:tcW w:w="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101.DEF</w:t>
            </w: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0"/>
        </w:trPr>
        <w:tc>
          <w:tcPr>
            <w:tcW w:w="900" w:type="dxa"/>
            <w:vAlign w:val="bottom"/>
            <w:gridSpan w:val="2"/>
          </w:tcPr>
          <w:p>
            <w:pPr>
              <w:spacing w:after="0"/>
              <w:rPr>
                <w:sz w:val="20"/>
                <w:szCs w:val="20"/>
                <w:color w:val="auto"/>
              </w:rPr>
            </w:pPr>
            <w:r>
              <w:rPr>
                <w:rFonts w:ascii="Arial" w:cs="Arial" w:eastAsia="Arial" w:hAnsi="Arial"/>
                <w:sz w:val="16"/>
                <w:szCs w:val="16"/>
                <w:color w:val="auto"/>
              </w:rPr>
              <w:t>101.LAB</w:t>
            </w:r>
          </w:p>
        </w:tc>
        <w:tc>
          <w:tcPr>
            <w:tcW w:w="9120" w:type="dxa"/>
            <w:vAlign w:val="bottom"/>
          </w:tcPr>
          <w:p>
            <w:pPr>
              <w:ind w:left="20"/>
              <w:spacing w:after="0"/>
              <w:rPr>
                <w:sz w:val="20"/>
                <w:szCs w:val="20"/>
                <w:color w:val="auto"/>
              </w:rPr>
            </w:pPr>
            <w:r>
              <w:rPr>
                <w:rFonts w:ascii="Arial" w:cs="Arial" w:eastAsia="Arial" w:hAnsi="Arial"/>
                <w:sz w:val="16"/>
                <w:szCs w:val="16"/>
                <w:color w:val="auto"/>
              </w:rPr>
              <w:t>XBRL Taxonomy Extension Label Linkbase Document</w:t>
            </w:r>
          </w:p>
        </w:tc>
      </w:tr>
      <w:tr>
        <w:trPr>
          <w:trHeight w:val="46"/>
        </w:trPr>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120" w:type="dxa"/>
            <w:vAlign w:val="bottom"/>
          </w:tcPr>
          <w:p>
            <w:pPr>
              <w:spacing w:after="0"/>
              <w:rPr>
                <w:sz w:val="4"/>
                <w:szCs w:val="4"/>
                <w:color w:val="auto"/>
              </w:rPr>
            </w:pPr>
          </w:p>
        </w:tc>
      </w:tr>
      <w:tr>
        <w:trPr>
          <w:trHeight w:val="210"/>
        </w:trPr>
        <w:tc>
          <w:tcPr>
            <w:tcW w:w="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101.PRE</w:t>
            </w:r>
          </w:p>
        </w:tc>
        <w:tc>
          <w:tcPr>
            <w:tcW w:w="9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6"/>
        </w:trPr>
        <w:tc>
          <w:tcPr>
            <w:tcW w:w="7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120" w:type="dxa"/>
            <w:vAlign w:val="bottom"/>
            <w:shd w:val="clear" w:color="auto" w:fill="CCEEFF"/>
          </w:tcPr>
          <w:p>
            <w:pPr>
              <w:spacing w:after="0"/>
              <w:rPr>
                <w:sz w:val="4"/>
                <w:szCs w:val="4"/>
                <w:color w:val="auto"/>
              </w:rPr>
            </w:pPr>
          </w:p>
        </w:tc>
      </w:tr>
    </w:tbl>
    <w:p>
      <w:pPr>
        <w:spacing w:after="0" w:line="4" w:lineRule="exact"/>
        <w:rPr>
          <w:sz w:val="20"/>
          <w:szCs w:val="20"/>
          <w:color w:val="auto"/>
        </w:rPr>
      </w:pPr>
    </w:p>
    <w:p>
      <w:pPr>
        <w:ind w:left="1540" w:hanging="913"/>
        <w:spacing w:after="0"/>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5" w:right="9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THE SIMPLY GOOD FOODS COMPANY</w:t>
            </w:r>
          </w:p>
        </w:tc>
      </w:tr>
      <w:tr>
        <w:trPr>
          <w:trHeight w:val="408"/>
        </w:trPr>
        <w:tc>
          <w:tcPr>
            <w:tcW w:w="2360" w:type="dxa"/>
            <w:vAlign w:val="bottom"/>
          </w:tcPr>
          <w:p>
            <w:pPr>
              <w:spacing w:after="0"/>
              <w:rPr>
                <w:sz w:val="24"/>
                <w:szCs w:val="24"/>
                <w:color w:val="auto"/>
              </w:rPr>
            </w:pPr>
          </w:p>
        </w:tc>
        <w:tc>
          <w:tcPr>
            <w:tcW w:w="5580" w:type="dxa"/>
            <w:vAlign w:val="bottom"/>
            <w:gridSpan w:val="2"/>
          </w:tcPr>
          <w:p>
            <w:pPr>
              <w:ind w:left="920"/>
              <w:spacing w:after="0"/>
              <w:rPr>
                <w:sz w:val="20"/>
                <w:szCs w:val="20"/>
                <w:color w:val="auto"/>
              </w:rPr>
            </w:pPr>
            <w:r>
              <w:rPr>
                <w:rFonts w:ascii="Arial" w:cs="Arial" w:eastAsia="Arial" w:hAnsi="Arial"/>
                <w:sz w:val="16"/>
                <w:szCs w:val="16"/>
                <w:color w:val="auto"/>
              </w:rPr>
              <w:t>By: /s/ Timothy A. Matthews</w:t>
            </w:r>
          </w:p>
        </w:tc>
      </w:tr>
      <w:tr>
        <w:trPr>
          <w:trHeight w:val="20"/>
        </w:trPr>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9"/>
        </w:trPr>
        <w:tc>
          <w:tcPr>
            <w:tcW w:w="2360" w:type="dxa"/>
            <w:vAlign w:val="bottom"/>
          </w:tcPr>
          <w:p>
            <w:pPr>
              <w:spacing w:after="0"/>
              <w:rPr>
                <w:sz w:val="20"/>
                <w:szCs w:val="20"/>
                <w:color w:val="auto"/>
              </w:rPr>
            </w:pPr>
            <w:r>
              <w:rPr>
                <w:rFonts w:ascii="Arial" w:cs="Arial" w:eastAsia="Arial" w:hAnsi="Arial"/>
                <w:sz w:val="16"/>
                <w:szCs w:val="16"/>
                <w:color w:val="auto"/>
              </w:rPr>
              <w:t>Date:   January 7, 2021</w:t>
            </w:r>
          </w:p>
        </w:tc>
        <w:tc>
          <w:tcPr>
            <w:tcW w:w="5580" w:type="dxa"/>
            <w:vAlign w:val="bottom"/>
            <w:gridSpan w:val="2"/>
          </w:tcPr>
          <w:p>
            <w:pPr>
              <w:ind w:left="720"/>
              <w:spacing w:after="0"/>
              <w:rPr>
                <w:sz w:val="20"/>
                <w:szCs w:val="20"/>
                <w:color w:val="auto"/>
              </w:rPr>
            </w:pPr>
            <w:r>
              <w:rPr>
                <w:rFonts w:ascii="Arial" w:cs="Arial" w:eastAsia="Arial" w:hAnsi="Arial"/>
                <w:sz w:val="32"/>
                <w:szCs w:val="32"/>
                <w:color w:val="auto"/>
                <w:vertAlign w:val="subscript"/>
              </w:rPr>
              <w:t>Name:</w:t>
            </w:r>
            <w:r>
              <w:rPr>
                <w:rFonts w:ascii="Arial" w:cs="Arial" w:eastAsia="Arial" w:hAnsi="Arial"/>
                <w:sz w:val="16"/>
                <w:szCs w:val="16"/>
                <w:color w:val="auto"/>
              </w:rPr>
              <w:t xml:space="preserve"> Timothy A. Matthews</w:t>
            </w:r>
          </w:p>
        </w:tc>
      </w:tr>
      <w:tr>
        <w:trPr>
          <w:trHeight w:val="324"/>
        </w:trPr>
        <w:tc>
          <w:tcPr>
            <w:tcW w:w="2360" w:type="dxa"/>
            <w:vAlign w:val="bottom"/>
          </w:tcPr>
          <w:p>
            <w:pPr>
              <w:spacing w:after="0"/>
              <w:rPr>
                <w:sz w:val="24"/>
                <w:szCs w:val="24"/>
                <w:color w:val="auto"/>
              </w:rPr>
            </w:pPr>
          </w:p>
        </w:tc>
        <w:tc>
          <w:tcPr>
            <w:tcW w:w="5580" w:type="dxa"/>
            <w:vAlign w:val="bottom"/>
            <w:gridSpan w:val="2"/>
          </w:tcPr>
          <w:p>
            <w:pPr>
              <w:ind w:left="800"/>
              <w:spacing w:after="0" w:line="324" w:lineRule="exact"/>
              <w:rPr>
                <w:sz w:val="20"/>
                <w:szCs w:val="20"/>
                <w:color w:val="auto"/>
              </w:rPr>
            </w:pPr>
            <w:r>
              <w:rPr>
                <w:rFonts w:ascii="Arial" w:cs="Arial" w:eastAsia="Arial" w:hAnsi="Arial"/>
                <w:sz w:val="32"/>
                <w:szCs w:val="32"/>
                <w:color w:val="auto"/>
                <w:vertAlign w:val="subscript"/>
              </w:rPr>
              <w:t>Title:</w:t>
            </w:r>
            <w:r>
              <w:rPr>
                <w:rFonts w:ascii="Arial" w:cs="Arial" w:eastAsia="Arial" w:hAnsi="Arial"/>
                <w:sz w:val="16"/>
                <w:szCs w:val="16"/>
                <w:color w:val="auto"/>
              </w:rPr>
              <w:t xml:space="preserve"> Vice President, Controller, and Chief Accounting Officer</w:t>
            </w:r>
          </w:p>
        </w:tc>
      </w:tr>
      <w:tr>
        <w:trPr>
          <w:trHeight w:val="206"/>
        </w:trPr>
        <w:tc>
          <w:tcPr>
            <w:tcW w:w="2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60"/>
          </w:cols>
          <w:pgMar w:left="320" w:top="125" w:right="11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2260" w:type="dxa"/>
            <w:vAlign w:val="bottom"/>
          </w:tcPr>
          <w:p>
            <w:pPr>
              <w:spacing w:after="0"/>
              <w:rPr>
                <w:sz w:val="20"/>
                <w:szCs w:val="20"/>
                <w:color w:val="auto"/>
              </w:rPr>
            </w:pPr>
            <w:r>
              <w:rPr>
                <w:rFonts w:ascii="Arial" w:cs="Arial" w:eastAsia="Arial" w:hAnsi="Arial"/>
                <w:sz w:val="16"/>
                <w:szCs w:val="16"/>
                <w:color w:val="auto"/>
              </w:rPr>
              <w:t>Date: January 7, 2021  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2260" w:type="dxa"/>
            <w:vAlign w:val="bottom"/>
            <w:vMerge w:val="restart"/>
          </w:tcPr>
          <w:p>
            <w:pPr>
              <w:ind w:left="15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2260" w:type="dxa"/>
            <w:vAlign w:val="bottom"/>
          </w:tcPr>
          <w:p>
            <w:pPr>
              <w:ind w:left="15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420" w:hanging="23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ind w:firstLine="232"/>
        <w:spacing w:after="0" w:line="342" w:lineRule="auto"/>
        <w:tabs>
          <w:tab w:leader="none" w:pos="471"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236"/>
        <w:spacing w:after="0" w:line="277" w:lineRule="auto"/>
        <w:tabs>
          <w:tab w:leader="none" w:pos="477" w:val="left"/>
        </w:tabs>
        <w:numPr>
          <w:ilvl w:val="2"/>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276"/>
        <w:spacing w:after="0" w:line="263" w:lineRule="auto"/>
        <w:tabs>
          <w:tab w:leader="none" w:pos="534" w:val="left"/>
        </w:tabs>
        <w:numPr>
          <w:ilvl w:val="3"/>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4"/>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4"/>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4"/>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223"/>
        <w:spacing w:after="0" w:line="308" w:lineRule="auto"/>
        <w:tabs>
          <w:tab w:leader="none" w:pos="454" w:val="left"/>
        </w:tabs>
        <w:numPr>
          <w:ilvl w:val="2"/>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4"/>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4"/>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2260" w:type="dxa"/>
            <w:vAlign w:val="bottom"/>
          </w:tcPr>
          <w:p>
            <w:pPr>
              <w:spacing w:after="0"/>
              <w:rPr>
                <w:sz w:val="20"/>
                <w:szCs w:val="20"/>
                <w:color w:val="auto"/>
              </w:rPr>
            </w:pPr>
            <w:r>
              <w:rPr>
                <w:rFonts w:ascii="Arial" w:cs="Arial" w:eastAsia="Arial" w:hAnsi="Arial"/>
                <w:sz w:val="16"/>
                <w:szCs w:val="16"/>
                <w:color w:val="auto"/>
              </w:rPr>
              <w:t>Date: January 7, 2021  By:</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59"/>
        </w:trPr>
        <w:tc>
          <w:tcPr>
            <w:tcW w:w="2260" w:type="dxa"/>
            <w:vAlign w:val="bottom"/>
          </w:tcPr>
          <w:p>
            <w:pPr>
              <w:spacing w:after="0"/>
              <w:rPr>
                <w:sz w:val="4"/>
                <w:szCs w:val="4"/>
                <w:color w:val="auto"/>
              </w:rPr>
            </w:pPr>
          </w:p>
        </w:tc>
        <w:tc>
          <w:tcPr>
            <w:tcW w:w="3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15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22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60" w:type="dxa"/>
            <w:vAlign w:val="bottom"/>
          </w:tcPr>
          <w:p>
            <w:pPr>
              <w:ind w:left="15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184"/>
        <w:spacing w:after="0" w:line="286" w:lineRule="auto"/>
        <w:rPr>
          <w:sz w:val="20"/>
          <w:szCs w:val="20"/>
          <w:color w:val="auto"/>
        </w:rPr>
      </w:pPr>
      <w:r>
        <w:rPr>
          <w:rFonts w:ascii="Arial" w:cs="Arial" w:eastAsia="Arial" w:hAnsi="Arial"/>
          <w:sz w:val="17"/>
          <w:szCs w:val="17"/>
          <w:color w:val="auto"/>
        </w:rPr>
        <w:t>In connection with the Quarterly Report of The Simply Good Foods Company (the “Company”) on Form 10-Q for the fiscal period ended November 28, 2020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92" w:lineRule="exact"/>
        <w:rPr>
          <w:sz w:val="20"/>
          <w:szCs w:val="20"/>
          <w:color w:val="auto"/>
        </w:rPr>
      </w:pPr>
    </w:p>
    <w:p>
      <w:pPr>
        <w:ind w:left="360" w:hanging="17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firstLine="259"/>
        <w:spacing w:after="0" w:line="277" w:lineRule="auto"/>
        <w:tabs>
          <w:tab w:leader="none" w:pos="4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40" w:lineRule="exact"/>
        <w:rPr>
          <w:sz w:val="20"/>
          <w:szCs w:val="20"/>
          <w:color w:val="auto"/>
        </w:rPr>
      </w:pPr>
    </w:p>
    <w:p>
      <w:pPr>
        <w:ind w:firstLine="17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220" w:type="dxa"/>
        <w:tblCellMar>
          <w:top w:w="0" w:type="dxa"/>
          <w:left w:w="0" w:type="dxa"/>
          <w:bottom w:w="0" w:type="dxa"/>
          <w:right w:w="0" w:type="dxa"/>
        </w:tblCellMar>
      </w:tblPr>
      <w:tr>
        <w:trPr>
          <w:trHeight w:val="220"/>
        </w:trPr>
        <w:tc>
          <w:tcPr>
            <w:tcW w:w="1500" w:type="dxa"/>
            <w:vAlign w:val="bottom"/>
          </w:tcPr>
          <w:p>
            <w:pPr>
              <w:spacing w:after="0"/>
              <w:rPr>
                <w:sz w:val="20"/>
                <w:szCs w:val="20"/>
                <w:color w:val="auto"/>
              </w:rPr>
            </w:pPr>
            <w:r>
              <w:rPr>
                <w:rFonts w:ascii="Arial" w:cs="Arial" w:eastAsia="Arial" w:hAnsi="Arial"/>
                <w:sz w:val="16"/>
                <w:szCs w:val="16"/>
                <w:color w:val="auto"/>
                <w:w w:val="93"/>
              </w:rPr>
              <w:t>Date: January 7, 2021</w:t>
            </w:r>
          </w:p>
        </w:tc>
        <w:tc>
          <w:tcPr>
            <w:tcW w:w="76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Pr>
          <w:p>
            <w:pPr>
              <w:ind w:left="2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50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6"/>
                <w:szCs w:val="16"/>
                <w:color w:val="auto"/>
              </w:rPr>
              <w:t>Name:</w:t>
            </w:r>
          </w:p>
        </w:tc>
        <w:tc>
          <w:tcPr>
            <w:tcW w:w="3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5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6"/>
        </w:trPr>
        <w:tc>
          <w:tcPr>
            <w:tcW w:w="1500" w:type="dxa"/>
            <w:vAlign w:val="bottom"/>
          </w:tcPr>
          <w:p>
            <w:pPr>
              <w:spacing w:after="0"/>
              <w:rPr>
                <w:sz w:val="22"/>
                <w:szCs w:val="22"/>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500" w:type="dxa"/>
            <w:vAlign w:val="bottom"/>
          </w:tcPr>
          <w:p>
            <w:pPr>
              <w:spacing w:after="0"/>
              <w:rPr>
                <w:sz w:val="20"/>
                <w:szCs w:val="20"/>
                <w:color w:val="auto"/>
              </w:rPr>
            </w:pPr>
            <w:r>
              <w:rPr>
                <w:rFonts w:ascii="Arial" w:cs="Arial" w:eastAsia="Arial" w:hAnsi="Arial"/>
                <w:sz w:val="16"/>
                <w:szCs w:val="16"/>
                <w:color w:val="auto"/>
                <w:w w:val="93"/>
              </w:rPr>
              <w:t>Date: January 7, 2021</w:t>
            </w:r>
          </w:p>
        </w:tc>
        <w:tc>
          <w:tcPr>
            <w:tcW w:w="760" w:type="dxa"/>
            <w:vAlign w:val="bottom"/>
          </w:tcPr>
          <w:p>
            <w:pPr>
              <w:ind w:left="80"/>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Name:</w:t>
            </w:r>
          </w:p>
        </w:tc>
        <w:tc>
          <w:tcPr>
            <w:tcW w:w="3480" w:type="dxa"/>
            <w:vAlign w:val="bottom"/>
            <w:vMerge w:val="restart"/>
          </w:tcPr>
          <w:p>
            <w:pPr>
              <w:ind w:left="2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760" w:type="dxa"/>
            <w:vAlign w:val="bottom"/>
          </w:tcPr>
          <w:p>
            <w:pPr>
              <w:ind w:left="80"/>
              <w:spacing w:after="0"/>
              <w:rPr>
                <w:sz w:val="20"/>
                <w:szCs w:val="20"/>
                <w:color w:val="auto"/>
              </w:rPr>
            </w:pPr>
            <w:r>
              <w:rPr>
                <w:rFonts w:ascii="Arial" w:cs="Arial" w:eastAsia="Arial" w:hAnsi="Arial"/>
                <w:sz w:val="16"/>
                <w:szCs w:val="16"/>
                <w:color w:val="auto"/>
              </w:rPr>
              <w:t>Title:</w:t>
            </w:r>
          </w:p>
        </w:tc>
        <w:tc>
          <w:tcPr>
            <w:tcW w:w="3480" w:type="dxa"/>
            <w:vAlign w:val="bottom"/>
          </w:tcPr>
          <w:p>
            <w:pPr>
              <w:ind w:left="2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8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8"/>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4"/>
    </w:lvl>
  </w:abstractNum>
  <w:abstractNum w:abstractNumId="11">
    <w:nsid w:val="DED7263"/>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2">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3">
    <w:nsid w:val="1BEFD79F"/>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4">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5">
    <w:nsid w:val="6B68079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2021-01-07T15:38:29Z</dcterms:created>
  <dcterms:modified xsi:type="dcterms:W3CDTF">2021-01-07T15:38:29Z</dcterms:modified>
</cp:coreProperties>
</file>