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May 25, 2024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72"/>
        <w:spacing w:after="0" w:line="245" w:lineRule="auto"/>
        <w:tabs>
          <w:tab w:leader="none" w:pos="222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48" w:lineRule="exact"/>
        <w:rPr>
          <w:sz w:val="24"/>
          <w:szCs w:val="24"/>
          <w:color w:val="auto"/>
        </w:rPr>
      </w:pPr>
    </w:p>
    <w:p>
      <w:pPr>
        <w:ind w:left="17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20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209" w:gutter="0" w:footer="0" w:header="0"/>
          <w:type w:val="continuous"/>
        </w:sectPr>
      </w:pPr>
    </w:p>
    <w:bookmarkStart w:id="1" w:name="page2"/>
    <w:bookmarkEnd w:id="1"/>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68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080" w:space="540"/>
            <w:col w:w="1060" w:space="720"/>
            <w:col w:w="48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24, 2024, there were 100,135,854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MAY 25,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19</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29</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29</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25, 2024</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371,652</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49,318</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2,185,630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52,712</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35,062</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89,857</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116,133</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38,346</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525,985</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2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102,500,950 and 101,929,868</w:t>
            </w:r>
          </w:p>
        </w:tc>
        <w:tc>
          <w:tcPr>
            <w:tcW w:w="2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at May 25, 2024 and August 26, 2023, respectively</w:t>
            </w: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Treasury stock, 2,365,100 shares and 2,365,100 shares at cost at May 25, 2024 and August 26,</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 respectively</w:t>
            </w: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1,693,312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2,185,630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Thirteen Weeks Ended</w:t>
            </w:r>
          </w:p>
        </w:tc>
        <w:tc>
          <w:tcPr>
            <w:tcW w:w="200" w:type="dxa"/>
            <w:vAlign w:val="bottom"/>
          </w:tcPr>
          <w:p>
            <w:pPr>
              <w:spacing w:after="0"/>
              <w:rPr>
                <w:sz w:val="18"/>
                <w:szCs w:val="18"/>
                <w:color w:val="auto"/>
              </w:rPr>
            </w:pPr>
          </w:p>
        </w:tc>
        <w:tc>
          <w:tcPr>
            <w:tcW w:w="29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25, 2024</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27, 2023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25, 2024</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27, 2023</w:t>
            </w:r>
          </w:p>
        </w:tc>
        <w:tc>
          <w:tcPr>
            <w:tcW w:w="0" w:type="dxa"/>
            <w:vAlign w:val="bottom"/>
          </w:tcPr>
          <w:p>
            <w:pPr>
              <w:spacing w:after="0"/>
              <w:rPr>
                <w:sz w:val="1"/>
                <w:szCs w:val="1"/>
                <w:color w:val="auto"/>
              </w:rPr>
            </w:pPr>
          </w:p>
        </w:tc>
      </w:tr>
      <w:tr>
        <w:trPr>
          <w:trHeight w:val="23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334,757</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324,792</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955,634</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922,254</w:t>
            </w:r>
          </w:p>
        </w:tc>
        <w:tc>
          <w:tcPr>
            <w:tcW w:w="0" w:type="dxa"/>
            <w:vAlign w:val="bottom"/>
          </w:tcPr>
          <w:p>
            <w:pPr>
              <w:spacing w:after="0"/>
              <w:rPr>
                <w:sz w:val="1"/>
                <w:szCs w:val="1"/>
                <w:color w:val="auto"/>
              </w:rPr>
            </w:pPr>
          </w:p>
        </w:tc>
      </w:tr>
      <w:tr>
        <w:trPr>
          <w:trHeight w:val="25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201,131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205,546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590,020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589,284</w:t>
            </w: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133,626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119,246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365,614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332,970</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103,097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88,650</w:t>
            </w: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30,510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88,426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82,085</w:t>
            </w:r>
          </w:p>
        </w:tc>
        <w:tc>
          <w:tcPr>
            <w:tcW w:w="0" w:type="dxa"/>
            <w:vAlign w:val="bottom"/>
          </w:tcPr>
          <w:p>
            <w:pPr>
              <w:spacing w:after="0"/>
              <w:rPr>
                <w:sz w:val="1"/>
                <w:szCs w:val="1"/>
                <w:color w:val="auto"/>
              </w:rPr>
            </w:pPr>
          </w:p>
        </w:tc>
      </w:tr>
      <w:tr>
        <w:trPr>
          <w:trHeight w:val="25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13,035</w:t>
            </w: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74,852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65,041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206,937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183,770</w:t>
            </w: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58,774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158,677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149,200</w:t>
            </w: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5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(23,201)</w:t>
            </w:r>
          </w:p>
        </w:tc>
        <w:tc>
          <w:tcPr>
            <w:tcW w:w="0" w:type="dxa"/>
            <w:vAlign w:val="bottom"/>
          </w:tcPr>
          <w:p>
            <w:pPr>
              <w:spacing w:after="0"/>
              <w:rPr>
                <w:sz w:val="1"/>
                <w:szCs w:val="1"/>
                <w:color w:val="auto"/>
              </w:rPr>
            </w:pPr>
          </w:p>
        </w:tc>
      </w:tr>
      <w:tr>
        <w:trPr>
          <w:trHeight w:val="26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53"/>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54,717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47,147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145,213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126,743</w:t>
            </w:r>
          </w:p>
        </w:tc>
        <w:tc>
          <w:tcPr>
            <w:tcW w:w="0" w:type="dxa"/>
            <w:vAlign w:val="bottom"/>
          </w:tcPr>
          <w:p>
            <w:pPr>
              <w:spacing w:after="0"/>
              <w:rPr>
                <w:sz w:val="1"/>
                <w:szCs w:val="1"/>
                <w:color w:val="auto"/>
              </w:rPr>
            </w:pPr>
          </w:p>
        </w:tc>
      </w:tr>
      <w:tr>
        <w:trPr>
          <w:trHeight w:val="25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13,383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35,195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29,810</w:t>
            </w: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96,933</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 translation, net of</w:t>
            </w:r>
          </w:p>
        </w:tc>
        <w:tc>
          <w:tcPr>
            <w:tcW w:w="180" w:type="dxa"/>
            <w:vAlign w:val="bottom"/>
          </w:tcPr>
          <w:p>
            <w:pPr>
              <w:spacing w:after="0"/>
              <w:rPr>
                <w:sz w:val="14"/>
                <w:szCs w:val="14"/>
                <w:color w:val="auto"/>
              </w:rPr>
            </w:pPr>
          </w:p>
        </w:tc>
        <w:tc>
          <w:tcPr>
            <w:tcW w:w="13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110,370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96,502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25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100,024,230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99,518,546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99,852,203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99,404,174</w:t>
            </w:r>
          </w:p>
        </w:tc>
        <w:tc>
          <w:tcPr>
            <w:tcW w:w="0" w:type="dxa"/>
            <w:vAlign w:val="bottom"/>
          </w:tcPr>
          <w:p>
            <w:pPr>
              <w:spacing w:after="0"/>
              <w:rPr>
                <w:sz w:val="1"/>
                <w:szCs w:val="1"/>
                <w:color w:val="auto"/>
              </w:rPr>
            </w:pPr>
          </w:p>
        </w:tc>
      </w:tr>
      <w:tr>
        <w:trPr>
          <w:trHeight w:val="250"/>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101,270,163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100,909,972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101,240,471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100,847,970</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0"/>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25, 2024</w:t>
            </w:r>
          </w:p>
        </w:tc>
        <w:tc>
          <w:tcPr>
            <w:tcW w:w="20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May 27, 2023</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110,018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96,933</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15,044</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2,011</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10,456</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Estimated credit (gains) losses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loss on foreign currency transactions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11,696</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5,018</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759</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(13,334)</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19,444</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(16,115)</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(15,030)</w:t>
            </w:r>
          </w:p>
        </w:tc>
      </w:tr>
      <w:tr>
        <w:trPr>
          <w:trHeight w:val="213"/>
        </w:trPr>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166,755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110,412</w:t>
            </w:r>
          </w:p>
        </w:tc>
      </w:tr>
      <w:tr>
        <w:trPr>
          <w:trHeight w:val="131"/>
        </w:trPr>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(10,108)</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(10,446)</w:t>
            </w:r>
          </w:p>
        </w:tc>
      </w:tr>
      <w:tr>
        <w:trPr>
          <w:trHeight w:val="131"/>
        </w:trPr>
        <w:tc>
          <w:tcPr>
            <w:tcW w:w="6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5,035</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(81,500)</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(43,569)</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(98,579)</w:t>
            </w:r>
          </w:p>
        </w:tc>
      </w:tr>
      <w:tr>
        <w:trPr>
          <w:trHeight w:val="131"/>
        </w:trPr>
        <w:tc>
          <w:tcPr>
            <w:tcW w:w="6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increase in cash</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120,841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1,387</w:t>
            </w: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87,715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67,494</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208,681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68,794</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25, 2024</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27, 2023</w:t>
            </w:r>
          </w:p>
        </w:tc>
      </w:tr>
      <w:tr>
        <w:trPr>
          <w:trHeight w:val="25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16,013</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21,295</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19,542</w:t>
            </w:r>
          </w:p>
        </w:tc>
      </w:tr>
      <w:tr>
        <w:trPr>
          <w:trHeight w:val="26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200" w:type="dxa"/>
            <w:vAlign w:val="bottom"/>
          </w:tcPr>
          <w:p>
            <w:pPr>
              <w:spacing w:after="0"/>
              <w:rPr>
                <w:sz w:val="16"/>
                <w:szCs w:val="16"/>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Accumulated 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8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Amount</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26,</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101,929,868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245,365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102,175,233</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14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383,517</w:t>
            </w:r>
          </w:p>
        </w:tc>
        <w:tc>
          <w:tcPr>
            <w:tcW w:w="14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1,607,178</w:t>
            </w:r>
          </w:p>
        </w:tc>
        <w:tc>
          <w:tcPr>
            <w:tcW w:w="0" w:type="dxa"/>
            <w:vAlign w:val="bottom"/>
          </w:tcPr>
          <w:p>
            <w:pPr>
              <w:spacing w:after="0"/>
              <w:rPr>
                <w:sz w:val="1"/>
                <w:szCs w:val="1"/>
                <w:color w:val="auto"/>
              </w:rPr>
            </w:pPr>
          </w:p>
        </w:tc>
      </w:tr>
      <w:tr>
        <w:trPr>
          <w:trHeight w:val="194"/>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25, 2023</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February 24,</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102,353,618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1,310,605</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1,647,482</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63,553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83,779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Balance at May 25,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102,500,950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1,315,005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457,974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1,693,312</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Accumulated 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w w:val="99"/>
              </w:rPr>
              <w:t>Comprehensive</w:t>
            </w: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40" w:type="dxa"/>
            <w:vAlign w:val="bottom"/>
          </w:tcPr>
          <w:p>
            <w:pPr>
              <w:spacing w:after="0"/>
              <w:rPr>
                <w:sz w:val="9"/>
                <w:szCs w:val="9"/>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Capital</w:t>
            </w: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August 27,</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101,322,834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1,818,754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(62,003)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1,287,224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214,381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1,438,664</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4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35,860</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546,346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(16,448)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180,342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options</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and stock appreciation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rights to purchase</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353,281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101,856,457</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1,292,720</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250,241</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4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1,463,356</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26, 2022</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February 25,</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101,873,171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1,295,584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275,883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1,491,915</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4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35,431</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35,431</w:t>
            </w: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May 27,</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101,912,526</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1,299,318</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311,314</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1,530,818</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Quest® and Atkins®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and Atkins® for those following a low-carb lifestyle.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367"/>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26, 2023, included in the Company’s Annual Report on Form 10-K (“Annual Report”) filed with the SEC on October 24,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are applied on a prospective basis.</w:t>
      </w:r>
    </w:p>
    <w:p>
      <w:pPr>
        <w:spacing w:after="0" w:line="216"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197" w:lineRule="exact"/>
        <w:rPr>
          <w:sz w:val="20"/>
          <w:szCs w:val="20"/>
          <w:color w:val="auto"/>
        </w:rPr>
      </w:pPr>
    </w:p>
    <w:p>
      <w:pPr>
        <w:ind w:right="660" w:firstLine="18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5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27, 2023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27, 2023</w:t>
            </w:r>
          </w:p>
        </w:tc>
      </w:tr>
      <w:tr>
        <w:trPr>
          <w:trHeight w:val="25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Atkins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128,602</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142,057</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370,855</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408,153</w:t>
            </w:r>
          </w:p>
        </w:tc>
      </w:tr>
      <w:tr>
        <w:trPr>
          <w:trHeight w:val="27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Quest</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198,096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174,477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560,433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490,547</w:t>
            </w:r>
          </w:p>
        </w:tc>
      </w:tr>
      <w:tr>
        <w:trPr>
          <w:trHeight w:val="250"/>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316,534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898,700</w:t>
            </w:r>
          </w:p>
        </w:tc>
      </w:tr>
      <w:tr>
        <w:trPr>
          <w:trHeight w:val="2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23,554</w:t>
            </w:r>
          </w:p>
        </w:tc>
      </w:tr>
      <w:tr>
        <w:trPr>
          <w:trHeight w:val="22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334,757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324,792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955,634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922,254</w:t>
            </w: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60" w:right="680" w:hanging="73"/>
        <w:spacing w:after="0" w:line="246" w:lineRule="auto"/>
        <w:tabs>
          <w:tab w:leader="none" w:pos="82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Charges related to credit losses on accounts receivable from transactions with external customers were immaterial and $(0.2) million for the thirteen and thirty-nine weeks ended May 25, 2024, respectively. Charges related to credit losses on accounts receivables from transactions with external customers were $0.2 million and $0.4 million for the thirteen and thirty-nine weeks ended May 27, 2023, respectively. As of May 25, 2024, and August 26, 2023, the allowance for credit losses related to accounts receivable was $0.6 million and $1.9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187"/>
        <w:spacing w:after="0" w:line="284" w:lineRule="auto"/>
        <w:rPr>
          <w:sz w:val="20"/>
          <w:szCs w:val="20"/>
          <w:color w:val="auto"/>
        </w:rPr>
      </w:pPr>
      <w:r>
        <w:rPr>
          <w:rFonts w:ascii="Times New Roman" w:cs="Times New Roman" w:eastAsia="Times New Roman" w:hAnsi="Times New Roman"/>
          <w:sz w:val="18"/>
          <w:szCs w:val="18"/>
          <w:color w:val="auto"/>
        </w:rPr>
        <w:t xml:space="preserve">As of May 25, 2024, and August 26, 2023,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$543.1 million. There were no impairment charges related to goodwill during the thirteen and thirty-nine weeks ended May 25, 2024, or since the inception of the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May 25, 2024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11,936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10,064</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6,881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1,182,267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85,729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1,096,538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August 26, 2023</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75,288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thirty-nine weeks ended May 25, 2024, were primarily related to recurring amortization expense. Amortization expense related to intangible assets was $3.7 million and $3.9 million for the thirteen weeks ended May 25, 2024, and May 27, 2023, respectively, and $11.4 million and $11.8 million for the thirty-nine weeks ended May 25, 2024, and May 27, 2023, respectively. During the thirteen weeks ended May 25, 2024, the Company conducted a quantitative impairment assessment over the Atkins brand indefinite lived intangible asset. Based on our testing, the asset had an excess fair value well over its respective carrying value, resulting in no impairment. There were no impairment charges related to its finite-lived intangible assets during the thirteen and thirty-nine weeks ended May 25, 2024 and May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2024</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2029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64,298</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122,180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right="20" w:firstLine="18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2023 Repricing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75"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May 25, 2024 and August 26, 2023, respectively.</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7.9% at May 25, 2024)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285,000</w:t>
            </w: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liabilities (effective rate of 5.6% at May 25, 2024)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3,351</w:t>
            </w:r>
          </w:p>
        </w:tc>
      </w:tr>
      <w:tr>
        <w:trPr>
          <w:trHeight w:val="207"/>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281,792</w:t>
            </w: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237,661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281,649</w:t>
            </w: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13"/>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May 25, 2024. The outstanding balance of the Term Facility is due upon its maturity in March 2027.</w:t>
      </w:r>
    </w:p>
    <w:p>
      <w:pPr>
        <w:spacing w:after="0" w:line="175" w:lineRule="exact"/>
        <w:rPr>
          <w:sz w:val="20"/>
          <w:szCs w:val="20"/>
          <w:color w:val="auto"/>
        </w:rPr>
      </w:pPr>
    </w:p>
    <w:p>
      <w:pPr>
        <w:jc w:val="both"/>
        <w:ind w:firstLine="188"/>
        <w:spacing w:after="0" w:line="250" w:lineRule="auto"/>
        <w:rPr>
          <w:sz w:val="20"/>
          <w:szCs w:val="20"/>
          <w:color w:val="auto"/>
        </w:rPr>
      </w:pPr>
      <w:r>
        <w:rPr>
          <w:rFonts w:ascii="Times New Roman" w:cs="Times New Roman" w:eastAsia="Times New Roman" w:hAnsi="Times New Roman"/>
          <w:sz w:val="18"/>
          <w:szCs w:val="18"/>
          <w:color w:val="auto"/>
        </w:rPr>
        <w:t>As of May 25, 2024, the Company had letters of credit in the amount of $3.2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as of May 25, 2024.</w:t>
      </w:r>
    </w:p>
    <w:p>
      <w:pPr>
        <w:spacing w:after="0" w:line="217"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May 25, 2024, and August 26, 2023,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approximated fair value as of May 25,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4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May 27, 2023</w:t>
            </w:r>
          </w:p>
        </w:tc>
      </w:tr>
      <w:tr>
        <w:trPr>
          <w:trHeight w:val="25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145,213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126,743</w:t>
            </w:r>
          </w:p>
        </w:tc>
      </w:tr>
      <w:tr>
        <w:trPr>
          <w:trHeight w:val="26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35,195</w:t>
            </w:r>
          </w:p>
        </w:tc>
        <w:tc>
          <w:tcPr>
            <w:tcW w:w="140" w:type="dxa"/>
            <w:vAlign w:val="bottom"/>
          </w:tcPr>
          <w:p>
            <w:pPr>
              <w:spacing w:after="0"/>
              <w:rPr>
                <w:sz w:val="23"/>
                <w:szCs w:val="23"/>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29,810</w:t>
            </w:r>
          </w:p>
        </w:tc>
      </w:tr>
      <w:tr>
        <w:trPr>
          <w:trHeight w:val="27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r>
    </w:tbl>
    <w:p>
      <w:pPr>
        <w:spacing w:after="0" w:line="319" w:lineRule="exact"/>
        <w:rPr>
          <w:sz w:val="20"/>
          <w:szCs w:val="20"/>
          <w:color w:val="auto"/>
        </w:rPr>
      </w:pPr>
    </w:p>
    <w:p>
      <w:pPr>
        <w:ind w:firstLine="182"/>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thirty-nine weeks ended May 25, 2024, was 0.7% greater than the effective tax rate for the thirty-nine weeks ended May 27, 2023, which was primarily driven by permanent differences.</w:t>
      </w:r>
    </w:p>
    <w:p>
      <w:pPr>
        <w:spacing w:after="0" w:line="18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5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148"/>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May 27, 2023</w:t>
            </w:r>
          </w:p>
        </w:tc>
        <w:tc>
          <w:tcPr>
            <w:tcW w:w="14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Pr>
          <w:p>
            <w:pPr>
              <w:spacing w:after="0"/>
              <w:rPr>
                <w:sz w:val="12"/>
                <w:szCs w:val="12"/>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May 27, 2023</w:t>
            </w:r>
          </w:p>
        </w:tc>
        <w:tc>
          <w:tcPr>
            <w:tcW w:w="0" w:type="dxa"/>
            <w:vAlign w:val="bottom"/>
          </w:tcPr>
          <w:p>
            <w:pPr>
              <w:spacing w:after="0"/>
              <w:rPr>
                <w:sz w:val="1"/>
                <w:szCs w:val="1"/>
                <w:color w:val="auto"/>
              </w:rPr>
            </w:pPr>
          </w:p>
        </w:tc>
      </w:tr>
      <w:tr>
        <w:trPr>
          <w:trHeight w:val="213"/>
        </w:trPr>
        <w:tc>
          <w:tcPr>
            <w:tcW w:w="2060" w:type="dxa"/>
            <w:vAlign w:val="bottom"/>
            <w:gridSpan w:val="2"/>
            <w:vMerge w:val="continue"/>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Caption</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2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6,770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0" w:type="dxa"/>
            <w:vAlign w:val="bottom"/>
          </w:tcPr>
          <w:p>
            <w:pPr>
              <w:spacing w:after="0"/>
              <w:rPr>
                <w:sz w:val="1"/>
                <w:szCs w:val="1"/>
                <w:color w:val="auto"/>
              </w:rPr>
            </w:pPr>
          </w:p>
        </w:tc>
      </w:tr>
      <w:tr>
        <w:trPr>
          <w:trHeight w:val="214"/>
        </w:trPr>
        <w:tc>
          <w:tcPr>
            <w:tcW w:w="2060" w:type="dxa"/>
            <w:vAlign w:val="bottom"/>
            <w:gridSpan w:val="2"/>
            <w:vMerge w:val="continue"/>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1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2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16"/>
        </w:trPr>
        <w:tc>
          <w:tcPr>
            <w:tcW w:w="2060" w:type="dxa"/>
            <w:vAlign w:val="bottom"/>
            <w:gridSpan w:val="2"/>
            <w:vMerge w:val="continue"/>
            <w:shd w:val="clear" w:color="auto" w:fill="CCEEFF"/>
          </w:tcPr>
          <w:p>
            <w:pPr>
              <w:spacing w:after="0"/>
              <w:rPr>
                <w:sz w:val="18"/>
                <w:szCs w:val="18"/>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right-of-</w:t>
            </w: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3"/>
        </w:trPr>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use assets</w:t>
            </w:r>
          </w:p>
        </w:tc>
        <w:tc>
          <w:tcPr>
            <w:tcW w:w="2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9,511</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860" w:hanging="146"/>
        <w:spacing w:after="0"/>
        <w:tabs>
          <w:tab w:leader="none" w:pos="86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cost primarily consists of common area maintenance, such as cleaning and repairs.</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34,756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40,022</w:t>
            </w: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26"/>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34,758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40,147</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2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2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31,492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37,272</w:t>
            </w:r>
          </w:p>
        </w:tc>
      </w:tr>
      <w:tr>
        <w:trPr>
          <w:trHeight w:val="251"/>
        </w:trPr>
        <w:tc>
          <w:tcPr>
            <w:tcW w:w="2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44,981</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May 25, 2024, were as follows:</w:t>
      </w:r>
    </w:p>
    <w:p>
      <w:pPr>
        <w:spacing w:after="0" w:line="336" w:lineRule="exact"/>
        <w:rPr>
          <w:sz w:val="20"/>
          <w:szCs w:val="20"/>
          <w:color w:val="auto"/>
        </w:rPr>
      </w:pPr>
    </w:p>
    <w:tbl>
      <w:tblPr>
        <w:tblLayout w:type="fixed"/>
        <w:tblInd w:w="2200" w:type="dxa"/>
        <w:tblCellMar>
          <w:top w:w="0" w:type="dxa"/>
          <w:left w:w="0" w:type="dxa"/>
          <w:bottom w:w="0" w:type="dxa"/>
          <w:right w:w="0" w:type="dxa"/>
        </w:tblCellMar>
      </w:tblPr>
      <w:tr>
        <w:trPr>
          <w:trHeight w:val="21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Remainder of 2024</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7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7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May 25, 2024</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73"/>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r>
      <w:tr>
        <w:trPr>
          <w:trHeight w:val="267"/>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3"/>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64"/>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25, 2024</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27, 2023</w:t>
            </w:r>
          </w:p>
        </w:tc>
      </w:tr>
      <w:tr>
        <w:trPr>
          <w:trHeight w:val="212"/>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9,141</w:t>
            </w:r>
          </w:p>
        </w:tc>
        <w:tc>
          <w:tcPr>
            <w:tcW w:w="14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w:t>
            </w:r>
          </w:p>
        </w:tc>
      </w:tr>
      <w:tr>
        <w:trPr>
          <w:trHeight w:val="21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and social media influencers to promote and endorse the Quest® and Atkins®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May 25, 2024, the Company will be required to make payments of $1.2 million over the next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thirty-nine weeks ended May 25, 2024. During the thirty-nine weeks ended May 27, 2023, the Company repurchased 546,346 shares of common stock at an average share price of $30.11 per share. As of May 25, 2024, approximately $71.5 million remained available under the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249"/>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203"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 The following table reconciles the numerators and denominators used in the computations of both basic and diluted earnings per share:</w:t>
      </w:r>
    </w:p>
    <w:p>
      <w:pPr>
        <w:spacing w:after="0" w:line="5"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Thirteen Weeks Ended</w:t>
            </w:r>
          </w:p>
        </w:tc>
        <w:tc>
          <w:tcPr>
            <w:tcW w:w="200" w:type="dxa"/>
            <w:vAlign w:val="bottom"/>
          </w:tcPr>
          <w:p>
            <w:pPr>
              <w:spacing w:after="0"/>
              <w:rPr>
                <w:sz w:val="18"/>
                <w:szCs w:val="18"/>
                <w:color w:val="auto"/>
              </w:rPr>
            </w:pPr>
          </w:p>
        </w:tc>
        <w:tc>
          <w:tcPr>
            <w:tcW w:w="29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27, 2023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27, 2023</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96,933</w:t>
            </w: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100,024,230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99,518,546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99,852,203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99,404,174</w:t>
            </w:r>
          </w:p>
        </w:tc>
        <w:tc>
          <w:tcPr>
            <w:tcW w:w="0" w:type="dxa"/>
            <w:vAlign w:val="bottom"/>
          </w:tcPr>
          <w:p>
            <w:pPr>
              <w:spacing w:after="0"/>
              <w:rPr>
                <w:sz w:val="1"/>
                <w:szCs w:val="1"/>
                <w:color w:val="auto"/>
              </w:rPr>
            </w:pPr>
          </w:p>
        </w:tc>
      </w:tr>
      <w:tr>
        <w:trPr>
          <w:trHeight w:val="21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110,018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96,933</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110,018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96,933</w:t>
            </w:r>
          </w:p>
        </w:tc>
        <w:tc>
          <w:tcPr>
            <w:tcW w:w="0" w:type="dxa"/>
            <w:vAlign w:val="bottom"/>
          </w:tcPr>
          <w:p>
            <w:pPr>
              <w:spacing w:after="0"/>
              <w:rPr>
                <w:sz w:val="1"/>
                <w:szCs w:val="1"/>
                <w:color w:val="auto"/>
              </w:rPr>
            </w:pPr>
          </w:p>
        </w:tc>
      </w:tr>
      <w:tr>
        <w:trPr>
          <w:trHeight w:val="24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100,024,230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99,518,546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99,852,203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99,404,174</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1,055,882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1,143,855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1,256,898</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190,051</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244,413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186,898</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101,270,163</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100,909,972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101,240,471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100,847,970</w:t>
            </w:r>
          </w:p>
        </w:tc>
        <w:tc>
          <w:tcPr>
            <w:tcW w:w="0" w:type="dxa"/>
            <w:vAlign w:val="bottom"/>
          </w:tcPr>
          <w:p>
            <w:pPr>
              <w:spacing w:after="0"/>
              <w:rPr>
                <w:sz w:val="1"/>
                <w:szCs w:val="1"/>
                <w:color w:val="auto"/>
              </w:rPr>
            </w:pPr>
          </w:p>
        </w:tc>
      </w:tr>
      <w:tr>
        <w:trPr>
          <w:trHeight w:val="251"/>
        </w:trPr>
        <w:tc>
          <w:tcPr>
            <w:tcW w:w="3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29"/>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thirty-nine weeks ended May 25, 2024 both excluded 0.8 million shares of common stock issuable upon exercise of stock options that would have been anti-dilutive. Diluted earnings per share calculations for the thirteen and thirty-nine weeks ended and May 27, 2023, excluded 0.7 million and 0.6 million shares of common stock issuable upon exercise of stock options, respectively, that would have been anti-dilutive.</w:t>
      </w:r>
    </w:p>
    <w:p>
      <w:pPr>
        <w:spacing w:after="0" w:line="207" w:lineRule="exact"/>
        <w:rPr>
          <w:sz w:val="20"/>
          <w:szCs w:val="20"/>
          <w:color w:val="auto"/>
        </w:rPr>
      </w:pPr>
    </w:p>
    <w:p>
      <w:pPr>
        <w:jc w:val="both"/>
        <w:ind w:right="20" w:firstLine="198"/>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thirty-nine weeks ended May 25, 2024 and May 27, 2023 excluded an immaterial number of non-vested stock units that would have been anti-dilutive, respectively.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185"/>
        <w:spacing w:after="0" w:line="282" w:lineRule="auto"/>
        <w:rPr>
          <w:sz w:val="20"/>
          <w:szCs w:val="20"/>
          <w:color w:val="auto"/>
        </w:rPr>
      </w:pPr>
      <w:r>
        <w:rPr>
          <w:rFonts w:ascii="Times New Roman" w:cs="Times New Roman" w:eastAsia="Times New Roman" w:hAnsi="Times New Roman"/>
          <w:sz w:val="18"/>
          <w:szCs w:val="18"/>
          <w:color w:val="auto"/>
        </w:rPr>
        <w:t>Stock-based compensation includes stock options, restricted stock units, performance stock unit awards and stock appreciation rights, which are awarded to employees, directors, and consultants of the Company. Stock-based compensation expense for equity-</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classified awards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recipient’s other compensation is reported.</w:t>
      </w:r>
    </w:p>
    <w:p>
      <w:pPr>
        <w:spacing w:after="0" w:line="203" w:lineRule="exact"/>
        <w:rPr>
          <w:sz w:val="20"/>
          <w:szCs w:val="20"/>
          <w:color w:val="auto"/>
        </w:rPr>
      </w:pPr>
    </w:p>
    <w:p>
      <w:pPr>
        <w:jc w:val="both"/>
        <w:ind w:firstLine="235"/>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$4.5 million and $4.1 million in the thirteen weeks ended May 25, 2024, and May 27, 2023, respectively, and $13.2 million and $10.5 million in the thirty-nine weeks ended May 25, 2024, and May 27,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thirty-nine weeks ended May 25, 2024:</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2,668,462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20.41</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33.02</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(256,879)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16.71</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39.38</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May 25,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2,419,262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20.82</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May 25,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2,419,262</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20.82</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May 25,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1,934,142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238"/>
        <w:spacing w:after="0" w:line="266" w:lineRule="auto"/>
        <w:rPr>
          <w:sz w:val="20"/>
          <w:szCs w:val="20"/>
          <w:color w:val="auto"/>
        </w:rPr>
      </w:pPr>
      <w:r>
        <w:rPr>
          <w:rFonts w:ascii="Times New Roman" w:cs="Times New Roman" w:eastAsia="Times New Roman" w:hAnsi="Times New Roman"/>
          <w:sz w:val="18"/>
          <w:szCs w:val="18"/>
          <w:color w:val="auto"/>
        </w:rPr>
        <w:t>As of May 25, 2024, the Company had $3.1 million of total unrecognized compensation cost related to stock options that will be recognized over a weighted average period of 1.0 year. During the thirty-nine weeks ended May 25, 2024, and May 27, 2023, the Company received $4.3 million and $5.0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thirty-nine weeks ended May 25, 2024:</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514,498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251,100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(251,841)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May 25,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502,286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220"/>
        <w:spacing w:after="0" w:line="282" w:lineRule="auto"/>
        <w:rPr>
          <w:sz w:val="20"/>
          <w:szCs w:val="20"/>
          <w:color w:val="auto"/>
        </w:rPr>
      </w:pPr>
      <w:r>
        <w:rPr>
          <w:rFonts w:ascii="Times New Roman" w:cs="Times New Roman" w:eastAsia="Times New Roman" w:hAnsi="Times New Roman"/>
          <w:sz w:val="18"/>
          <w:szCs w:val="18"/>
          <w:color w:val="auto"/>
        </w:rPr>
        <w:t>As of May 25, 2024, the Company had $12.3 million of total unrecognized compensation cost related to restricted stock units that will be recognized over a weighted average period of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187"/>
        <w:spacing w:after="0" w:line="266" w:lineRule="auto"/>
        <w:rPr>
          <w:sz w:val="20"/>
          <w:szCs w:val="20"/>
          <w:color w:val="auto"/>
        </w:rPr>
      </w:pPr>
      <w:r>
        <w:rPr>
          <w:rFonts w:ascii="Times New Roman" w:cs="Times New Roman" w:eastAsia="Times New Roman" w:hAnsi="Times New Roman"/>
          <w:sz w:val="18"/>
          <w:szCs w:val="18"/>
          <w:color w:val="auto"/>
        </w:rPr>
        <w:t>During the thirty-nine weeks ended May 25, 2024, the Company granted performance stock units under its equity compensation plan. Performance stock units vest in a range between 0% and 200% based upon certain performance criteria in a three-year period. Performance stock units were valued using a Monte Carlo simulation.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thirty-nine weeks ended May 25, 2024:</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0" w:type="dxa"/>
            <w:vAlign w:val="bottom"/>
          </w:tcPr>
          <w:p>
            <w:pPr>
              <w:spacing w:after="0"/>
              <w:rPr>
                <w:sz w:val="1"/>
                <w:szCs w:val="1"/>
                <w:color w:val="auto"/>
              </w:rPr>
            </w:pPr>
          </w:p>
        </w:tc>
      </w:tr>
      <w:tr>
        <w:trPr>
          <w:trHeight w:val="250"/>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67"/>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May 25,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8"/>
        <w:spacing w:after="0" w:line="282" w:lineRule="auto"/>
        <w:rPr>
          <w:sz w:val="20"/>
          <w:szCs w:val="20"/>
          <w:color w:val="auto"/>
        </w:rPr>
      </w:pPr>
      <w:r>
        <w:rPr>
          <w:rFonts w:ascii="Times New Roman" w:cs="Times New Roman" w:eastAsia="Times New Roman" w:hAnsi="Times New Roman"/>
          <w:sz w:val="18"/>
          <w:szCs w:val="18"/>
          <w:color w:val="auto"/>
        </w:rPr>
        <w:t>As of May 25, 2024, the Company had $5.9 million of total unrecognized compensation cost related to performance stock units that will be recognized over a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have been met. The SARs outstanding as of May 25, 2024, cliff vest two years from the date of grant and must be exercised within five years.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thirty-nine weeks ended May 25, 2024:</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May 25,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279" w:lineRule="exact"/>
        <w:rPr>
          <w:sz w:val="20"/>
          <w:szCs w:val="20"/>
          <w:color w:val="auto"/>
        </w:rPr>
      </w:pPr>
    </w:p>
    <w:p>
      <w:pPr>
        <w:jc w:val="both"/>
        <w:ind w:right="20" w:firstLine="177"/>
        <w:spacing w:after="0" w:line="250" w:lineRule="auto"/>
        <w:rPr>
          <w:sz w:val="20"/>
          <w:szCs w:val="20"/>
          <w:color w:val="auto"/>
        </w:rPr>
      </w:pPr>
      <w:r>
        <w:rPr>
          <w:rFonts w:ascii="Times New Roman" w:cs="Times New Roman" w:eastAsia="Times New Roman" w:hAnsi="Times New Roman"/>
          <w:sz w:val="18"/>
          <w:szCs w:val="18"/>
          <w:color w:val="auto"/>
        </w:rPr>
        <w:t>The SARs exercised during the thirty-nine weeks ended May 27, 2023, resulted in a net issuance of 38,850 shares of the Company’s common stock. The SARs granted during the thirty-nine weeks ended May 27, 2023, are liability-classified; therefore the related stock-based compensation expense is based on the vesting provisions and the fair value of the awards.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Only What You Need, Inc. Acquisition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2024, the Company entered into a stock purchase agreement (the “Purchase Agreement”) to acquire Only What You Need, Inc. (“OWYN”), a plant-based protein food company (the “Acquisition”), for approximately $280.0 million. On June 13, 2024, pursuant to the Purchase Agreement, the Company completed the acquisition of OWYN for approximately $280.0 million, subject to certain customary adjustments for levels of cash, indebtedness, net working capital, purchase price adjustments and transaction related expenses as of the closing date.</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acquisition of OWYN on June 13, 2024. No amounts under the Term Facility were repaid as a result of the execution of the 2024 Incremental Facility Amendment.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2"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26, 2023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57"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marketed under the Quest®, Atkins®, and OWYN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brand names. We believe Simply Good Foods is poised to expand its wellness platform through innovation and organic growth along with acquisition opportunities in the nutritional snacking space.</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29, 2024, we entered into a stock purchase agreement (the “Purchase Agreement”) to acquire Only What You Need, Inc. (“OWYN”), a plant-based protein food company (the “Acquisition”), for approximately $280.0 million. On June 13, 2024, pursuant to the Purchase Agreement, we completed the acquisition of OWYN for approximately $280.0 million, subject to certain customary adjustments for levels of cash, indebtedness, net working capital, purchase price adjustments and transaction related expenses as of the closing date. The addition of OWYN introduces a third complementary plant-based, ready-to-drink brand within our portfolio.</w:t>
      </w:r>
    </w:p>
    <w:p>
      <w:pPr>
        <w:spacing w:after="0" w:line="197" w:lineRule="exact"/>
        <w:rPr>
          <w:sz w:val="20"/>
          <w:szCs w:val="20"/>
          <w:color w:val="auto"/>
        </w:rPr>
      </w:pPr>
    </w:p>
    <w:p>
      <w:pPr>
        <w:jc w:val="both"/>
        <w:ind w:firstLine="215"/>
        <w:spacing w:after="0" w:line="251"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Atkins®</w:t>
      </w:r>
    </w:p>
    <w:p>
      <w:pPr>
        <w:jc w:val="both"/>
        <w:spacing w:after="0" w:line="237" w:lineRule="auto"/>
        <w:rPr>
          <w:sz w:val="20"/>
          <w:szCs w:val="20"/>
          <w:color w:val="auto"/>
        </w:rPr>
      </w:pPr>
      <w:r>
        <w:rPr>
          <w:rFonts w:ascii="Times New Roman" w:cs="Times New Roman" w:eastAsia="Times New Roman" w:hAnsi="Times New Roman"/>
          <w:sz w:val="18"/>
          <w:szCs w:val="18"/>
          <w:color w:val="auto"/>
        </w:rPr>
        <w:t>for those following a low-carb lifestyle and OWYN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for those looking for a plant-based ready-to-drink protein shake offering.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right="20" w:firstLine="202"/>
        <w:spacing w:after="0" w:line="282" w:lineRule="auto"/>
        <w:rPr>
          <w:sz w:val="20"/>
          <w:szCs w:val="20"/>
          <w:color w:val="auto"/>
        </w:rPr>
      </w:pPr>
      <w:r>
        <w:rPr>
          <w:rFonts w:ascii="Times New Roman" w:cs="Times New Roman" w:eastAsia="Times New Roman" w:hAnsi="Times New Roman"/>
          <w:sz w:val="18"/>
          <w:szCs w:val="18"/>
          <w:color w:val="auto"/>
        </w:rPr>
        <w:t>During fiscal 2023, the Company was affected by the unfavorable effects of higher raw material costs, higher co-manufacturing costs, and supply chain challenges, including supply chain disruptions resulting from labor shortages and disruptions in ingredients.</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During the thirteen and thirty-nine weeks ended May 25, 2024, our business performance improved as strong Quest sales volume more than offset continued softness in Atkins. The Company benefited from lower ingredient and packaging costs which resulted in gross margin expansion versus fiscal 2023. The Company continues to engage and have discussions with its contract manufacturers and logistics and transportation providers to have its cost structure reflect lower market prices. The Company is monitoring key ingredient inflation which may affect profitability, however we believe the Company's strategy and positioning will continue to drive profitable growth for our product offerings and growth within the growing nutritional snacking category.</w:t>
      </w:r>
    </w:p>
    <w:p>
      <w:pPr>
        <w:sectPr>
          <w:pgSz w:w="11900" w:h="16838" w:orient="portrait"/>
          <w:cols w:equalWidth="0" w:num="1">
            <w:col w:w="11240"/>
          </w:cols>
          <w:pgMar w:left="320" w:top="121" w:right="33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transaction costs. The 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executive transition costs,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legal, due diligence, consulting and accounting firm expenses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process of actively pursuing potential and completed business combinations, including the Acquisition of OWYN.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thirteen weeks ended May 25, 2024, our net sales increased to $334.8 million compared to $324.8 million for the thirteen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2023, driven by Quest volume growth, which more than offset continued softness in Atkins net sales, resulting in a 3.2% increase in our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 net sales. Gross profit and gross profit margin improved driven by higher sales volumes and lower ingredient and packaging costs.</w:t>
      </w:r>
    </w:p>
    <w:p>
      <w:pPr>
        <w:spacing w:after="0" w:line="234"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May 25, 2024, and the Thirteen Weeks Ended May 27, 2023</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Thirteen Weeks 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Thirteen Weeks Ended</w:t>
            </w:r>
          </w:p>
        </w:tc>
        <w:tc>
          <w:tcPr>
            <w:tcW w:w="1500" w:type="dxa"/>
            <w:vAlign w:val="bottom"/>
          </w:tcPr>
          <w:p>
            <w:pPr>
              <w:spacing w:after="0"/>
              <w:rPr>
                <w:sz w:val="18"/>
                <w:szCs w:val="18"/>
                <w:color w:val="auto"/>
              </w:rPr>
            </w:pPr>
          </w:p>
        </w:tc>
      </w:tr>
      <w:tr>
        <w:trPr>
          <w:trHeight w:val="24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May 25, 2024</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2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May 27, 2023</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3"/>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334,757</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324,792</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201,131</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60.1 %</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205,546</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63.3 %</w:t>
            </w: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133,626</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119,246</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36.7 %</w:t>
            </w: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36,464</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30,168</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31,543</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30,510</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74,852</w:t>
            </w:r>
          </w:p>
        </w:tc>
        <w:tc>
          <w:tcPr>
            <w:tcW w:w="14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65,041</w:t>
            </w:r>
          </w:p>
        </w:tc>
        <w:tc>
          <w:tcPr>
            <w:tcW w:w="14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73"/>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58,774</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273"/>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(7,058)</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47,147</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13,383</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3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35,431</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71,874</w:t>
            </w: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66,635</w:t>
            </w: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20.5 %</w:t>
            </w:r>
          </w:p>
        </w:tc>
      </w:tr>
    </w:tbl>
    <w:p>
      <w:pPr>
        <w:spacing w:after="0" w:line="13" w:lineRule="exact"/>
        <w:rPr>
          <w:sz w:val="20"/>
          <w:szCs w:val="20"/>
          <w:color w:val="auto"/>
        </w:rPr>
      </w:pPr>
    </w:p>
    <w:p>
      <w:pPr>
        <w:ind w:left="720" w:right="700" w:hanging="80"/>
        <w:spacing w:after="0" w:line="228" w:lineRule="auto"/>
        <w:tabs>
          <w:tab w:leader="none" w:pos="78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-226695</wp:posOffset>
            </wp:positionV>
            <wp:extent cx="4149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302"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$334.8 million for the thirteen weeks ended May 25, 2024, compared to $324.8 million for the thirteen weeks ended May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representing an increase of $10.0 million, driven primarily by Quest volume growth which offset Atkins softness. North America net sales increased 3.2% in the thirteen weeks ended May 25, 2024, compared to the thirteen weeks ended May 27, 2023, and International net sales decreased 2.4% during the same period.</w:t>
      </w:r>
    </w:p>
    <w:p>
      <w:pPr>
        <w:spacing w:after="0" w:line="203" w:lineRule="exact"/>
        <w:rPr>
          <w:sz w:val="20"/>
          <w:szCs w:val="20"/>
          <w:color w:val="auto"/>
        </w:rPr>
      </w:pPr>
    </w:p>
    <w:p>
      <w:pPr>
        <w:jc w:val="both"/>
        <w:ind w:firstLine="23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decreased $4.4 million, or 2.1%, for the thirteen weeks ended May 25, 2024,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27, 2023. The cost of goods sold decrease was primarily driven by lower ingredient and packaging costs in the thirteen weeks ended May 25, 2024.</w:t>
      </w:r>
    </w:p>
    <w:p>
      <w:pPr>
        <w:spacing w:after="0" w:line="198" w:lineRule="exact"/>
        <w:rPr>
          <w:sz w:val="20"/>
          <w:szCs w:val="20"/>
          <w:color w:val="auto"/>
        </w:rPr>
      </w:pPr>
    </w:p>
    <w:p>
      <w:pPr>
        <w:jc w:val="both"/>
        <w:ind w:firstLine="24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$14.4 million, or 12.1%, for the thirteen weeks ended May 25,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27, 2023. Additionally, gross profit of $133.6 million, or 39.9% of net sales, for the thirteen weeks ended May 25, 2024, increased 320 basis points from 36.7% of net sales for the thirteen weeks ended May 27, 2023. The increase in gross profit margin was primarily driven by lower ingredient and packaging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firstLine="2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$9.8 million, or 15.1%, for the thirteen weeks ended May 25, 2024,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27, 2023 due to the following:</w:t>
      </w:r>
    </w:p>
    <w:p>
      <w:pPr>
        <w:spacing w:after="0" w:line="184" w:lineRule="exact"/>
        <w:rPr>
          <w:sz w:val="20"/>
          <w:szCs w:val="20"/>
          <w:color w:val="auto"/>
        </w:rPr>
      </w:pPr>
    </w:p>
    <w:p>
      <w:pPr>
        <w:ind w:left="660" w:right="2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$6.3 million, or 20.9%, for the thirteen weeks ended May 25,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May 27, 2023, due to increased expenses related to growth initiatives and higher advertising costs.</w:t>
      </w:r>
    </w:p>
    <w:p>
      <w:pPr>
        <w:spacing w:after="0" w:line="50"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$1.0 million, or 3.4%, for the thirteen weeks ended May 25,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May 27, 2023. The increase in general and administrative expenses was primarily attributable to an increase of $1.9 million in employee-related costs, $0.3 million in stock-based compensation, and higher corporate expenses and other costs. These increases were partially offset by $2.4 million in term loan transaction fees incurred in the prior year.</w:t>
      </w:r>
    </w:p>
    <w:p>
      <w:pPr>
        <w:spacing w:after="0" w:line="71"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$4.1 million for the thirteen weeks ended May 25, 2024 and $4.4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May 27, 2023, respectively.</w:t>
      </w:r>
    </w:p>
    <w:p>
      <w:pPr>
        <w:spacing w:after="0" w:line="185"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$2.7 million for the thirteen weeks ended May 25, 2024 and were comprised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Acquisition of OWYN.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by $0.5 million for the thirteen weeks ended May 25,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27, 2023, due to higher cash balances than the prior year period and the increase in interest rates.</w:t>
      </w:r>
    </w:p>
    <w:p>
      <w:pPr>
        <w:spacing w:after="0" w:line="182" w:lineRule="exact"/>
        <w:rPr>
          <w:sz w:val="20"/>
          <w:szCs w:val="20"/>
          <w:color w:val="auto"/>
        </w:rPr>
      </w:pPr>
    </w:p>
    <w:p>
      <w:pPr>
        <w:jc w:val="both"/>
        <w:ind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$2.6 million for the thirteen weeks ended May 25, 2024, compared to the thirteen weeks ended May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primarily due to the effect of principal payments reducing the outstanding balance of the Term Facility (as defined below) to $240.0 million as of May 25, 2024, from $325.0 million as of May 27, 2023. Additionally, interest expense related to the amortization of deferred financing costs and debt discount decreased $0.6 million for the thirteen weeks ended May 25, 2024, compared to the thirteen weeks ended May 27, 2023.</w:t>
      </w:r>
    </w:p>
    <w:p>
      <w:pPr>
        <w:spacing w:after="0" w:line="203" w:lineRule="exact"/>
        <w:rPr>
          <w:sz w:val="20"/>
          <w:szCs w:val="20"/>
          <w:color w:val="auto"/>
        </w:rPr>
      </w:pPr>
    </w:p>
    <w:p>
      <w:pPr>
        <w:jc w:val="both"/>
        <w:ind w:firstLine="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Foreign currency transactions resulted in an immaterial loss and a gain of $0.2 million for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25, 2024, and May 27, 2023, respectively. The variance is attributable to changes in foreign currency rates related to our international operations.</w:t>
      </w:r>
    </w:p>
    <w:p>
      <w:pPr>
        <w:spacing w:after="0" w:line="198" w:lineRule="exact"/>
        <w:rPr>
          <w:sz w:val="20"/>
          <w:szCs w:val="20"/>
          <w:color w:val="auto"/>
        </w:rPr>
      </w:pPr>
    </w:p>
    <w:p>
      <w:pPr>
        <w:jc w:val="both"/>
        <w:ind w:right="20" w:firstLine="24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$1.7 million for the thirteen weeks ended May 25,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27, 2023. The increase in our income tax expense was primarily driven by changes in permanent differences.</w:t>
      </w:r>
    </w:p>
    <w:p>
      <w:pPr>
        <w:spacing w:after="0" w:line="182" w:lineRule="exact"/>
        <w:rPr>
          <w:sz w:val="20"/>
          <w:szCs w:val="20"/>
          <w:color w:val="auto"/>
        </w:rPr>
      </w:pPr>
    </w:p>
    <w:p>
      <w:pPr>
        <w:jc w:val="both"/>
        <w:ind w:firstLine="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$41.3 million for the thirteen weeks ended May 25, 2024, an increase of $5.9 million compared to net income of $35.4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thirteen weeks ended May 27, 2023. Net income was benefited by higher gross profit, higher interest income, and lower interest expense, partially offset by growth in marketing expenses, higher stock-based compensation expense, and recently incurred business transaction costs.</w:t>
      </w:r>
    </w:p>
    <w:p>
      <w:pPr>
        <w:spacing w:after="0" w:line="198" w:lineRule="exact"/>
        <w:rPr>
          <w:sz w:val="20"/>
          <w:szCs w:val="20"/>
          <w:color w:val="auto"/>
        </w:rPr>
      </w:pPr>
    </w:p>
    <w:p>
      <w:pPr>
        <w:jc w:val="both"/>
        <w:ind w:firstLine="23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$5.2 million, or 7.9%, for the thirteen weeks ended May 25, 2024,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27, 2023, driven primarily by higher gross profit, partially offset by growth in marketing expenses.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Thirty-Nine Weeks Ended May 25, 2024, and the Thirty-Nine Weeks Ended May 27, 2023</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Thirty-Nine Weeks 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Thirty-Nine Weeks Ended</w:t>
            </w:r>
          </w:p>
        </w:tc>
        <w:tc>
          <w:tcPr>
            <w:tcW w:w="1500" w:type="dxa"/>
            <w:vAlign w:val="bottom"/>
          </w:tcPr>
          <w:p>
            <w:pPr>
              <w:spacing w:after="0"/>
              <w:rPr>
                <w:sz w:val="18"/>
                <w:szCs w:val="18"/>
                <w:color w:val="auto"/>
              </w:rPr>
            </w:pPr>
          </w:p>
        </w:tc>
      </w:tr>
      <w:tr>
        <w:trPr>
          <w:trHeight w:val="259"/>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May 27, 2023</w:t>
            </w:r>
          </w:p>
        </w:tc>
        <w:tc>
          <w:tcPr>
            <w:tcW w:w="1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955,634</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922,254</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590,020</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589,284</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63.9 %</w:t>
            </w:r>
          </w:p>
        </w:tc>
      </w:tr>
      <w:tr>
        <w:trPr>
          <w:trHeight w:val="25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365,614</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332,970</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88,650</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73"/>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88,426</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82,085</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67"/>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70"/>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206,937</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183,770</w:t>
            </w:r>
          </w:p>
        </w:tc>
        <w:tc>
          <w:tcPr>
            <w:tcW w:w="14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19.9 %</w:t>
            </w:r>
          </w:p>
        </w:tc>
      </w:tr>
      <w:tr>
        <w:trPr>
          <w:trHeight w:val="273"/>
        </w:trPr>
        <w:tc>
          <w:tcPr>
            <w:tcW w:w="2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158,677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149,200</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73"/>
        </w:trPr>
        <w:tc>
          <w:tcPr>
            <w:tcW w:w="2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3"/>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67"/>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(23,201)</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73"/>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67"/>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28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(13,464)</w:t>
            </w:r>
          </w:p>
        </w:tc>
        <w:tc>
          <w:tcPr>
            <w:tcW w:w="1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w:t>
            </w:r>
          </w:p>
        </w:tc>
        <w:tc>
          <w:tcPr>
            <w:tcW w:w="14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145,213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126,743</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267"/>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35,195</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29,810</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51"/>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96,933</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191,679</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178,301</w:t>
            </w:r>
          </w:p>
        </w:tc>
        <w:tc>
          <w:tcPr>
            <w:tcW w:w="14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19.3 %</w:t>
            </w:r>
          </w:p>
        </w:tc>
      </w:tr>
    </w:tbl>
    <w:p>
      <w:pPr>
        <w:spacing w:after="0" w:line="13" w:lineRule="exact"/>
        <w:rPr>
          <w:sz w:val="20"/>
          <w:szCs w:val="20"/>
          <w:color w:val="auto"/>
        </w:rPr>
      </w:pPr>
    </w:p>
    <w:p>
      <w:pPr>
        <w:ind w:left="720" w:right="700" w:hanging="87"/>
        <w:spacing w:after="0" w:line="228" w:lineRule="auto"/>
        <w:tabs>
          <w:tab w:leader="none" w:pos="788"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-226695</wp:posOffset>
            </wp:positionV>
            <wp:extent cx="4397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289" w:lineRule="exact"/>
        <w:rPr>
          <w:sz w:val="20"/>
          <w:szCs w:val="20"/>
          <w:color w:val="auto"/>
        </w:rPr>
      </w:pPr>
    </w:p>
    <w:p>
      <w:pPr>
        <w:jc w:val="both"/>
        <w:ind w:firstLine="19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$955.6 million represented an increase of $33.4 million, or 3.6%, for the thirty-nine weeks ended May 25, 2024,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thirty-nine weeks ended May 27, 2023. The increase in sales was primarily driven by Quest volume growth which offset Atkins softness. North America and International net sales increased 3.6% and 3.4%, respectively, versus last year.</w:t>
      </w:r>
    </w:p>
    <w:p>
      <w:pPr>
        <w:spacing w:after="0" w:line="198"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$0.7 million, or 0.1%, for the thirty-nine weeks ended May 25, 2024, compared to the thirty-nine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27, 2023. The cost of goods sold increase was primarily driven by higher sales volumes in the thirty-nine weeks ended May 25, 2024.</w:t>
      </w:r>
    </w:p>
    <w:p>
      <w:pPr>
        <w:spacing w:after="0" w:line="182" w:lineRule="exact"/>
        <w:rPr>
          <w:sz w:val="20"/>
          <w:szCs w:val="20"/>
          <w:color w:val="auto"/>
        </w:rPr>
      </w:pPr>
    </w:p>
    <w:p>
      <w:pPr>
        <w:jc w:val="both"/>
        <w:ind w:right="20" w:firstLine="23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$32.6 million, or 9.8%, for the thirty-nine weeks ended May 25, 2024, compared to the thirty-nine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27, 2023. Additionally, gross profit of $365.6 million, or 38.3% of net sales, for the thirty-nine weeks ended May 25, 2024 increased 220 basis points from 36.1% of net sales for the thirty-nine weeks ended May 27, 2023, due primarily to lower ingredient and packaging costs.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20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$23.2 million, or 12.6%, for the thirty-nine weeks ended May 25, 2024, compared to the thirty-nine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27, 2023,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$14.4 million, or 16.3%, for the thirty-nine weeks ended May 25,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thirty-nine weeks ended May 27, 2023, primarily due to increased expenses related to growth initiatives and higher advertising costs.</w:t>
      </w:r>
    </w:p>
    <w:p>
      <w:pPr>
        <w:spacing w:after="0" w:line="65" w:lineRule="exact"/>
        <w:rPr>
          <w:rFonts w:ascii="Times New Roman" w:cs="Times New Roman" w:eastAsia="Times New Roman" w:hAnsi="Times New Roman"/>
          <w:sz w:val="18"/>
          <w:szCs w:val="18"/>
          <w:i w:val="1"/>
          <w:iCs w:val="1"/>
          <w:color w:val="auto"/>
        </w:rPr>
      </w:pPr>
    </w:p>
    <w:p>
      <w:pPr>
        <w:jc w:val="both"/>
        <w:ind w:left="660" w:hanging="247"/>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$6.3 million, or 7.7%, for the thirty-nine weeks ended May 25,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thirty-nine weeks ended May 27, 2023. The increase in general and administrative expense was primarily attributable to an increase to an increase of $4.3 million in employee-related costs, $2.5 million in stock-based compensation, and higher corporate expenses and other costs in the thirty-nine weeks ended May 25, 2024. These increases were partially offset by $2.4 million in term loan transaction fees incurred in the prior year.</w:t>
      </w:r>
    </w:p>
    <w:p>
      <w:pPr>
        <w:spacing w:after="0" w:line="21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$12.7 million and $13.0 million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25, 2024, compared to the thirty-nine weeks ended May 27, 2023, respectively.</w:t>
      </w:r>
    </w:p>
    <w:p>
      <w:pPr>
        <w:spacing w:after="0" w:line="18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$2.7 million for the thirty-nine weeks ended May 25, 2024 and were comprised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Acquisition of OWYN.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by $2.2 million for the thirty-nine weeks ended May 25, 2024, compared to the thirty-nine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27, 2023, due to higher cash balances, the increase in interest rates, and other sources of interest income.</w:t>
      </w:r>
    </w:p>
    <w:p>
      <w:pPr>
        <w:spacing w:after="0" w:line="182" w:lineRule="exact"/>
        <w:rPr>
          <w:sz w:val="20"/>
          <w:szCs w:val="20"/>
          <w:color w:val="auto"/>
        </w:rPr>
      </w:pPr>
    </w:p>
    <w:p>
      <w:pPr>
        <w:jc w:val="both"/>
        <w:ind w:firstLine="26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$6.5 million for the thirty-nine weeks ended May 25, 2024, compared to the thirty-nine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27, 2023, primarily due to the effect of principal payments reducing the outstanding balance of the Term Facility (as defined below) to $240.0 million as of May 25, 2024, from $325.0 million as of May 27, 2023. Additionally, interest expense related to the amortization of deferred financing costs and debt discount decreased $0.8 million for the thirty-nine weeks ended May 25, 2024, compared to the thirty-nine weeks ended May 27, 2023.</w:t>
      </w:r>
    </w:p>
    <w:p>
      <w:pPr>
        <w:spacing w:after="0" w:line="203"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foreign currency transactions. </w:t>
      </w:r>
      <w:r>
        <w:rPr>
          <w:rFonts w:ascii="Times New Roman" w:cs="Times New Roman" w:eastAsia="Times New Roman" w:hAnsi="Times New Roman"/>
          <w:sz w:val="18"/>
          <w:szCs w:val="18"/>
          <w:color w:val="auto"/>
        </w:rPr>
        <w:t>Foreign currency transactions resulted in a gain of $0.2 million and $0.1 million, respectively, for the thirty-nine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25, 2024, and May 27, 2023. The variance is attributable to changes in foreign currency rates related to our international operations.</w:t>
      </w:r>
    </w:p>
    <w:p>
      <w:pPr>
        <w:spacing w:after="0" w:line="182"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$5.4 million for the thirty-nine weeks ended May 25, 2024, compared to the thirty-nine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27, 2023. The increase in our income tax expense was primarily driven by higher income from operations and changes in permanent differences.</w:t>
      </w:r>
    </w:p>
    <w:p>
      <w:pPr>
        <w:spacing w:after="0" w:line="182" w:lineRule="exact"/>
        <w:rPr>
          <w:sz w:val="20"/>
          <w:szCs w:val="20"/>
          <w:color w:val="auto"/>
        </w:rPr>
      </w:pPr>
    </w:p>
    <w:p>
      <w:pPr>
        <w:jc w:val="both"/>
        <w:ind w:firstLine="23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$110.0 million for the thirty-nine weeks ended May 25, 2024, an increase of $13.1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$96.9 million for the thirty-nine weeks ended May 27, 2023. Net income was benefited by higher gross profit, higher interest income, and lower interest expense, and was partially offset by growth in marketing expenses, higher stock-based compensation expenses, recently incurred business transaction costs. and higher income tax expense.</w:t>
      </w:r>
    </w:p>
    <w:p>
      <w:pPr>
        <w:spacing w:after="0" w:line="203" w:lineRule="exact"/>
        <w:rPr>
          <w:sz w:val="20"/>
          <w:szCs w:val="20"/>
          <w:color w:val="auto"/>
        </w:rPr>
      </w:pPr>
    </w:p>
    <w:p>
      <w:pPr>
        <w:jc w:val="both"/>
        <w:ind w:firstLine="24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$13.4 million, or 7.5% for the thirty-nine weeks ended May 25, 2024, compared to the thirty-nine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27, 2023, driven primarily by higher net gross profit, partially offset by investments in growth initiatives and higher advertising costs.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business transaction costs, term loan transaction fees,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thirty-nine weeks ended May 25, 2024, and May 27, 2023:</w:t>
      </w:r>
    </w:p>
    <w:p>
      <w:pPr>
        <w:spacing w:after="0" w:line="23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Thirteen Weeks Ended</w:t>
            </w:r>
          </w:p>
        </w:tc>
        <w:tc>
          <w:tcPr>
            <w:tcW w:w="200" w:type="dxa"/>
            <w:vAlign w:val="bottom"/>
          </w:tcPr>
          <w:p>
            <w:pPr>
              <w:spacing w:after="0"/>
              <w:rPr>
                <w:sz w:val="18"/>
                <w:szCs w:val="18"/>
                <w:color w:val="auto"/>
              </w:rPr>
            </w:pPr>
          </w:p>
        </w:tc>
        <w:tc>
          <w:tcPr>
            <w:tcW w:w="28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27, 2023</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27, 2023</w:t>
            </w: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96,933</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7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23,201</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29,810</w:t>
            </w:r>
          </w:p>
        </w:tc>
      </w:tr>
      <w:tr>
        <w:trPr>
          <w:trHeight w:val="27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15,044</w:t>
            </w:r>
          </w:p>
        </w:tc>
      </w:tr>
      <w:tr>
        <w:trPr>
          <w:trHeight w:val="25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59,529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164,328</w:t>
            </w:r>
          </w:p>
        </w:tc>
      </w:tr>
      <w:tr>
        <w:trPr>
          <w:trHeight w:val="27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r>
      <w:tr>
        <w:trPr>
          <w:trHeight w:val="267"/>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7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r>
      <w:tr>
        <w:trPr>
          <w:trHeight w:val="27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2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66,635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178,301</w:t>
            </w: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880" w:hanging="146"/>
        <w:spacing w:after="0"/>
        <w:tabs>
          <w:tab w:leader="none" w:pos="88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20"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187"/>
        <w:spacing w:after="0" w:line="245" w:lineRule="auto"/>
        <w:rPr>
          <w:sz w:val="20"/>
          <w:szCs w:val="20"/>
          <w:color w:val="auto"/>
        </w:rPr>
      </w:pPr>
      <w:r>
        <w:rPr>
          <w:rFonts w:ascii="Times New Roman" w:cs="Times New Roman" w:eastAsia="Times New Roman" w:hAnsi="Times New Roman"/>
          <w:sz w:val="18"/>
          <w:szCs w:val="18"/>
          <w:color w:val="auto"/>
        </w:rPr>
        <w:t>We had $208.7 million in cash as of May 25, 2024.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8"/>
          <w:szCs w:val="18"/>
          <w:color w:val="auto"/>
        </w:rPr>
        <w:t>On July 7, 2017, we (through certain of our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89" w:lineRule="exact"/>
        <w:rPr>
          <w:sz w:val="20"/>
          <w:szCs w:val="20"/>
          <w:color w:val="auto"/>
        </w:rPr>
      </w:pPr>
    </w:p>
    <w:p>
      <w:pPr>
        <w:jc w:val="both"/>
        <w:ind w:firstLine="220"/>
        <w:spacing w:after="0" w:line="239"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2023 Repricing Amendment, the interest rate per annum for the Initial Term Loans is based on either:</w:t>
      </w:r>
    </w:p>
    <w:p>
      <w:pPr>
        <w:spacing w:after="0" w:line="90" w:lineRule="exact"/>
        <w:rPr>
          <w:sz w:val="20"/>
          <w:szCs w:val="20"/>
          <w:color w:val="auto"/>
        </w:rPr>
      </w:pPr>
    </w:p>
    <w:p>
      <w:pPr>
        <w:jc w:val="both"/>
        <w:ind w:left="660" w:hanging="328"/>
        <w:spacing w:after="0" w:line="266"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right="20" w:hanging="328"/>
        <w:spacing w:after="0" w:line="282" w:lineRule="auto"/>
        <w:tabs>
          <w:tab w:leader="none" w:pos="6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75"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May 25, 2024, and August 26, 2023, respectively.</w:t>
      </w:r>
    </w:p>
    <w:p>
      <w:pPr>
        <w:spacing w:after="0" w:line="216" w:lineRule="exact"/>
        <w:rPr>
          <w:sz w:val="20"/>
          <w:szCs w:val="20"/>
          <w:color w:val="auto"/>
        </w:rPr>
      </w:pPr>
    </w:p>
    <w:p>
      <w:pPr>
        <w:jc w:val="both"/>
        <w:ind w:firstLine="181"/>
        <w:spacing w:after="0" w:line="266" w:lineRule="auto"/>
        <w:rPr>
          <w:sz w:val="20"/>
          <w:szCs w:val="20"/>
          <w:color w:val="auto"/>
        </w:rPr>
      </w:pPr>
      <w:r>
        <w:rPr>
          <w:rFonts w:ascii="Times New Roman" w:cs="Times New Roman" w:eastAsia="Times New Roman" w:hAnsi="Times New Roman"/>
          <w:sz w:val="18"/>
          <w:szCs w:val="18"/>
          <w:color w:val="auto"/>
        </w:rPr>
        <w:t>At May 25, 2024, the outstanding balance of the Term Facility was $240.0 million. We are not required to make principal payments on the Term Facility over the twelve months following the period ended May 25, 2024. The outstanding balance of the Term Facility is due upon its maturity in March 2027. As of May 25, 2024,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Financing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2024, the Company entered into a Purchase Agreement to acquire OWYN, a plant-based protein food company, for approximately $280.0 million. On June 13, 2024, pursuant to the Purchase Agreement, the Company completed the acquisition of OWYN for approximately $280.0 million, subject to certain customary adjustments for levels of cash, indebtedness, net working capital, purchase price adjustments and transaction related expenses as of the closing date.</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 under the Term Facility. The 2024 Incremental Facility Amendment was executed to partially finance the acquisition of OWYN on June 13, 2024. No amounts under the Term Facility were repaid as a result of the execution of the 2024 Incremental Facility Amendment.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26"/>
        <w:spacing w:after="0" w:line="261"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approved the addition of $50.0 million to our stock repurchase program, resulting in authorized stock repurchases of up to an aggregate of $150.0 million. The Company did not repurchase any shares of common stock during the thirty-nine weeks ended May 25, 2024. During the thirty-nine weeks ended May 27, 2023, the Company repurchased 546,346 shares of common stock at an average share price of $30.11 per share.</w:t>
      </w:r>
    </w:p>
    <w:p>
      <w:pPr>
        <w:spacing w:after="0" w:line="207" w:lineRule="exact"/>
        <w:rPr>
          <w:sz w:val="20"/>
          <w:szCs w:val="20"/>
          <w:color w:val="auto"/>
        </w:rPr>
      </w:pPr>
    </w:p>
    <w:p>
      <w:pPr>
        <w:jc w:val="both"/>
        <w:ind w:firstLine="185"/>
        <w:spacing w:after="0" w:line="266" w:lineRule="auto"/>
        <w:rPr>
          <w:sz w:val="20"/>
          <w:szCs w:val="20"/>
          <w:color w:val="auto"/>
        </w:rPr>
      </w:pPr>
      <w:r>
        <w:rPr>
          <w:rFonts w:ascii="Times New Roman" w:cs="Times New Roman" w:eastAsia="Times New Roman" w:hAnsi="Times New Roman"/>
          <w:sz w:val="18"/>
          <w:szCs w:val="18"/>
          <w:color w:val="auto"/>
        </w:rPr>
        <w:t>As of May 25, 2024, approximately $71.5 million remained available for repurchases under our $150.0 million stock repurchase program. Refer to Note 10, Stockholders’ Equity, of the Notes to Unaudited Consolidated Financial Statements in this Report for additional information related to our stock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36"/>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25, 2024</w:t>
            </w:r>
          </w:p>
        </w:tc>
        <w:tc>
          <w:tcPr>
            <w:tcW w:w="200" w:type="dxa"/>
            <w:vAlign w:val="bottom"/>
          </w:tcPr>
          <w:p>
            <w:pPr>
              <w:spacing w:after="0"/>
              <w:rPr>
                <w:sz w:val="20"/>
                <w:szCs w:val="20"/>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May 27, 2023</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166,755</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110,412</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(10,446)</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(98,579)</w:t>
            </w:r>
          </w:p>
        </w:tc>
      </w:tr>
    </w:tbl>
    <w:p>
      <w:pPr>
        <w:spacing w:after="0" w:line="304" w:lineRule="exact"/>
        <w:rPr>
          <w:sz w:val="20"/>
          <w:szCs w:val="20"/>
          <w:color w:val="auto"/>
        </w:rPr>
      </w:pPr>
    </w:p>
    <w:p>
      <w:pPr>
        <w:jc w:val="both"/>
        <w:ind w:firstLine="2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$56.3 million to $166.8 million for the thirty-nine weeks ended May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$110.4 million for the thirty-nine weeks ended May 27, 2023. The increase in cash provided by operating activities was primarily attributable to changes in working capital for the thirty-nine weeks ended May 25, 2024, as compared to the thirty-nine weeks ended May 27, 2023. Changes in working capital, comprised of changes in accounts receivable, net, inventories, prepaid expenses, other current assets, accounts payable, accrued interest, accrued expenses and other current liabilities, and other assets and liabilities, which are driven by the timing of payments and receipts and seasonal building of inventory, generated cash of $6.8 million in the thirty-nine weeks ended May 25, 2024 compared to $31.6 million of cash consumed in the thirty-nine weeks ended May 27, 2023, an improvement of $38.4 million. Income from operations increased by $9.5 million to $158.7 million for the thirty-nine weeks ended May 25, 2024, as compared to $149.2 million for the thirty-nine weeks ended May 27, 2023. Additionally, cash paid for interest was $16.0 million in the thirty-nine weeks ended May 25, 2024, which was a decrease of $5.3 million as compared to the $21.3 million paid for interest in the thirty-nine weeks ended May 27, 2023. Interest income increased by $2.2 million for the thirty-nine weeks ended May 25, 2024, compared to the thirty-nine weeks ended May 27, 2023, due to higher cash balances, the increase in interest rates, and other sources of interest income.</w:t>
      </w:r>
    </w:p>
    <w:p>
      <w:pPr>
        <w:spacing w:after="0" w:line="219"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$2.3 million for the thirty-nine weeks ended May 25, 2024 compared to $10.4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thirty-nine weeks ended May 27, 2023. Our net cash used in investing activities for the thirty-nine weeks ended May 25, 2024, primarily comprised $1.8 million of purchases of property and equipment. The $10.4 million of net cash used in investing activities for the thirty-nine weeks ended May 27, 2023, primarily comprised $10.1 million of purchases of property and equipment.</w:t>
      </w:r>
    </w:p>
    <w:p>
      <w:pPr>
        <w:spacing w:after="0" w:line="207" w:lineRule="exact"/>
        <w:rPr>
          <w:sz w:val="20"/>
          <w:szCs w:val="20"/>
          <w:color w:val="auto"/>
        </w:rPr>
      </w:pPr>
    </w:p>
    <w:p>
      <w:pPr>
        <w:jc w:val="both"/>
        <w:ind w:firstLine="247"/>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$43.6 million for the thirty-nine weeks ended May 25, 2024, compared to $98.6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thirty-nine weeks ended May 27, 2023. Net cash used in financing activities for the thirty-nine weeks ended May 25, 2024, primarily consisted of $45.0 million in principal payments on the Term Facility, and $4.8 million in tax payments related to issuance of restricted stock units and performance stock units, partially offset by $4.3 million of cash proceeds received from option exercises, and $2.1 million of cash proceeds received from the partial repayment of an outstanding note receivable. Net cash used in financing activities for the thirty-nine weeks ended May 27, 2023, primarily consisted of $16.4 million in repurchases of common stock, $81.5 million in principal payments on the Term Facility, and $2.8 million in tax payments related to issuance of restricted stock units and performance stock units, partially offset by $5.0 million of cash proceeds received from option exercises.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thirteen-week period ended May 25, 2024.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May 25, 2024,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May 25, 2024,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Except as set forth below,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grow through acquisitions or joint ventures and we may not successfully integrate, operate or realize the anticipated benefits of such business combinations.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strategic initiatives, we intend to pursue acquisitions or joint ventures, such as our acquisition of OWYN.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significant management time and distraction from our core business, even where we cannot consummate or decide not to pursue a particular transaction.</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the integration of personnel with diverse backgrounds and organizational cultures, the coordination of sales and marketing functions and failure to obtain and retain key personnel of an acquired business. Failure to manage these acquisition growth risks could have an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the OWYN acquisition we completed in June 2024, because of integration difficulties and other challenges.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OWYN acquisition will depend, in part, on our ability to realize all or some of the anticipated benefits from integrating OWYN’s business with our existing businesses. The integration process may be complex, costly and time-consuming. The difficulties of integrating the operations of OWYN’s business include, among others:</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our business plan for the combined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co-manufacturing, logistics, information, communications and other systems;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inconsistencies in standards, controls, procedures and policies, and compensation structures between OWYN’s structure and our structure;</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customers and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applicable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integrating personnel from another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inherent in OWYN’s business and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expenses and liabilities.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maintain the levels of net sales, earnings or operating efficiency that each company had achieved historically or might achieve separately. In addition, we may not accomplish the integration of OWYN’s business smoothly, successfully or within the anticipated costs or time-frame. If we experience difficulties with the integration process, the anticipated benefits of the acquisition may not be realized fully, or at all, or may take longer to realize than expected.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financial condition and ability to operate our company, and we may incur additional 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27, 2024, we had approximately $490.0 million in outstanding indebtedness and a revolving credit facility of $75 million.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jc w:val="both"/>
        <w:ind w:firstLine="236"/>
        <w:spacing w:after="0" w:line="282" w:lineRule="auto"/>
        <w:rPr>
          <w:sz w:val="20"/>
          <w:szCs w:val="20"/>
          <w:color w:val="auto"/>
        </w:rPr>
      </w:pPr>
      <w:r>
        <w:rPr>
          <w:rFonts w:ascii="Times New Roman" w:cs="Times New Roman" w:eastAsia="Times New Roman" w:hAnsi="Times New Roman"/>
          <w:sz w:val="18"/>
          <w:szCs w:val="18"/>
          <w:color w:val="auto"/>
        </w:rPr>
        <w:t>In the three months ended May 25, 2024,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2"/>
        </w:trPr>
        <w:tc>
          <w:tcPr>
            <w:tcW w:w="300" w:type="dxa"/>
            <w:vAlign w:val="bottom"/>
            <w:tcBorders>
              <w:top w:val="single" w:sz="8" w:color="auto"/>
            </w:tcBorders>
            <w:gridSpan w:val="3"/>
            <w:shd w:val="clear" w:color="auto" w:fill="CCEEFF"/>
          </w:tcPr>
          <w:p>
            <w:pPr>
              <w:ind w:left="20"/>
              <w:spacing w:after="0" w:line="17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2.</w:t>
              </w:r>
              <w:r>
                <w:rPr>
                  <w:rFonts w:ascii="Times New Roman" w:cs="Times New Roman" w:eastAsia="Times New Roman" w:hAnsi="Times New Roman"/>
                  <w:sz w:val="16"/>
                  <w:szCs w:val="16"/>
                  <w:u w:val="single" w:color="auto"/>
                  <w:color w:val="0000FF"/>
                </w:rPr>
                <w:t>1</w:t>
              </w:r>
            </w:hyperlink>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0" w:type="dxa"/>
            <w:vAlign w:val="bottom"/>
            <w:tcBorders>
              <w:top w:val="single" w:sz="8" w:color="auto"/>
            </w:tcBorders>
            <w:gridSpan w:val="16"/>
            <w:shd w:val="clear" w:color="auto" w:fill="CCEEFF"/>
          </w:tcPr>
          <w:p>
            <w:pPr>
              <w:spacing w:after="0" w:line="17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Stock Purchase Agreement, dated as of April 29, 2024, by and among Simply Good Foods USA, Inc., a New York corporation, Only</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940" w:type="dxa"/>
            <w:vAlign w:val="bottom"/>
            <w:tcBorders>
              <w:top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What You Need, Inc., a Delaware corporation, and Safe Brands, LLC, a Delaware limited liability company (incorporated by reference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8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to Exhibit 2.1 to our Current Report on Form 8-K filed on April 30, 2024).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4"/>
          </w:tcPr>
          <w:p>
            <w:pPr>
              <w:ind w:left="20"/>
              <w:spacing w:after="0" w:line="17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gridSpan w:val="16"/>
          </w:tcPr>
          <w:p>
            <w:pPr>
              <w:spacing w:after="0" w:line="17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The Simply Good Foods Company Second Amended and Restated Executive Severance Compensation Plan, dated April 16, 2024</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(incorporated by reference to Exhibit 10.1 to our Current Report on Form 8-K filed on April 22,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4"/>
            <w:shd w:val="clear" w:color="auto" w:fill="CCEEFF"/>
          </w:tcPr>
          <w:p>
            <w:pPr>
              <w:ind w:left="20"/>
              <w:spacing w:after="0" w:line="17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0" w:type="dxa"/>
            <w:vAlign w:val="bottom"/>
            <w:gridSpan w:val="16"/>
            <w:shd w:val="clear" w:color="auto" w:fill="CCEEFF"/>
          </w:tcPr>
          <w:p>
            <w:pPr>
              <w:spacing w:after="0" w:line="17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The Simply Good Foods Company 2017 Omnibus Incentive Plan, as amended from time to time Policy Regarding Treatment of Awards</w:t>
              </w:r>
            </w:hyperlink>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82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in the Event of an Awardee’s Retirement, Approved as of April 16, 2024 (incorporated by reference to Exhibit 10.2 to our Current</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940" w:type="dxa"/>
            <w:vAlign w:val="bottom"/>
            <w:tcBorders>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Report on Form 8-K filed on April 22, 2024).</w:t>
              </w:r>
            </w:hyperlink>
          </w:p>
        </w:tc>
        <w:tc>
          <w:tcPr>
            <w:tcW w:w="6020" w:type="dxa"/>
            <w:vAlign w:val="bottom"/>
            <w:tcBorders>
              <w:bottom w:val="single" w:sz="8" w:color="CCEEFF"/>
            </w:tcBorders>
            <w:gridSpan w:val="13"/>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5"/>
        </w:trPr>
        <w:tc>
          <w:tcPr>
            <w:tcW w:w="960" w:type="dxa"/>
            <w:vAlign w:val="bottom"/>
            <w:gridSpan w:val="4"/>
          </w:tcPr>
          <w:p>
            <w:pPr>
              <w:ind w:left="20"/>
              <w:spacing w:after="0" w:line="175"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gridSpan w:val="16"/>
          </w:tcPr>
          <w:p>
            <w:pPr>
              <w:spacing w:after="0" w:line="175"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Amendment No. 6 (Incremental Facility Amendment), dated as of June 13, 2024, among Atkins Intermediate Holdings, LLC, a</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Delaware limited liability company, Conyers Park Acquisition Corp., a Delaware corporation, Simply Good Foods USA, Inc., a New</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gridSpan w:val="15"/>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York corporation, Atkins Nutritionals Holdings, Inc., a Delaware corporation, Atkins Nutritionals Holdings II, Inc., a Delaware</w:t>
              </w:r>
            </w:hyperlink>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2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corporation, NCP-ATK Holdings, Inc., a Delaware corporation, the lenders party thereto and Barclays Bank PLC, as administrative</w:t>
              </w:r>
            </w:hyperlink>
          </w:p>
        </w:tc>
        <w:tc>
          <w:tcPr>
            <w:tcW w:w="80" w:type="dxa"/>
            <w:vAlign w:val="bottom"/>
            <w:gridSpan w:val="4"/>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4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agent (incorporated by reference to Exhibit 2.1 to our Current Report on Form 8-K filed on June 17, 2024).</w:t>
              </w:r>
            </w:hyperlink>
          </w:p>
        </w:tc>
        <w:tc>
          <w:tcPr>
            <w:tcW w:w="160" w:type="dxa"/>
            <w:vAlign w:val="bottom"/>
            <w:gridSpan w:val="8"/>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gridSpan w:val="4"/>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gridSpan w:val="16"/>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gridSpan w:val="4"/>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10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4"/>
                <w:szCs w:val="14"/>
                <w:color w:val="auto"/>
              </w:rPr>
            </w:pPr>
          </w:p>
        </w:tc>
        <w:tc>
          <w:tcPr>
            <w:tcW w:w="9000" w:type="dxa"/>
            <w:vAlign w:val="bottom"/>
            <w:gridSpan w:val="16"/>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9"/>
        </w:trPr>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19"/>
                <w:szCs w:val="19"/>
                <w:color w:val="auto"/>
              </w:rPr>
            </w:pPr>
          </w:p>
        </w:tc>
        <w:tc>
          <w:tcPr>
            <w:tcW w:w="9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9"/>
        </w:trPr>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19"/>
                <w:szCs w:val="19"/>
                <w:color w:val="auto"/>
              </w:rPr>
            </w:pPr>
          </w:p>
        </w:tc>
        <w:tc>
          <w:tcPr>
            <w:tcW w:w="9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3"/>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9"/>
        </w:trPr>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19"/>
                <w:szCs w:val="19"/>
                <w:color w:val="auto"/>
              </w:rPr>
            </w:pPr>
          </w:p>
        </w:tc>
        <w:tc>
          <w:tcPr>
            <w:tcW w:w="9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ind w:left="660" w:right="1720" w:hanging="6"/>
        <w:spacing w:after="0" w:line="281" w:lineRule="auto"/>
        <w:tabs>
          <w:tab w:leader="none" w:pos="175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June 27, 2024</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60"/>
          </w:cols>
          <w:pgMar w:left="320" w:top="121" w:right="11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27, 2024</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27, 2024</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59"/>
        </w:trPr>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May 25, 2024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27, 2024</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Date: June 27, 2024</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1"/>
    </w:lvl>
  </w:abstractNum>
  <w:abstractNum w:abstractNumId="4">
    <w:nsid w:val="DED7263"/>
    <w:multiLevelType w:val="hybridMultilevel"/>
    <w:lvl w:ilvl="0">
      <w:lvlJc w:val="left"/>
      <w:lvlText w:val="%1."/>
      <w:numFmt w:val="decimal"/>
      <w:start w:val="7"/>
    </w:lvl>
  </w:abstractNum>
  <w:abstractNum w:abstractNumId="5">
    <w:nsid w:val="7FDCC233"/>
    <w:multiLevelType w:val="hybridMultilevel"/>
    <w:lvl w:ilvl="0">
      <w:lvlJc w:val="left"/>
      <w:lvlText w:val="%1."/>
      <w:numFmt w:val="decimal"/>
      <w:start w:val="8"/>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1."/>
      <w:numFmt w:val="lowerRoman"/>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9">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0">
    <w:nsid w:val="721DA31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21">
    <w:nsid w:val="2443A858"/>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2">
    <w:nsid w:val="2D1D5AE9"/>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2" Type="http://schemas.openxmlformats.org/officeDocument/2006/relationships/hyperlink" Target="https://www.sec.gov/ix?doc=/Archives/edgar/data/1702744/000110465924054943/tm2413019d1_8k.htm" TargetMode="External"/><Relationship Id="rId43" Type="http://schemas.openxmlformats.org/officeDocument/2006/relationships/hyperlink" Target="https://www.sec.gov/ix?doc=/Archives/edgar/data/1702744/000110465924050021/tm2412311d1_8k.htm" TargetMode="External"/><Relationship Id="rId44" Type="http://schemas.openxmlformats.org/officeDocument/2006/relationships/hyperlink" Target="https://www.sec.gov/ix?doc=/Archives/edgar/data/1702744/000110465924072273/tm241726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2024-06-27T13:53:37Z</dcterms:created>
  <dcterms:modified xsi:type="dcterms:W3CDTF">2024-06-27T13:53:37Z</dcterms:modified>
</cp:coreProperties>
</file>