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4" w:lineRule="exact"/>
        <w:rPr>
          <w:sz w:val="24"/>
          <w:szCs w:val="24"/>
          <w:color w:val="auto"/>
        </w:rPr>
      </w:pPr>
    </w:p>
    <w:p>
      <w:pPr>
        <w:ind w:left="2020" w:right="720" w:hanging="763"/>
        <w:spacing w:after="0" w:line="273" w:lineRule="auto"/>
        <w:tabs>
          <w:tab w:leader="none" w:pos="2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August 31, 2019</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2020" w:right="720" w:hanging="729"/>
        <w:spacing w:after="0" w:line="268" w:lineRule="auto"/>
        <w:tabs>
          <w:tab w:leader="none" w:pos="2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85725</wp:posOffset>
            </wp:positionV>
            <wp:extent cx="268414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41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38" w:orient="portrait"/>
          <w:cols w:equalWidth="0" w:num="1">
            <w:col w:w="11420"/>
          </w:cols>
          <w:pgMar w:left="240" w:top="588" w:right="239" w:bottom="173" w:gutter="0" w:footer="0" w:header="0"/>
        </w:sectPr>
      </w:pPr>
    </w:p>
    <w:p>
      <w:pPr>
        <w:spacing w:after="0" w:line="14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82-1038121</w:t>
      </w:r>
    </w:p>
    <w:p>
      <w:pPr>
        <w:spacing w:after="0" w:line="83" w:lineRule="exact"/>
        <w:rPr>
          <w:sz w:val="24"/>
          <w:szCs w:val="24"/>
          <w:color w:val="auto"/>
        </w:rPr>
      </w:pPr>
    </w:p>
    <w:p>
      <w:pPr>
        <w:sectPr>
          <w:pgSz w:w="11900" w:h="16838" w:orient="portrait"/>
          <w:cols w:equalWidth="0" w:num="2">
            <w:col w:w="8220" w:space="720"/>
            <w:col w:w="2480"/>
          </w:cols>
          <w:pgMar w:left="240" w:top="588" w:right="239" w:bottom="173" w:gutter="0" w:footer="0" w:header="0"/>
          <w:type w:val="continuous"/>
        </w:sectPr>
      </w:pPr>
    </w:p>
    <w:tbl>
      <w:tblPr>
        <w:tblLayout w:type="fixed"/>
        <w:tblInd w:w="940" w:type="dxa"/>
        <w:tblCellMar>
          <w:top w:w="0" w:type="dxa"/>
          <w:left w:w="0" w:type="dxa"/>
          <w:bottom w:w="0" w:type="dxa"/>
          <w:right w:w="0" w:type="dxa"/>
        </w:tblCellMar>
      </w:tblPr>
      <w:tr>
        <w:trPr>
          <w:trHeight w:val="203"/>
        </w:trPr>
        <w:tc>
          <w:tcPr>
            <w:tcW w:w="4600" w:type="dxa"/>
            <w:vAlign w:val="bottom"/>
          </w:tcPr>
          <w:p>
            <w:pPr>
              <w:jc w:val="center"/>
              <w:ind w:right="25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20" w:type="dxa"/>
            <w:vAlign w:val="bottom"/>
            <w:vMerge w:val="restart"/>
          </w:tcPr>
          <w:p>
            <w:pPr>
              <w:ind w:left="266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600" w:type="dxa"/>
            <w:vAlign w:val="bottom"/>
            <w:vMerge w:val="restart"/>
          </w:tcPr>
          <w:p>
            <w:pPr>
              <w:jc w:val="center"/>
              <w:ind w:right="25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2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4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70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17"/>
        </w:trPr>
        <w:tc>
          <w:tcPr>
            <w:tcW w:w="700" w:type="dxa"/>
            <w:vAlign w:val="bottom"/>
          </w:tcPr>
          <w:p>
            <w:pPr>
              <w:spacing w:after="0"/>
              <w:rPr>
                <w:sz w:val="18"/>
                <w:szCs w:val="18"/>
                <w:color w:val="auto"/>
              </w:rPr>
            </w:pPr>
          </w:p>
        </w:tc>
        <w:tc>
          <w:tcPr>
            <w:tcW w:w="420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4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rPr>
              <w:t>SMPL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519"/>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7" w:lineRule="exact"/>
        <w:rPr>
          <w:sz w:val="24"/>
          <w:szCs w:val="24"/>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7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88" w:right="239" w:bottom="173" w:gutter="0" w:footer="0" w:header="0"/>
          <w:type w:val="continuous"/>
        </w:sectPr>
      </w:pPr>
    </w:p>
    <w:p>
      <w:pPr>
        <w:spacing w:after="0" w:line="14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44" w:lineRule="exact"/>
        <w:rPr>
          <w:sz w:val="24"/>
          <w:szCs w:val="24"/>
          <w:color w:val="auto"/>
        </w:rPr>
      </w:pPr>
    </w:p>
    <w:p>
      <w:pPr>
        <w:sectPr>
          <w:pgSz w:w="11900" w:h="16838" w:orient="portrait"/>
          <w:cols w:equalWidth="0" w:num="3">
            <w:col w:w="4840" w:space="340"/>
            <w:col w:w="780" w:space="720"/>
            <w:col w:w="4740"/>
          </w:cols>
          <w:pgMar w:left="240" w:top="588" w:right="239" w:bottom="173" w:gutter="0" w:footer="0" w:header="0"/>
          <w:type w:val="continuous"/>
        </w:sectPr>
      </w:pPr>
    </w:p>
    <w:p>
      <w:pPr>
        <w:spacing w:after="0" w:line="4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7" w:lineRule="exact"/>
        <w:rPr>
          <w:sz w:val="24"/>
          <w:szCs w:val="24"/>
          <w:color w:val="auto"/>
        </w:rPr>
      </w:pPr>
    </w:p>
    <w:p>
      <w:pPr>
        <w:sectPr>
          <w:pgSz w:w="11900" w:h="16838" w:orient="portrait"/>
          <w:cols w:equalWidth="0" w:num="4">
            <w:col w:w="4760" w:space="420"/>
            <w:col w:w="160" w:space="660"/>
            <w:col w:w="1760" w:space="60"/>
            <w:col w:w="3600"/>
          </w:cols>
          <w:pgMar w:left="240" w:top="588" w:right="239" w:bottom="173" w:gutter="0" w:footer="0" w:header="0"/>
          <w:type w:val="continuous"/>
        </w:sectPr>
      </w:pPr>
    </w:p>
    <w:p>
      <w:pPr>
        <w:spacing w:after="0" w:line="34" w:lineRule="exact"/>
        <w:rPr>
          <w:sz w:val="24"/>
          <w:szCs w:val="24"/>
          <w:color w:val="auto"/>
        </w:rPr>
      </w:pPr>
    </w:p>
    <w:p>
      <w:pPr>
        <w:ind w:left="60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7" w:lineRule="exact"/>
        <w:rPr>
          <w:sz w:val="24"/>
          <w:szCs w:val="24"/>
          <w:color w:val="auto"/>
        </w:rPr>
      </w:pPr>
    </w:p>
    <w:p>
      <w:pPr>
        <w:sectPr>
          <w:pgSz w:w="11900" w:h="16838" w:orient="portrait"/>
          <w:cols w:equalWidth="0" w:num="2">
            <w:col w:w="7760" w:space="60"/>
            <w:col w:w="3600"/>
          </w:cols>
          <w:pgMar w:left="240" w:top="588" w:right="239" w:bottom="173" w:gutter="0" w:footer="0" w:header="0"/>
          <w:type w:val="continuous"/>
        </w:sectPr>
      </w:pPr>
    </w:p>
    <w:p>
      <w:pPr>
        <w:spacing w:after="0" w:line="57"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588" w:right="239" w:bottom="173"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February 22, 2019, the last trading day of the registrant's most recently completed second fiscal quarter was approximately $1.4 billion based on the closing price of $20.74 for one share of common stock, as reported on the Nasdaq Capital Market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25, 2019, there were 95,294,519 shares of common stock, par value $0.01 per share,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0" w:firstLine="648"/>
        <w:spacing w:after="0" w:line="235" w:lineRule="exact"/>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2020 annual meeting of stockholders, to be filed within 120 days after the end of fiscal year ended August 31, 2019, are incorporated by reference into Part III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ectPr>
          <w:pgSz w:w="11900" w:h="16838" w:orient="portrait"/>
          <w:cols w:equalWidth="0" w:num="1">
            <w:col w:w="11420"/>
          </w:cols>
          <w:pgMar w:left="240" w:top="121" w:right="2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50"/>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40" w:type="dxa"/>
            <w:vAlign w:val="bottom"/>
            <w:gridSpan w:val="15"/>
          </w:tcPr>
          <w:p>
            <w:pPr>
              <w:jc w:val="center"/>
              <w:ind w:right="406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2840" w:type="dxa"/>
            <w:vAlign w:val="bottom"/>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4"/>
          </w:tcPr>
          <w:p>
            <w:pPr>
              <w:spacing w:after="0"/>
              <w:rPr>
                <w:sz w:val="21"/>
                <w:szCs w:val="21"/>
                <w:color w:val="auto"/>
              </w:rPr>
            </w:pPr>
          </w:p>
        </w:tc>
        <w:tc>
          <w:tcPr>
            <w:tcW w:w="4060" w:type="dxa"/>
            <w:vAlign w:val="bottom"/>
            <w:gridSpan w:val="11"/>
          </w:tcPr>
          <w:p>
            <w:pPr>
              <w:spacing w:after="0"/>
              <w:rPr>
                <w:sz w:val="21"/>
                <w:szCs w:val="21"/>
                <w:color w:val="auto"/>
              </w:rPr>
            </w:pPr>
          </w:p>
        </w:tc>
        <w:tc>
          <w:tcPr>
            <w:tcW w:w="400" w:type="dxa"/>
            <w:vAlign w:val="bottom"/>
            <w:gridSpan w:val="3"/>
          </w:tcPr>
          <w:p>
            <w:pPr>
              <w:jc w:val="center"/>
              <w:ind w:left="21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14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83"/>
              </w:rPr>
            </w:pPr>
            <w:hyperlink w:anchor="page15">
              <w:r>
                <w:rPr>
                  <w:rFonts w:ascii="Times New Roman" w:cs="Times New Roman" w:eastAsia="Times New Roman" w:hAnsi="Times New Roman"/>
                  <w:sz w:val="18"/>
                  <w:szCs w:val="18"/>
                  <w:color w:val="0000EE"/>
                  <w:w w:val="83"/>
                </w:rPr>
                <w:t>Item 1A</w:t>
              </w:r>
            </w:hyperlink>
          </w:p>
        </w:tc>
        <w:tc>
          <w:tcPr>
            <w:tcW w:w="1320" w:type="dxa"/>
            <w:vAlign w:val="bottom"/>
          </w:tcPr>
          <w:p>
            <w:pPr>
              <w:spacing w:after="0"/>
              <w:rPr>
                <w:sz w:val="21"/>
                <w:szCs w:val="21"/>
                <w:color w:val="auto"/>
              </w:rPr>
            </w:pPr>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Risk Factors</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14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85"/>
              </w:rPr>
            </w:pPr>
            <w:hyperlink w:anchor="page29">
              <w:r>
                <w:rPr>
                  <w:rFonts w:ascii="Times New Roman" w:cs="Times New Roman" w:eastAsia="Times New Roman" w:hAnsi="Times New Roman"/>
                  <w:sz w:val="18"/>
                  <w:szCs w:val="18"/>
                  <w:color w:val="0000EE"/>
                  <w:w w:val="85"/>
                </w:rPr>
                <w:t>Item 1B</w:t>
              </w:r>
            </w:hyperlink>
          </w:p>
        </w:tc>
        <w:tc>
          <w:tcPr>
            <w:tcW w:w="1320" w:type="dxa"/>
            <w:vAlign w:val="bottom"/>
          </w:tcPr>
          <w:p>
            <w:pPr>
              <w:spacing w:after="0"/>
              <w:rPr>
                <w:sz w:val="21"/>
                <w:szCs w:val="21"/>
                <w:color w:val="auto"/>
              </w:rPr>
            </w:pPr>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Unresolved Staff Comments</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2</w:t>
              </w:r>
            </w:hyperlink>
          </w:p>
        </w:tc>
        <w:tc>
          <w:tcPr>
            <w:tcW w:w="1320" w:type="dxa"/>
            <w:vAlign w:val="bottom"/>
          </w:tcPr>
          <w:p>
            <w:pPr>
              <w:spacing w:after="0"/>
              <w:rPr>
                <w:sz w:val="21"/>
                <w:szCs w:val="21"/>
                <w:color w:val="auto"/>
              </w:rPr>
            </w:pP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Properties</w:t>
              </w:r>
            </w:hyperlink>
          </w:p>
        </w:tc>
        <w:tc>
          <w:tcPr>
            <w:tcW w:w="5440" w:type="dxa"/>
            <w:vAlign w:val="bottom"/>
            <w:gridSpan w:val="18"/>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29</w:t>
              </w:r>
            </w:hyperlink>
          </w:p>
        </w:tc>
      </w:tr>
      <w:tr>
        <w:trPr>
          <w:trHeight w:val="250"/>
        </w:trPr>
        <w:tc>
          <w:tcPr>
            <w:tcW w:w="46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gridSpan w:val="16"/>
          </w:tcPr>
          <w:p>
            <w:pPr>
              <w:jc w:val="center"/>
              <w:ind w:right="4020"/>
              <w:spacing w:after="0"/>
              <w:rPr>
                <w:rFonts w:ascii="Times New Roman" w:cs="Times New Roman" w:eastAsia="Times New Roman" w:hAnsi="Times New Roman"/>
                <w:sz w:val="18"/>
                <w:szCs w:val="18"/>
                <w:b w:val="1"/>
                <w:bCs w:val="1"/>
                <w:color w:val="0000EE"/>
                <w:w w:val="97"/>
              </w:rPr>
            </w:pPr>
            <w:hyperlink w:anchor="page5">
              <w:r>
                <w:rPr>
                  <w:rFonts w:ascii="Times New Roman" w:cs="Times New Roman" w:eastAsia="Times New Roman" w:hAnsi="Times New Roman"/>
                  <w:sz w:val="18"/>
                  <w:szCs w:val="18"/>
                  <w:b w:val="1"/>
                  <w:bCs w:val="1"/>
                  <w:color w:val="0000EE"/>
                  <w:w w:val="97"/>
                </w:rPr>
                <w:t>PART II</w:t>
              </w:r>
            </w:hyperlink>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r>
      <w:tr>
        <w:trPr>
          <w:trHeight w:val="20"/>
        </w:trPr>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5</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30</w:t>
              </w:r>
            </w:hyperlink>
          </w:p>
        </w:tc>
      </w:tr>
      <w:tr>
        <w:trPr>
          <w:trHeight w:val="196"/>
        </w:trPr>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Securities</w:t>
              </w:r>
            </w:hyperlink>
          </w:p>
        </w:tc>
        <w:tc>
          <w:tcPr>
            <w:tcW w:w="6580" w:type="dxa"/>
            <w:vAlign w:val="bottom"/>
            <w:tcBorders>
              <w:top w:val="single" w:sz="8" w:color="0000EE"/>
            </w:tcBorders>
            <w:gridSpan w:val="24"/>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Selected Financial Data</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7</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83"/>
              </w:rPr>
            </w:pPr>
            <w:hyperlink w:anchor="page45">
              <w:r>
                <w:rPr>
                  <w:rFonts w:ascii="Times New Roman" w:cs="Times New Roman" w:eastAsia="Times New Roman" w:hAnsi="Times New Roman"/>
                  <w:sz w:val="18"/>
                  <w:szCs w:val="18"/>
                  <w:color w:val="0000EE"/>
                  <w:w w:val="83"/>
                </w:rPr>
                <w:t>Item 7A</w:t>
              </w:r>
            </w:hyperlink>
          </w:p>
        </w:tc>
        <w:tc>
          <w:tcPr>
            <w:tcW w:w="1320" w:type="dxa"/>
            <w:vAlign w:val="bottom"/>
          </w:tcPr>
          <w:p>
            <w:pPr>
              <w:spacing w:after="0"/>
              <w:rPr>
                <w:sz w:val="21"/>
                <w:szCs w:val="21"/>
                <w:color w:val="auto"/>
              </w:rPr>
            </w:pPr>
          </w:p>
        </w:tc>
        <w:tc>
          <w:tcPr>
            <w:tcW w:w="4360" w:type="dxa"/>
            <w:vAlign w:val="bottom"/>
            <w:gridSpan w:val="21"/>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Quantitative and Qualitative Disclosures About Market Risk</w:t>
              </w:r>
            </w:hyperlink>
          </w:p>
        </w:tc>
        <w:tc>
          <w:tcPr>
            <w:tcW w:w="3120" w:type="dxa"/>
            <w:vAlign w:val="bottom"/>
            <w:gridSpan w:val="6"/>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8</w:t>
              </w:r>
            </w:hyperlink>
          </w:p>
        </w:tc>
        <w:tc>
          <w:tcPr>
            <w:tcW w:w="1320" w:type="dxa"/>
            <w:vAlign w:val="bottom"/>
          </w:tcPr>
          <w:p>
            <w:pPr>
              <w:spacing w:after="0"/>
              <w:rPr>
                <w:sz w:val="21"/>
                <w:szCs w:val="21"/>
                <w:color w:val="auto"/>
              </w:rPr>
            </w:pPr>
          </w:p>
        </w:tc>
        <w:tc>
          <w:tcPr>
            <w:tcW w:w="4360" w:type="dxa"/>
            <w:vAlign w:val="bottom"/>
            <w:gridSpan w:val="21"/>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Financial Statements and Supplementary Data</w:t>
              </w:r>
            </w:hyperlink>
          </w:p>
        </w:tc>
        <w:tc>
          <w:tcPr>
            <w:tcW w:w="3120" w:type="dxa"/>
            <w:vAlign w:val="bottom"/>
            <w:gridSpan w:val="6"/>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860" w:type="dxa"/>
            <w:vAlign w:val="bottom"/>
            <w:gridSpan w:val="3"/>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9</w:t>
              </w:r>
            </w:hyperlink>
          </w:p>
        </w:tc>
        <w:tc>
          <w:tcPr>
            <w:tcW w:w="7480" w:type="dxa"/>
            <w:vAlign w:val="bottom"/>
            <w:gridSpan w:val="27"/>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83"/>
              </w:rPr>
            </w:pPr>
            <w:hyperlink w:anchor="page78">
              <w:r>
                <w:rPr>
                  <w:rFonts w:ascii="Times New Roman" w:cs="Times New Roman" w:eastAsia="Times New Roman" w:hAnsi="Times New Roman"/>
                  <w:sz w:val="18"/>
                  <w:szCs w:val="18"/>
                  <w:color w:val="0000EE"/>
                  <w:w w:val="83"/>
                </w:rPr>
                <w:t>Item 9A</w:t>
              </w:r>
            </w:hyperlink>
          </w:p>
        </w:tc>
        <w:tc>
          <w:tcPr>
            <w:tcW w:w="1320" w:type="dxa"/>
            <w:vAlign w:val="bottom"/>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Controls and Procedures</w:t>
              </w:r>
            </w:hyperlink>
          </w:p>
        </w:tc>
        <w:tc>
          <w:tcPr>
            <w:tcW w:w="5700" w:type="dxa"/>
            <w:vAlign w:val="bottom"/>
            <w:gridSpan w:val="20"/>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76</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85"/>
              </w:rPr>
            </w:pPr>
            <w:hyperlink w:anchor="page80">
              <w:r>
                <w:rPr>
                  <w:rFonts w:ascii="Times New Roman" w:cs="Times New Roman" w:eastAsia="Times New Roman" w:hAnsi="Times New Roman"/>
                  <w:sz w:val="18"/>
                  <w:szCs w:val="18"/>
                  <w:color w:val="0000EE"/>
                  <w:w w:val="85"/>
                </w:rPr>
                <w:t>Item 9B</w:t>
              </w:r>
            </w:hyperlink>
          </w:p>
        </w:tc>
        <w:tc>
          <w:tcPr>
            <w:tcW w:w="1320" w:type="dxa"/>
            <w:vAlign w:val="bottom"/>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Other Information</w:t>
              </w:r>
            </w:hyperlink>
          </w:p>
        </w:tc>
        <w:tc>
          <w:tcPr>
            <w:tcW w:w="5700" w:type="dxa"/>
            <w:vAlign w:val="bottom"/>
            <w:gridSpan w:val="20"/>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78</w:t>
              </w:r>
            </w:hyperlink>
          </w:p>
        </w:tc>
      </w:tr>
      <w:tr>
        <w:trPr>
          <w:trHeight w:val="250"/>
        </w:trPr>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Borders>
              <w:bottom w:val="single" w:sz="8" w:color="0000EE"/>
            </w:tcBorders>
            <w:gridSpan w:val="9"/>
          </w:tcPr>
          <w:p>
            <w:pPr>
              <w:jc w:val="center"/>
              <w:ind w:right="20"/>
              <w:spacing w:after="0"/>
              <w:rPr>
                <w:rFonts w:ascii="Times New Roman" w:cs="Times New Roman" w:eastAsia="Times New Roman" w:hAnsi="Times New Roman"/>
                <w:sz w:val="18"/>
                <w:szCs w:val="18"/>
                <w:b w:val="1"/>
                <w:bCs w:val="1"/>
                <w:color w:val="0000EE"/>
                <w:w w:val="96"/>
              </w:rPr>
            </w:pPr>
            <w:hyperlink w:anchor="page81">
              <w:r>
                <w:rPr>
                  <w:rFonts w:ascii="Times New Roman" w:cs="Times New Roman" w:eastAsia="Times New Roman" w:hAnsi="Times New Roman"/>
                  <w:sz w:val="18"/>
                  <w:szCs w:val="18"/>
                  <w:b w:val="1"/>
                  <w:bCs w:val="1"/>
                  <w:color w:val="0000EE"/>
                  <w:w w:val="96"/>
                </w:rPr>
                <w:t>PART III</w:t>
              </w:r>
            </w:hyperlink>
          </w:p>
        </w:tc>
        <w:tc>
          <w:tcPr>
            <w:tcW w:w="3960" w:type="dxa"/>
            <w:vAlign w:val="bottom"/>
            <w:gridSpan w:val="8"/>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10</w:t>
              </w:r>
            </w:hyperlink>
          </w:p>
        </w:tc>
        <w:tc>
          <w:tcPr>
            <w:tcW w:w="1320" w:type="dxa"/>
            <w:vAlign w:val="bottom"/>
          </w:tcPr>
          <w:p>
            <w:pPr>
              <w:spacing w:after="0"/>
              <w:rPr>
                <w:sz w:val="21"/>
                <w:szCs w:val="21"/>
                <w:color w:val="auto"/>
              </w:rPr>
            </w:pPr>
          </w:p>
        </w:tc>
        <w:tc>
          <w:tcPr>
            <w:tcW w:w="4100" w:type="dxa"/>
            <w:vAlign w:val="bottom"/>
            <w:gridSpan w:val="20"/>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Directors, Executive Officers and Corporate Governance</w:t>
              </w:r>
            </w:hyperlink>
          </w:p>
        </w:tc>
        <w:tc>
          <w:tcPr>
            <w:tcW w:w="3380" w:type="dxa"/>
            <w:vAlign w:val="bottom"/>
            <w:gridSpan w:val="7"/>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11</w:t>
              </w:r>
            </w:hyperlink>
          </w:p>
        </w:tc>
        <w:tc>
          <w:tcPr>
            <w:tcW w:w="1320" w:type="dxa"/>
            <w:vAlign w:val="bottom"/>
          </w:tcPr>
          <w:p>
            <w:pPr>
              <w:spacing w:after="0"/>
              <w:rPr>
                <w:sz w:val="21"/>
                <w:szCs w:val="21"/>
                <w:color w:val="auto"/>
              </w:rPr>
            </w:pPr>
          </w:p>
        </w:tc>
        <w:tc>
          <w:tcPr>
            <w:tcW w:w="4100" w:type="dxa"/>
            <w:vAlign w:val="bottom"/>
            <w:gridSpan w:val="2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Executive Compensation</w:t>
              </w:r>
            </w:hyperlink>
          </w:p>
        </w:tc>
        <w:tc>
          <w:tcPr>
            <w:tcW w:w="3380" w:type="dxa"/>
            <w:vAlign w:val="bottom"/>
            <w:gridSpan w:val="7"/>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12</w:t>
              </w:r>
            </w:hyperlink>
          </w:p>
        </w:tc>
        <w:tc>
          <w:tcPr>
            <w:tcW w:w="1320" w:type="dxa"/>
            <w:vAlign w:val="bottom"/>
          </w:tcPr>
          <w:p>
            <w:pPr>
              <w:spacing w:after="0"/>
              <w:rPr>
                <w:sz w:val="21"/>
                <w:szCs w:val="21"/>
                <w:color w:val="auto"/>
              </w:rPr>
            </w:pPr>
          </w:p>
        </w:tc>
        <w:tc>
          <w:tcPr>
            <w:tcW w:w="7300" w:type="dxa"/>
            <w:vAlign w:val="bottom"/>
            <w:gridSpan w:val="25"/>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80" w:type="dxa"/>
            <w:vAlign w:val="bottom"/>
            <w:gridSpan w:val="2"/>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13</w:t>
              </w:r>
            </w:hyperlink>
          </w:p>
        </w:tc>
        <w:tc>
          <w:tcPr>
            <w:tcW w:w="1320" w:type="dxa"/>
            <w:vAlign w:val="bottom"/>
          </w:tcPr>
          <w:p>
            <w:pPr>
              <w:spacing w:after="0"/>
              <w:rPr>
                <w:sz w:val="21"/>
                <w:szCs w:val="21"/>
                <w:color w:val="auto"/>
              </w:rPr>
            </w:pPr>
          </w:p>
        </w:tc>
        <w:tc>
          <w:tcPr>
            <w:tcW w:w="5460" w:type="dxa"/>
            <w:vAlign w:val="bottom"/>
            <w:gridSpan w:val="22"/>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80" w:type="dxa"/>
            <w:vAlign w:val="bottom"/>
            <w:gridSpan w:val="2"/>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14</w:t>
              </w:r>
            </w:hyperlink>
          </w:p>
        </w:tc>
        <w:tc>
          <w:tcPr>
            <w:tcW w:w="1320" w:type="dxa"/>
            <w:vAlign w:val="bottom"/>
          </w:tcPr>
          <w:p>
            <w:pPr>
              <w:spacing w:after="0"/>
              <w:rPr>
                <w:sz w:val="21"/>
                <w:szCs w:val="21"/>
                <w:color w:val="auto"/>
              </w:rPr>
            </w:pPr>
          </w:p>
        </w:tc>
        <w:tc>
          <w:tcPr>
            <w:tcW w:w="2880" w:type="dxa"/>
            <w:vAlign w:val="bottom"/>
            <w:gridSpan w:val="13"/>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Principal Accounting Fees and Services</w:t>
              </w:r>
            </w:hyperlink>
          </w:p>
        </w:tc>
        <w:tc>
          <w:tcPr>
            <w:tcW w:w="2580" w:type="dxa"/>
            <w:vAlign w:val="bottom"/>
            <w:gridSpan w:val="9"/>
          </w:tcPr>
          <w:p>
            <w:pPr>
              <w:spacing w:after="0"/>
              <w:rPr>
                <w:sz w:val="21"/>
                <w:szCs w:val="21"/>
                <w:color w:val="auto"/>
              </w:rPr>
            </w:pPr>
          </w:p>
        </w:tc>
        <w:tc>
          <w:tcPr>
            <w:tcW w:w="2020" w:type="dxa"/>
            <w:vAlign w:val="bottom"/>
            <w:gridSpan w:val="5"/>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w w:val="95"/>
              </w:rPr>
            </w:pPr>
            <w:hyperlink w:anchor="page82">
              <w:r>
                <w:rPr>
                  <w:rFonts w:ascii="Times New Roman" w:cs="Times New Roman" w:eastAsia="Times New Roman" w:hAnsi="Times New Roman"/>
                  <w:sz w:val="18"/>
                  <w:szCs w:val="18"/>
                  <w:b w:val="1"/>
                  <w:bCs w:val="1"/>
                  <w:color w:val="0000EE"/>
                  <w:w w:val="95"/>
                </w:rPr>
                <w:t>PART IV</w:t>
              </w:r>
            </w:hyperlink>
          </w:p>
        </w:tc>
        <w:tc>
          <w:tcPr>
            <w:tcW w:w="3980" w:type="dxa"/>
            <w:vAlign w:val="bottom"/>
            <w:gridSpan w:val="9"/>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Item 15</w:t>
            </w:r>
          </w:p>
        </w:tc>
        <w:tc>
          <w:tcPr>
            <w:tcW w:w="1320" w:type="dxa"/>
            <w:vAlign w:val="bottom"/>
          </w:tcPr>
          <w:p>
            <w:pPr>
              <w:spacing w:after="0"/>
              <w:rPr>
                <w:sz w:val="21"/>
                <w:szCs w:val="21"/>
                <w:color w:val="auto"/>
              </w:rPr>
            </w:pPr>
          </w:p>
        </w:tc>
        <w:tc>
          <w:tcPr>
            <w:tcW w:w="74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80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4580" w:type="dxa"/>
            <w:vAlign w:val="bottom"/>
            <w:gridSpan w:val="1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Item 16</w:t>
            </w:r>
          </w:p>
        </w:tc>
        <w:tc>
          <w:tcPr>
            <w:tcW w:w="1320" w:type="dxa"/>
            <w:vAlign w:val="bottom"/>
          </w:tcPr>
          <w:p>
            <w:pPr>
              <w:spacing w:after="0"/>
              <w:rPr>
                <w:sz w:val="21"/>
                <w:szCs w:val="21"/>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340" w:type="dxa"/>
            <w:vAlign w:val="bottom"/>
            <w:gridSpan w:val="9"/>
          </w:tcPr>
          <w:p>
            <w:pPr>
              <w:spacing w:after="0"/>
              <w:rPr>
                <w:sz w:val="21"/>
                <w:szCs w:val="21"/>
                <w:color w:val="auto"/>
              </w:rPr>
            </w:pPr>
          </w:p>
        </w:tc>
        <w:tc>
          <w:tcPr>
            <w:tcW w:w="4580" w:type="dxa"/>
            <w:vAlign w:val="bottom"/>
            <w:gridSpan w:val="13"/>
          </w:tcPr>
          <w:p>
            <w:pPr>
              <w:spacing w:after="0"/>
              <w:rPr>
                <w:sz w:val="21"/>
                <w:szCs w:val="21"/>
                <w:color w:val="auto"/>
              </w:rPr>
            </w:pPr>
          </w:p>
        </w:tc>
        <w:tc>
          <w:tcPr>
            <w:tcW w:w="540" w:type="dxa"/>
            <w:vAlign w:val="bottom"/>
            <w:gridSpan w:val="4"/>
          </w:tcPr>
          <w:p>
            <w:pPr>
              <w:jc w:val="center"/>
              <w:ind w:left="70"/>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82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36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80"/>
          </w:cols>
          <w:pgMar w:left="960" w:top="360" w:right="10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forward-looking statements include, among other things, statements about our ability to continue to operate at a profit, our ability to maintain current operation levels, our ability to maintain and gain market acceptance for our products or new products, our ability to capitalize on attractive opportunities, our ability to respond to competition and changes in the economy, the Acquisition (as defined herein) not being completed in the timeframe expected by us or at all, delays or failures relating to the financing of the Acquisition, unexpected costs, charges or expenses resulting from the Acquisition, failure to realize the anticipated benefits of the Acquisition, difficulties and delays in achieving the synergies and cost savings in connection with the Acquisition, changes in the business environment in which we operate including general financial, economic, capital market, regulatory and political conditions affecting us and the industry in which we operate, changes in consumer preferences and purchasing habits, our ability to maintain adequate product inventory levels to timely supply customer orders, the effect of the Tax Cuts and Jobs Act of 2017 on our business,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or of Quest’s (as defined herein) management team,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on March 30, 2017, to consummate a business combination (the “Business Combination”) between Conyers Park Acquisition Corp. (“Conyers Park”) and NCP-ATK Holdings, Inc. (“Atkins”), which occurred on July 7, 2017 (the “Closing Date”). As a result, Simply Good Foods owns all of the equity in Atkins.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Conyers Park, a special purpose acquisition company, was formed in 2016 for the purpose of effecting a merger, capital stock exchange, asset acquisition, stock purchase, reorganization or similar business combination with one or more businesses. Simply Good Foods is listed on the Nasdaq Capital Market under the symbol “SMPL.”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Simply Good Foods is the acquirer, and for accounting purposes, the “Successor,” while Atkins is the acquiree, and accounting predecessor. Our financial statement presentation includes the financial statements of Atkins as “Predecessor” for periods prior to the Closing Date and of Simply Good Foods for periods after the Closing Date, including the consolidation of Atkins. The historical financial information of Conyers Park, prior to the Business Combination, are not reflected in the Predecessor financial statements as those amounts are considered de-minimis. As a result of the application of the acquisition method of accounting the financial statements, the Predecessor period and the Successor period are presented on a different basis of accounting and are therefore not comparable.</w:t>
      </w:r>
    </w:p>
    <w:p>
      <w:pPr>
        <w:spacing w:after="0" w:line="18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Unless the context otherwise requires, “we,” “us,” “our” and the “Company” refer, for periods prior to the completion of the Business Combination, to Atkins and its subsidiaries, and, for periods upon or after the completion of the Business Combination, to The Simply Good Foods Company and its subsidiaries. In context, “Atkins” may also refer to the Atkins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Simply Good Foods was formed in Delaware on March 30, 2017, to consummate the Business Combination, which occurred on July 7, 2017. As a result, Simply Good Foods owns all of the equity in Atkins.</w:t>
      </w:r>
    </w:p>
    <w:p>
      <w:pPr>
        <w:spacing w:after="0" w:line="162"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18"/>
          <w:szCs w:val="18"/>
          <w:color w:val="auto"/>
        </w:rPr>
        <w:t>Our principal executive offices are located at 1225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 Suite 1000, Denver, Colorado, 80202. Our telephone number is (303) 633-2840. We maintain a web 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Simply Good Foods is a developer, marketer and seller of branded nutritional foods and snacking products. Our highly-focused product portfolio consists primarily of nutrition bars, ready-to-drink (“RTD”) shakes, snacks and confectionery products marketed under the Atkins®, SimplyProtein®, and Atkins Endulge® brand names. Our goal is to lead the nutritious snacking movement with trusted brands that offer a variety of convenient, innovative, great-tasting, “better-for-you” snacks and meal replacements. Over the past 45 years, Atkins has become an iconic American brand that for many consumers stands for “low carb,” “low sugar” and “protein rich” nutrition. The Atkins approach focuses on a healthy nutritional approach with reduced levels of refined carbohydrates and sugars and encourages the consumption of lean protein, fiber, fruits, vegetables and healthy fats.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core Atkins snacking business, we strive to offer a complete line of nutrition bars, RTD shakes and confections that satisfy hunger while providing consumers with a convenient, “better-for-you” snacking alternative. Our sales, marketing and R&amp;D capabilities enable us to distribute products into a national customer base across the mass merchandiser, grocery, drug, club stores, e-commerce, and small format retail such as convenience and gas station. We believe that Atkins’ broad brand recognition, our depth of management talent and strong cash generation position us to continue to innovate in the Atkins brand and acquire other brands, and thereby become an industry leading snacking platform. To that end, in December 2016, Atkins completed the acquisition of Wellness Foods, Inc. (“Wellness Foods”), a Canada-based developer, marketer and seller of the SimplyProtein® brand that is focused on protein-rich and low-sugar products. On August 21, 2019, we announced that we entered into a definitive agreement to acquire Quest Nutrition, LLC, a healthy, lifestyle food brand. See “Recent Developments” for additional information on the Acquisition.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snacking occasions are on the rise as consumers crave convenient, healthy and delicious foods, snacks and meal replacements for their on-the-go lifestyles. We believe our emphasis on nutrition bars and RTD shakes positions us to capitalize on consumers’ busy schedules. We believe a number of existing and emerging consumer trends within the U.S. food and beverage industry will continue to both drive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and consumers’ moves toward controlling carbohydrate and sugar consumption, as well as the trend of consumers seeking to add convenient sources of protein and fiber to their diets.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Quest Acquisition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21, 2019, we entered into a stock purchase agreement (the “Purchase Agreement”) with Voyage Holdings, LLC, a Delaware limited liability company (“Voyage Holdings”), VMG Quest Blocker, Inc., a Delaware corporation (“VMG Blocker”, and together with Voyage Holdings, the “Target Companies”), VMG Voyage Holdings, LLC, a Delaware limited liability company, VMG Tax-Exempt II, L.P. a Delaware limited partnership (together with VMG Voyage Holdings, LLC, the “VMG Sellers”) and other parties (collectively, the “Sellers”). Pursuant to the Purchase Agreement, the Company will acquire Quest Nutrition, LLC (“Quest”), a healthy lifestyle food company (the “Acquisition”) for a cash purchase price of $1.0 billion (subject to customary adjustments for the Target Companies' levels of cash, indebtedness, net working capital and transaction expenses as of the closing). The Acquisition is expected to close by the end of the 2019 calendar year, subject to satisfaction of customary closing conditions. There is no financing condition for the Acquisition.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realize several benefits from the Acquisition, including the following:</w:t>
      </w:r>
    </w:p>
    <w:p>
      <w:pPr>
        <w:spacing w:after="0" w:line="223" w:lineRule="exact"/>
        <w:rPr>
          <w:sz w:val="20"/>
          <w:szCs w:val="20"/>
          <w:color w:val="auto"/>
        </w:rPr>
      </w:pPr>
    </w:p>
    <w:p>
      <w:pPr>
        <w:jc w:val="both"/>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Highly Attractive, Complementary Portfolio of Nutritional Snacking Brands</w:t>
      </w:r>
      <w:r>
        <w:rPr>
          <w:rFonts w:ascii="Times New Roman" w:cs="Times New Roman" w:eastAsia="Times New Roman" w:hAnsi="Times New Roman"/>
          <w:sz w:val="18"/>
          <w:szCs w:val="18"/>
          <w:color w:val="auto"/>
        </w:rPr>
        <w:t>. Quest's products (primarily bars, cookies, chips and pizza) compete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of the attractive, fast growing sub-segments within the nutritional snacking category. Quest has an extremely loyal following and favorable demographic profile with strong appeal among consumers ages 18-35 that complements Atkins' strength among consumers 35+.</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Scalable, Growth-Oriented Platform</w:t>
      </w:r>
      <w:r>
        <w:rPr>
          <w:rFonts w:ascii="Times New Roman" w:cs="Times New Roman" w:eastAsia="Times New Roman" w:hAnsi="Times New Roman"/>
          <w:sz w:val="18"/>
          <w:szCs w:val="18"/>
          <w:color w:val="auto"/>
        </w:rPr>
        <w:t>. Given Quest's growth trajectory, innovation pipeline and identified cost synergies, we believe there is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to continue investing in the Quest business and expand margins that should, over time, be relatively similar to Simply Good Foods.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5" w:name="page6"/>
    <w:bookmarkEnd w:id="5"/>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Enhances Innovative Culture to Deliver on Shared Mission</w:t>
      </w:r>
      <w:r>
        <w:rPr>
          <w:rFonts w:ascii="Times New Roman" w:cs="Times New Roman" w:eastAsia="Times New Roman" w:hAnsi="Times New Roman"/>
          <w:sz w:val="18"/>
          <w:szCs w:val="18"/>
          <w:color w:val="auto"/>
        </w:rPr>
        <w:t>. This transaction will enable Simply Good Foods to benefit from Quest's effectiveness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e-commerce, social platforms as well as specialty and other non-tracked distribution channels, while Quest will benefit from Simply Good Foods' expertise in building distribution in food/drug/mass channels and growing brand awareness via broad reach media.</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Achievable Synergies</w:t>
      </w:r>
      <w:r>
        <w:rPr>
          <w:rFonts w:ascii="Times New Roman" w:cs="Times New Roman" w:eastAsia="Times New Roman" w:hAnsi="Times New Roman"/>
          <w:sz w:val="18"/>
          <w:szCs w:val="18"/>
          <w:color w:val="auto"/>
        </w:rPr>
        <w:t>. The transaction delivers on key growth criteria while achieving an estimated $20 million in run-rate cost synergies over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by leveraging efficiencies of scale.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Overview</w:t>
      </w:r>
      <w:r>
        <w:rPr>
          <w:rFonts w:ascii="Times New Roman" w:cs="Times New Roman" w:eastAsia="Times New Roman" w:hAnsi="Times New Roman"/>
          <w:sz w:val="18"/>
          <w:szCs w:val="18"/>
          <w:color w:val="auto"/>
        </w:rPr>
        <w:t>. The strategic acquisition of Quest provides Simply Good Foods with additional scale and is complementary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net sales and Adjusted EBITDA growth algorithm.</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Financing of the Acquisition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2019, we completed an underwritten public offering of 13,379,205 shares of our common stock at a price per share of $26.16 (the “Offering”), resulting in net proceeds to us of approximately $350.0 million, after deducting underwriting discounts and commissions and our estimated fees and expenses for the Offering. We intend to use these net proceeds to pay a portion of the purchase price and related fees and expenses for the Acquisition, or for general corporate purposes if the acquisition is not consummated.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fund the remainder of the Acquisition by using a significant portion of the approximately $265 million of cash on hand and committed financing pursuant to debt commitments from Barclays, Credit Suisse and Goldman Sachs.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Strengths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Powerful brand with strong consumer awareness and loyalty</w:t>
      </w:r>
      <w:r>
        <w:rPr>
          <w:rFonts w:ascii="Times New Roman" w:cs="Times New Roman" w:eastAsia="Times New Roman" w:hAnsi="Times New Roman"/>
          <w:sz w:val="18"/>
          <w:szCs w:val="18"/>
          <w:color w:val="auto"/>
        </w:rPr>
        <w:t>. We are a leading player in the fast growing nutritional snacking category, and Atkins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the leading brands with scale in both nutrition bars and RTD shakes. The Atkins iconic brand has 83% aided brand awareness with U.S. consumers today, based on a study conducted by Atkins in July 2019. Our highly-focused snacking portfolio provides us with a leading position within retailers’ nutrition and wellness aisles, resulting in meaningful shelf space. Atkins’ ability to appeal to both weight management program consumers and consumers focused on everyday nutritious eating makes it a highly attractive and strategic brand for a diverse set of retailers across various distribution channels.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Aligned with consumer mega trends. </w:t>
      </w:r>
      <w:r>
        <w:rPr>
          <w:rFonts w:ascii="Times New Roman" w:cs="Times New Roman" w:eastAsia="Times New Roman" w:hAnsi="Times New Roman"/>
          <w:sz w:val="18"/>
          <w:szCs w:val="18"/>
          <w:color w:val="auto"/>
        </w:rPr>
        <w:t>Increasing global concern about growing rates of obesity and weight-related diseases and other health issues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increased scientific, media and consumer focus on nutrition. Over 100 independent, peer reviewed, clinical studies show the benefits of controlling carbohydrates. Management believes that this focus is prompting consumers to rebalance their nutritional breakdown away from carbohydrates. In fact, 73% of consumers are seeking to lower their carbohydrate intake according to Health Focus International. Atkins brand attributes, “low carb,” “low sugar” and “protein rich” nutrition, are well aligned with consumer mega trends. In addition, consumers’ eating habits are gradually shifting towards increased convenience, snacking and meal replacement. Our portfolio of convenient and nutritious products as well as our ongoing effort to meet consumer demands for “cleaner labels,” which we define as products made with fewer, simpler and more recognizable ingredients, are strategically aligned with these trends.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Scalable snacking and food platform. </w:t>
      </w:r>
      <w:r>
        <w:rPr>
          <w:rFonts w:ascii="Times New Roman" w:cs="Times New Roman" w:eastAsia="Times New Roman" w:hAnsi="Times New Roman"/>
          <w:sz w:val="18"/>
          <w:szCs w:val="18"/>
          <w:color w:val="auto"/>
        </w:rPr>
        <w:t>With the highly-recognized Atkins brand as an anchor, we have been able to grow our product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brand extensions and through acquisitions, such as the December 2016 acquisition of Wellness Foods and the pending acquisition of Quest, a healthy lifestyle food brand. Our in-house product development experience, combined with our outsourced manufacturing model, allow us to bring new products to market quickly. We pride ourselves on knowing our consumers and mining insights that lead to new products and ideas. We believe that we have the ability to leverage our strong relationships with our retail customers and distributors, brand building record, and category management expertise to help new products, brands and brand extensions gain distribution and consumer recognition, allowing us to continue to successfully expand our snacking platform.</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Asset-light business with strong cash generation</w:t>
      </w:r>
      <w:r>
        <w:rPr>
          <w:rFonts w:ascii="Times New Roman" w:cs="Times New Roman" w:eastAsia="Times New Roman" w:hAnsi="Times New Roman"/>
          <w:sz w:val="18"/>
          <w:szCs w:val="18"/>
          <w:color w:val="auto"/>
        </w:rPr>
        <w:t>. We retain core in-house capabilities including sales, marketing, brand management,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product development, and supply-chain know-how, while partnering with a diversified pool of contract manufacturers and distributors to execute manufacturing and distribution. Outsourcing these competencies allows us to focus our efforts on innovation, marketing and sales to strive to meet consumer demands. Our lean infrastructure allows for significant flexibility and speed-to-market and minimal capital investment, which translates into relatively consistent and robust free cash flow generation over time, driven by strong gross margins.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Experienced leadership team</w:t>
      </w:r>
      <w:r>
        <w:rPr>
          <w:rFonts w:ascii="Times New Roman" w:cs="Times New Roman" w:eastAsia="Times New Roman" w:hAnsi="Times New Roman"/>
          <w:sz w:val="18"/>
          <w:szCs w:val="18"/>
          <w:color w:val="auto"/>
        </w:rPr>
        <w:t>. Simply Good Foods has an experienced team of industry veterans with extensive experience across multiple branded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products, food and nutrition categories. For example, our President and Chief Executive Officer, Joseph Scalzo, has significant experience operating packaged foods businesses, having served in various leadership roles at Dean Foods, WhiteWave Foods, The Gillette Company, The Coca-Cola Company, and The Procter &amp; Gamble Company. Our management team's extensive experience is complemented by the significant industry expertise of our directors James Kilts, the former Chief Executive Officer of The Gillette Company and Nabisco, and former President of Kraft USA and Oscar Mayer, and David West, the former Chief Executive Officer of Big Heart Pet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8" w:right="2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Brands and The Hershey Company. Our management team’s deep expertise and proven track record in managing brands and operating packaged food businesses is a key driver of our success and positions Simply Good Foods as an attractive vehicle for future long-term growth within the snacking space and broader food category.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Continue our advocacy, education and activation for core program consumers. </w:t>
      </w:r>
      <w:r>
        <w:rPr>
          <w:rFonts w:ascii="Times New Roman" w:cs="Times New Roman" w:eastAsia="Times New Roman" w:hAnsi="Times New Roman"/>
          <w:sz w:val="18"/>
          <w:szCs w:val="18"/>
          <w:color w:val="auto"/>
        </w:rPr>
        <w:t>Consumers who purchase Atkins’ products have shown a strong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affinity for the brand as evidenced by a relatively high level of servings per buyer, per year. Historically, our core target consumer base has consisted of individuals participating in branded weight management programs. These consumers are our most loyal, profitable and frequent purchasers. We use targeted television and print ads with a celebrity-based campaign that motivates the potential programmatic buyer to try the Atkins approach to weight loss. We retain these buyers with a value-added “tool-kit” of a resource-filled website and mobile app that contains all the content necessary to follow the Atkins approach successfully, including menu planners, shopping lists, carb counter, community support, inspirational success stories, and over 1,600 recipes. We have an active and growing digital and social presence, using a comprehensive approach of search, banner and search engine optimization efforts. We are a leader in social media, with a top-tier presence on Facebook, Instagram and Twitter. We also have a growing network of social influencers, who promote the Atkins philosophy in their targeted blogs. We believe that social media is a cost-effective way of continuing to attract and retain these core consumers. We expect our recently improved Atkins brand website and mobile application will continue to attract core consumers, including millennials, to our Atkins products. We believe that our ongoing efforts to educate consumers about the benefits of a lower carbohydrate lifestyle will further reinforce the brand to core consumers who are focused on a programmatic approach to weight management.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Further develop marketing strategy to reach self-directed low carbohydrate consumers</w:t>
      </w:r>
      <w:r>
        <w:rPr>
          <w:rFonts w:ascii="Times New Roman" w:cs="Times New Roman" w:eastAsia="Times New Roman" w:hAnsi="Times New Roman"/>
          <w:sz w:val="18"/>
          <w:szCs w:val="18"/>
          <w:color w:val="auto"/>
        </w:rPr>
        <w:t>. We intend to continue to make focused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to consumer outreach. According to an Information Resources, Inc. (“IRI”) study, over 50% of our current consumers are self-directed low carbohydrate eaters (not on a program diet) who buy and consume our products, despite the fact that historically, Atkins’ marketing and advertising have not been targeted towards them. Management expects that the brand’s redesigned marketing and advertising, such as our food-focused television advertising, will continue to be effective at reaching the large addressable market of self-directed low carbohydrate consumers. Additionally, social media continues to be an important component of our marketing tools and we have an active and growing presence on key social channels such as Facebook, Instagram and Twitter. During the fifty-three week period ended August 31, 2019, we had approximately 9 million new visitors to our www.atkins.com website.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Innovate and expand the portfolio of product offerings to meet consumer demands for “cleaner labels,” higher protein products and new product forms. </w:t>
      </w:r>
      <w:r>
        <w:rPr>
          <w:rFonts w:ascii="Times New Roman" w:cs="Times New Roman" w:eastAsia="Times New Roman" w:hAnsi="Times New Roman"/>
          <w:sz w:val="18"/>
          <w:szCs w:val="18"/>
          <w:color w:val="auto"/>
        </w:rPr>
        <w:t>Management expects that our ongoing efforts to meet consumer demands for “cleaner labels” will be effective at reaching self-directed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carbohydrate consumers, who are focused on weight management as part of overall health, wellness and “clean eating.” Management is committed to continually finding new and innovative formulations to reduce the number of product ingredients, as well as using “better for you” ingredients like nuts, fiber and whey protein in its existing products, while maintaining and improving taste and quality. In addition, we intend to continue to enhance, strengthen and expand our product offerings with new and innovative flavors and forms, simple ingredients and packaging alternatives, all while maintaining a commitment to delivering products that meet our nutritional profile and provide the convenience that consumers crave. Our in-house research and development laboratory allows us to develop new products internally and bring them to market quickly through our contract manufacturing network without diverging from high standards of taste, quality, safety and nutritional content. Additionally, we intend to satisfy developing consumer demands through the pursuit of merger and acquisition transactions, such as the December 2016 acquisition of Wellness Foods and our pending acquisition of Quest.</w:t>
      </w:r>
    </w:p>
    <w:p>
      <w:pPr>
        <w:spacing w:after="0" w:line="18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 xml:space="preserve">Expand distribution in white space opportunities. </w:t>
      </w:r>
      <w:r>
        <w:rPr>
          <w:rFonts w:ascii="Times New Roman" w:cs="Times New Roman" w:eastAsia="Times New Roman" w:hAnsi="Times New Roman"/>
          <w:sz w:val="18"/>
          <w:szCs w:val="18"/>
          <w:color w:val="auto"/>
        </w:rPr>
        <w:t>In the fifty-three week period ended August 31, 2019, approximately 79% of Atkins’ gross sales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were through the mass retailer and grocery distribution channels. Management team believes there is opportunity for the brand to further penetrate other distribution channels such as convenience and club stores. Management also believes that the development of the SimplyProtein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will allow us to expand distribution into the natural and specialty channel. In addition, while shoppers have become heavy consumers of e-commerce purchases generally, only approximately 5% of Atkins’ gross sales for the fifty-three week period ended August 31, 2019 were through its e-commerce channel. We intend to leverage our brand recognition to further develop the distribution channels through which we reach consumers, including through the expansion of the e-commerce channel.</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Leverage platform to expand in attractive food and snacking categories</w:t>
      </w:r>
      <w:r>
        <w:rPr>
          <w:rFonts w:ascii="Times New Roman" w:cs="Times New Roman" w:eastAsia="Times New Roman" w:hAnsi="Times New Roman"/>
          <w:sz w:val="18"/>
          <w:szCs w:val="18"/>
          <w:color w:val="auto"/>
        </w:rPr>
        <w:t>. Management believes the fragmented snacking category 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opportunity for consolidation and the opportunity to build, through disciplined acquisitions, a leading platform in the snacking space and broader food category. As a leader in nutritious snacking, we believe we have the unique capability to leverage our operating platform and customer relationships to expand beyond the Atkins brand. Our experienced management team has deep expertise in brand building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Goals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goal for the Atkins and Simply Protein brands is to improve global health by providing products that are consistent with how a healthier world eats. To make this vision a reality, we strive to embed our brand as a part of everyday life through advocacy, education and innovation. For over 45 years, Atkins has become an iconic American brand that for many consumers stands for “low carb,” “low sugar” and “protein rich” nutrition. Our vision and mission, coupled with our belief that today’s consumer is looking for sustainable, healthy long-term habits, has inspired our focus on nutritional snacking. We believe that wellbeing is not just about weight loss or quick results, but also about a healthier approach to eating.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Healthy Living and Healthy Weight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 150 independent, peer reviewed, clinical studies support that eating the right foods can improve health, not only in terms of weight management, but also in terms of related chronic issues like Type 2 Diabetes and cardiovascular disease. We believe that we offer a balanced approach to nutrition that can result in better health.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 Robert Atkins, a well-known cardiologist, discovered the beneficial effects of a low carbohydrate nutritional regimen on his patients and helped refine the modern understanding of human nutrition and its link to health. More people are recognizing that Atkins is the foundation of the new convention of eating right, and that the old convention of eating excess carbohydrates and sugar has actually contributed to global obesity. Dr. Atkins limited his patients’ intake of sugar and carbohydrates not only for the weight management benefits, but also because of the numerous other health benefits to his patients. While calorie control plays some role in wellness, studies show that it can be far more important to know what the body does with food and its components. We believe that controlling consumption of carbohydrates that the human body quickly turns into sugar is the single biggest factor in eating right. When there is too much sugar and too many carbohydrates in the bloodstream, the body stores them as fat. Many people do not know that starchy carbohydrates such as breads, pasta, cereal, rice and potatoes are really just complex chains of sugars. We believe that eating proteins and healthy fat, while controlling carbohydrate consumption are the foundation of eating right. In our opinion, the old conventional wisdom of “all calories are created equal,” no matter how many of them are sugars, is simply wrong—eating sugar floods the body with the wrong kind of fuel and sends the wrong metabolic signals. Our approach aims to satisfy appetite while creating more stable energy, a higher metabolism and less stored fat. The human body works better with the right fuel.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core products consist of nutrition bars, RTD shakes and confections under the Atkins and SimplyProtein brands.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Nutrition Bars. </w:t>
      </w:r>
      <w:r>
        <w:rPr>
          <w:rFonts w:ascii="Times New Roman" w:cs="Times New Roman" w:eastAsia="Times New Roman" w:hAnsi="Times New Roman"/>
          <w:sz w:val="18"/>
          <w:szCs w:val="18"/>
          <w:color w:val="auto"/>
        </w:rPr>
        <w:t>To keep on-the-go consumers energized and fueled, our nutrition bars offer a convenient and effective solution, providing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protein, fiber and a delicious taste. Atkins offers two main types of nutrition bars: Atkins Meal Bars and Atkins Snack Bars. Atkins Meal Bars contain 13 to 17 grams of protein, and are available in 11 different flavors. With 2 to 4 grams of net carbs, Atkins Snack Bars contain 7 to 13 grams of protein. Atkins offers 15 varieties of Atkins Snack Bars.</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To add to Atkins’ portfolio of nutrition bars and snacks, in December 2016 we acquired Wellness Foods, a Canada-based company which owns the SimplyProtein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Beginning in October 2018, we began selling SimplyProtein products in select U.S. stores and online. SimplyProtein products offer snacking solutions with simple, recognizable ingredients that contain satisfying protein and 3 grams of sugar or less. SimplyProtein crispy bars, baked bars and crunchy bites offer on-the-go snacks that are Non-GMO Project Verified and gluten free, with no artificial sweeteners, colors, flavors or preservatives.</w:t>
      </w:r>
    </w:p>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RTD Shakes. </w:t>
      </w:r>
      <w:r>
        <w:rPr>
          <w:rFonts w:ascii="Times New Roman" w:cs="Times New Roman" w:eastAsia="Times New Roman" w:hAnsi="Times New Roman"/>
          <w:sz w:val="18"/>
          <w:szCs w:val="18"/>
          <w:color w:val="auto"/>
        </w:rPr>
        <w:t>Our rich and creamy Atkins RTD shakes contain 10 to 15 grams of protein, as well as other important vitamins and minerals.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variety of flavors, including cookies and crème, café caramel and creamy chocolate, RTD shakes are made with high quality ingredients and are designed to provide energy balance through the day. Our Plus RTD shakes contain 30 grams of protein, for our consumers seeking higher protein content.</w:t>
      </w:r>
    </w:p>
    <w:p>
      <w:pPr>
        <w:spacing w:after="0" w:line="17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We believe our Atkins Endulge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which is designed to satisfy consumers’ sweet cravings, and which we call Treats,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delicious desserts without all of the added sugar. Atkins offers a variety of different Treats, such as peanut butter cups and pecan caramel clusters, each with only 1 gram of sugar or less and low net carbs, providing consumers with the option to indulge.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Through third-party partnerships, we offer complementary Atkins branded frozen meals.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Licensed Frozen Meals. </w:t>
      </w:r>
      <w:r>
        <w:rPr>
          <w:rFonts w:ascii="Times New Roman" w:cs="Times New Roman" w:eastAsia="Times New Roman" w:hAnsi="Times New Roman"/>
          <w:sz w:val="18"/>
          <w:szCs w:val="18"/>
          <w:color w:val="auto"/>
        </w:rPr>
        <w:t>Atkins signed a renewable seven-year license agreement with Bellisio Foods, Inc., or “Bellisio”, effective September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to license its frozen meals business. Bellisio manufactures, distributes, markets, promotes and sells Atkins frozen food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products under the Atkins licensed marks. These products include Atkins branded frozen breakfasts, lunches and dinners. With a large selection of meal types, including pizzas, breakfast bowls and more, we believe our frozen meals offer a great way to learn the basics of protein rich, low-carbohydrate and low-sugar eating in a simple, convenient and delicious way. The scope of the license includes all frozen meals across all retail channels (excluding online), in the U.S., Canada and Mexico.</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Recipes. </w:t>
      </w:r>
      <w:r>
        <w:rPr>
          <w:rFonts w:ascii="Times New Roman" w:cs="Times New Roman" w:eastAsia="Times New Roman" w:hAnsi="Times New Roman"/>
          <w:sz w:val="18"/>
          <w:szCs w:val="18"/>
          <w:color w:val="auto"/>
        </w:rPr>
        <w:t>We offer over 1,600 protein rich, low-carbohydrate and low-sugar recipes designed to help consumers achieve and maintain a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lifestyle, while still enjoying delicious food.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Advertising and Consumer Outreach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Simply Good Foods believes advocacy and education are key foundations of our approach to growth. By increasing consumer awareness about the benefits of adopting a low-carbohydrate approach to healthy eating, we are able to capture a larger audience and spread our message about the benefits of a low-carbohydrate approach to healthy living. Accordingly, we have structured our marketing and advertising not only to promote our products, but also to educate consumers.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Demographics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Atkins has built a large consumer following, with its weight management consumer forming the core of a much larger group of consumers looking for a more nutritious lifestyle. These consumers are an important foundation for our business. They are loyal, profitable and frequent purchasers of Atkins’ products. Beyond this group, we believe that there is significant opportunity to expand Atkins’ marketing, education and products to consumers who are not necessarily looking for a weight loss plan, but rather are focused more generally on long-term low-carbohydrate healthy living. We refer to these consumers as self-directed low-carb consumers. We believe our brand is uniquely positioned to capture both branded program consumers and self-directed low-carb consumers, and as part of our growth initiatives, we direct our marketing and advertising efforts to capitalize on this significant incremental opportunity.</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Branded Program Consumers. </w:t>
      </w:r>
      <w:r>
        <w:rPr>
          <w:rFonts w:ascii="Times New Roman" w:cs="Times New Roman" w:eastAsia="Times New Roman" w:hAnsi="Times New Roman"/>
          <w:sz w:val="18"/>
          <w:szCs w:val="18"/>
          <w:color w:val="auto"/>
        </w:rPr>
        <w:t>We identify branded program consumers as those consumers open to a weight-management program.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are typically of the belief that Atkins’ nutritional approach is effective, that Atkins’ food products generally make them less hungry than other approaches and that Atkins’ snacks are an effective way to facilitate weight management. Our primary message to these consumers is that our products and snacks enable weight management while still allowing consumers to maintain a sustainable and satisfying lifestyle. Atkins emphasizes to these consumers the emotional benefits of healthy living - increased energy, strength and self-esteem - and the simplicity and healthiness of its program.</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Self-Directed Low-Carb Consumers. </w:t>
      </w:r>
      <w:r>
        <w:rPr>
          <w:rFonts w:ascii="Times New Roman" w:cs="Times New Roman" w:eastAsia="Times New Roman" w:hAnsi="Times New Roman"/>
          <w:sz w:val="18"/>
          <w:szCs w:val="18"/>
          <w:color w:val="auto"/>
        </w:rPr>
        <w:t>We identify self-directed low-carb consumers as those consumers not interested in a directed, programmatic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to weight management, but who rather are interested in low-carbohydrate and low-sugar principles. These consumers are generally of the view that lowering carbohydrate and sugar intake is a better, healthier way to eat and should result in weight loss and maintenance. Our primary message to these consumers is that we offer delicious low-carbohydrate food options to provide better choices for snacking and meals. Atkins emphasizes appetite appeal and a more generalized theme of controlling carbohydrate and sugar consumption rather than weight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Consumer Knowledge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first step in expanding our consumer base and growing our business is educating consumers on the benefits of the Atkins approach to eating and teaching them how to make smarter food choices. In order to facilitate awareness of the health benefits of a low-carbohydrate, low-sugar and protein rich eating approach and spread knowledge of what we believe are the dangers of a carbohydrate rich diet, we have established a variety of marketing and advertising strategies to connect with consumers, including digital marketing and social media platforms, television advertising, celebrity endorsements and free online consumer tracking, management and facilitation tools. We find that the more consumers know about the science behind the Atkins approach to nutritious eating, the more likely they are to rebalance their nutrition away from carbohydrates.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Celebrity Endorsements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utilize celebrity partnerships to increase consumer awareness of our products and serve as real-life motivational and inspirational success stories. Rob Lowe is currently our official brand spokesperson, as a follower of the Atkins nutritional approach for many years. Atkins has also partnered with other celebrities, such as Lauren Alaina and Alyssa Milano, who publicly attribute their weight loss to Atkins’ products and programs. By actively supporting Atkins’ products and nutritional approach, these celebrities serve as a valuable resource contemporizing the Atkins brand, educating consumers, encouraging them to learn more about Atkins and building brand awareness.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Television Advertising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digital marketing and social media, we also engage in television advertising. Atkins specifically uses television as a means to encourage more consumers to learn about Atkins, share success stories and increase consumer awareness regarding the benefits of low-carbohydrate and low-sugar eating approaches. In the fifty-three week period ended August 31, 2019, approximately 39% of Atkins’ U.S. Selling and marketing expenses were spent on television advertising.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Atkins’ Tools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dynamic arsenal of complimentary educational, nutritional and weight management tools, including a mobile app and tracker, carb counter, meal plans and shopping lists. We also maintain discussion boards and groups on the Atkins website and social media platforms to keep our consumers inspired, motivated, connected and informed.</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Mobile App. </w:t>
      </w:r>
      <w:r>
        <w:rPr>
          <w:rFonts w:ascii="Times New Roman" w:cs="Times New Roman" w:eastAsia="Times New Roman" w:hAnsi="Times New Roman"/>
          <w:sz w:val="18"/>
          <w:szCs w:val="18"/>
          <w:color w:val="auto"/>
        </w:rPr>
        <w:t>The Atkins mobile app allows consumers to search, track and plan their meals on their mobile phone or tablet. The app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food search, which helps consumers find nutritional information for grocery items, restaurant meals, and Atkins-friendly recipes and products. The recently upgraded meal tracker allows consumers to track net carbs consumed based on their specific program. The progress tracker allows consumers to record their weight, body measurements and exercise to track weight loss to date and proximity to their goal weight. In addition, the mobile app includes over 1,000 recipes, making it simple to find and prepare low-carbohydrate and low-sugar meals.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Carb Counter</w:t>
      </w:r>
      <w:r>
        <w:rPr>
          <w:rFonts w:ascii="Times New Roman" w:cs="Times New Roman" w:eastAsia="Times New Roman" w:hAnsi="Times New Roman"/>
          <w:sz w:val="18"/>
          <w:szCs w:val="18"/>
          <w:color w:val="auto"/>
        </w:rPr>
        <w:t>. On Atkins’ website, Atkins offers a user-friendly guide to count carbohydrates. The Carb Counter tracks hundreds of different foods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assist consumers in tracking their daily carb intake. Specifically, the Carb Counter focuses on net carbs that effect blood sugar.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Meal Plans &amp; Shopping Lists</w:t>
      </w:r>
      <w:r>
        <w:rPr>
          <w:rFonts w:ascii="Times New Roman" w:cs="Times New Roman" w:eastAsia="Times New Roman" w:hAnsi="Times New Roman"/>
          <w:sz w:val="18"/>
          <w:szCs w:val="18"/>
          <w:color w:val="auto"/>
        </w:rPr>
        <w:t>. Whether looking to cook or preferring grab-and-go, Atkins offers meal plans that fit a plethora of lifestyles.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meal plans are easily downloaded from Atkins’ website. These meal plans outline what consumers should eat throughout the day, including snacks.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Discussion Boards and Groups</w:t>
      </w:r>
      <w:r>
        <w:rPr>
          <w:rFonts w:ascii="Times New Roman" w:cs="Times New Roman" w:eastAsia="Times New Roman" w:hAnsi="Times New Roman"/>
          <w:sz w:val="18"/>
          <w:szCs w:val="18"/>
          <w:color w:val="auto"/>
        </w:rPr>
        <w:t>. Atkins maintains discussion boards on its website so that its consumers can connect with Atkins professionals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members of the Atkins community. The discussion boards allow consumers to engage with Atkins nutrition professionals to receive advice and encouragement. Groups, also available on the website, facilitate support and encouragement among consumers and allow them to connect with one another and share their interests and goals. There are over 100 groups that a consumer may join, such as “Vegetarians on Atkins,” “Atkins Newbies” and “Continuing to Lose Weight”. A consumer may even start his or her own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Marketing and Social Media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dedicate a sizeable portion of our marketing and advertising spend to digital marketing channels. We maintain a registered domain at </w:t>
      </w:r>
      <w:r>
        <w:rPr>
          <w:rFonts w:ascii="Times New Roman" w:cs="Times New Roman" w:eastAsia="Times New Roman" w:hAnsi="Times New Roman"/>
          <w:sz w:val="18"/>
          <w:szCs w:val="18"/>
          <w:i w:val="1"/>
          <w:iCs w:val="1"/>
          <w:color w:val="auto"/>
        </w:rPr>
        <w:t>www.atkins.com</w:t>
      </w:r>
      <w:r>
        <w:rPr>
          <w:rFonts w:ascii="Times New Roman" w:cs="Times New Roman" w:eastAsia="Times New Roman" w:hAnsi="Times New Roman"/>
          <w:sz w:val="18"/>
          <w:szCs w:val="18"/>
          <w:color w:val="auto"/>
        </w:rPr>
        <w:t>, which serves as the primary source of information regarding Atkins’ products. In fiscal 2019, Atkins had approximately 9 million new visitors to its website, based on internal tracking. The Atkins website is used as a platform for consumer testimonials and success stories, and as a means to communicate simple nutrition choices that we believe can deliver a healthy holistic lifestyle and sustainable weight management.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social media platforms extensively for online collaboration like iPhone and Android smartphone apps, Facebook, Instagram and Twitter. These platforms are fundamentally changing the way we engage with our consumers and allow Atkins to directly reach desirable target demographics, such as millennials.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Facebook. </w:t>
      </w:r>
      <w:r>
        <w:rPr>
          <w:rFonts w:ascii="Times New Roman" w:cs="Times New Roman" w:eastAsia="Times New Roman" w:hAnsi="Times New Roman"/>
          <w:sz w:val="18"/>
          <w:szCs w:val="18"/>
          <w:color w:val="auto"/>
        </w:rPr>
        <w:t>We maintain an Atkins Facebook page, which we use to facilitate consumer services, distribute brand information and news, and publish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videos and pictures promoting the brand. We also conduct regular contests and giveaways. As of October 2019, Atkins had approximately 829,000 Facebook followers.</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Instagram</w:t>
      </w:r>
      <w:r>
        <w:rPr>
          <w:rFonts w:ascii="Times New Roman" w:cs="Times New Roman" w:eastAsia="Times New Roman" w:hAnsi="Times New Roman"/>
          <w:sz w:val="18"/>
          <w:szCs w:val="18"/>
          <w:color w:val="auto"/>
        </w:rPr>
        <w:t>. We maintain an Atkins Instagram account, @atkinsnutritionals, which we use as motivational, inspirational and aspirational publishing,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an authentic representation of low-carb lifestyles. We frequently publish consumer success stories, and conduct regular contests for our consumers. As of October 2019, Atkins had approximately 75,000 Instagram followers.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Twitter</w:t>
      </w:r>
      <w:r>
        <w:rPr>
          <w:rFonts w:ascii="Times New Roman" w:cs="Times New Roman" w:eastAsia="Times New Roman" w:hAnsi="Times New Roman"/>
          <w:sz w:val="18"/>
          <w:szCs w:val="18"/>
          <w:color w:val="auto"/>
        </w:rPr>
        <w:t>. We maintain an active Atkins Twitter account, @atkinsinsider, which we use to disseminate trending news and information, as well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short format tips, tricks and hacks. We also engage in chats with success stories, and conduct regular contests for our consumers. As of October 2019, Atkins had approximately 41,000 Twitter followers.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Product Innovation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reducing the number of ingredients to meet consumer demands for cleaner labels.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innovation strategy is based on ongoing research into consumers’ healthy lifestyle and nutritional needs. We pride ourselves on knowing our consumers and developing products that meet their needs. The average Atkins consumers purchases about 45 servings per year with multi-year consumers purchasing nearly 95 servings annually. Providing variety in snacking options to our consumers is an important strategy in our product innovation. New flavors, textures and snacking formats, like our new peppermint patties, are important to meeting consumer needs.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an important component of meeting consumers' nutritional needs is a focus on evolving current products and creating new products with cleaner and fewer ingredients. Accordingly, we are committed to continually finding new and innovative formulations to reduce the number of ingredients in our products, as well as using “better-for-you” ingredients like nuts, fiber and whey protein, while continually improving taste and quality.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in-house research and development team as well as market research and consumer insight capabilities. Through our research and development lab in Louisville, Colorado, we control the brand’s innovations and product formulations from the ground up. By developing new products, prototypes and adjacencies in-house, we facilitate our core competencies in product innovation, and enhance our speed to market.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part of our innovation process, we collaborate with nationally recognized third-party flavor houses and product development firms for new product development and then conduct our own proprietary consumer research to identify and improve upon new product concepts. We plan to continue to conduct extensive consumer research in order to develop successful new products including product flavor and concept testing, marketing and trend analysis and consumer prototype testing.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also believes the fragmented snacking category presents a substantial opportunity for consolidation and the opportunity to build, through disciplined acquisitions, a leading platform in the snacking space and broader food category. As a leader in nutritious snacking, management believes we have the unique capability to leverage our operating platform and customer relationships to expand beyond the Atkins brand. Our experienced management team has deep expertise in brand building to expand the business into additional brands and products in the snacking segment. Simply Good Foods is actively seeking to identify and evaluate new acquisition opportunities to complement the Atkins platform, as evidenced by our pending acquisition of Quest, and sees significant opportunity for growth and synergies in complementary adjacent snacking categories such as sports/active and adult nutritional snacks, salty snacks and protein snacks, as well as in the “better-for-you” eating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own numerous domestic and international trademarks and other proprietary rights that are important to our business. Depending upon the jurisdiction, trademarks are valid as long as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Atkins domain name is </w:t>
      </w:r>
      <w:r>
        <w:rPr>
          <w:rFonts w:ascii="Times New Roman" w:cs="Times New Roman" w:eastAsia="Times New Roman" w:hAnsi="Times New Roman"/>
          <w:sz w:val="18"/>
          <w:szCs w:val="18"/>
          <w:i w:val="1"/>
          <w:iCs w:val="1"/>
          <w:color w:val="auto"/>
        </w:rPr>
        <w:t>www.atkins.com</w:t>
      </w:r>
      <w:r>
        <w:rPr>
          <w:rFonts w:ascii="Times New Roman" w:cs="Times New Roman" w:eastAsia="Times New Roman" w:hAnsi="Times New Roman"/>
          <w:sz w:val="18"/>
          <w:szCs w:val="18"/>
          <w:color w:val="auto"/>
        </w:rPr>
        <w:t>, which has traffic of approximately 9 million new visitors in 2019 based on internal estimates. We also own virtually all of the recipes and specifications to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compete primarily with nutritional snacking brands in large retail environments. The nutritional snacking industry is fragmented and highly competitive, and includes a number of diverse competitors.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identified competitors include, but are not limited to, CLIF Bar, KIND bars, Special K, Slimfast, Muscle Milk, Premier Nutrition and thinkThin. On August 21, 2019, we announced that we entered into a definitive agreement to acquire Quest, a healthy, lifestyle food brand. See “Recent Developments” for additional information on the Acquisition.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principal competitive factors in the nutritional snacking and weight management industries are:</w:t>
      </w:r>
    </w:p>
    <w:p>
      <w:pPr>
        <w:spacing w:after="0" w:line="63"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taste;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440" w:gutter="0" w:footer="0" w:header="0"/>
        </w:sectPr>
      </w:pPr>
    </w:p>
    <w:bookmarkStart w:id="11" w:name="page12"/>
    <w:bookmarkEnd w:id="11"/>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low-carbohydrate, low-sugar, protein rich versus other nutritional approaches;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loyalty among consumers;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spending;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variety and packaging;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retailer shelf space.</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currently compete effectively with respect to each of these factors. However, a number of companies in the nutritional snacking and weight management industry have greater financial resources, more comprehensive product lines, broader market presence, longer standing relationships with distributors and suppliers, longer operating histories, greater distribution capabilities, stronger brand recognition and greater marketing resources than we have.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an asset-light business model. For the manufacture of our products, we subcontract with contract manufacturers, and as a result, our operations are highly flexible and require minimal capital expenditure. The supply chain for our international business also uses exclusively contract manufacturers, and is completely separate from our North American supply chain, which is described below.</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U.S. Supply Chain</w:t>
      </w:r>
      <w:r>
        <w:rPr>
          <w:rFonts w:ascii="Times New Roman" w:cs="Times New Roman" w:eastAsia="Times New Roman" w:hAnsi="Times New Roman"/>
          <w:sz w:val="18"/>
          <w:szCs w:val="18"/>
          <w:color w:val="auto"/>
        </w:rPr>
        <w:t>. The majority of our products are shipped directly to one central warehouse, which is a leased warehouse managed by a third-party logistics provider who then distributes products to customers. For certain customers, RTD shakes are shipped directly from the contract manufacturer to the customer's location. In addition, our use of demand forecasting and vendor-managed inventory systems enable us to meet shipping demands, ensure timely delivery of orders and offer service levels to our customers.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Sourcing. </w:t>
      </w:r>
      <w:r>
        <w:rPr>
          <w:rFonts w:ascii="Times New Roman" w:cs="Times New Roman" w:eastAsia="Times New Roman" w:hAnsi="Times New Roman"/>
          <w:sz w:val="18"/>
          <w:szCs w:val="18"/>
          <w:color w:val="auto"/>
        </w:rPr>
        <w:t>The principal ingredients to manufacture our products include chocolate and other coatings, dairy, proteins, soy and nuts. Our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consist of flexible film, cartons, tetra paper and corrugate. All of our core ingredients are purchased according to rigorous standards to assure food quality and safety. These core ingredients are generally available in adequate quantities from suppliers. We visit with major suppliers to source competitively priced, quality ingredients that meet our standards. We manage actively the cost of some ingredients including milk protein concentrate, whey proteins, chocolate coatings, some nuts, soy crisps and liquid soy, as well as packaging—corrugated, film, printed boxes and tetra paper.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We rely on contract manufacturers to manufacture our products. The contract manufacturers schedule and purchase ingredient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independently, according to parameters set in their contracts and forecasts we provide. Our contract manufacturers are regularly audited by third parties and are required to follow rigorous food safety guidelines. We believe our contract manufacturers have capacity to meet our anticipated supply needs, although short term high demand can cause disruptions. We monitor both near-term and long-term capacity as well as fulfillment rates and overall performance of our manufacturing partners and qualify alternate suppliers as needed. We receive finished products from our contract manufacturers, which includes all packaging and ingredients used, as well as an agreed-upon tolling charge for each item produced. These finished products are then shipped directly to our distribution center in Greenfield, Indiana, or shipped directly from the contract manufacturer to the customer, in the case of RTDs to select customers.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Storage. </w:t>
      </w:r>
      <w:r>
        <w:rPr>
          <w:rFonts w:ascii="Times New Roman" w:cs="Times New Roman" w:eastAsia="Times New Roman" w:hAnsi="Times New Roman"/>
          <w:sz w:val="18"/>
          <w:szCs w:val="18"/>
          <w:color w:val="auto"/>
        </w:rPr>
        <w:t>We have one leased distribution center in Greenfield, Indiana, referred to as the Distribution Center, where we store finished goods.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Center has approximately 423,000 square feet of floor space.</w:t>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For the majority of our customers, our logistics provider distributes the finished goods via truckloads from our Distribution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first flow through regional terminals. At the terminals, our orders are consolidated with other customer orders. The finished goods are then distributed to retailer distribution centers. The regular weekly shipments and consolidation have diminished our costs. We manage approximately 44% of outgoing volume by writing our own orders to retailer distribution centers and maintaining agreed finished goods inventory levels at their warehouse(s). For direct to customer shipments, a third party logistic provider ships products directly from a contract manufacturer's warehouse to the customer.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Retailers. </w:t>
      </w:r>
      <w:r>
        <w:rPr>
          <w:rFonts w:ascii="Times New Roman" w:cs="Times New Roman" w:eastAsia="Times New Roman" w:hAnsi="Times New Roman"/>
          <w:sz w:val="18"/>
          <w:szCs w:val="18"/>
          <w:color w:val="auto"/>
        </w:rPr>
        <w:t>We have a wide variety of customers across the mass, food, club, drug, and e-commerce channels. Walmart Stores, Inc. (“Walmart”),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customer represents approximately 44% of consolidated sales of Simply Good Foods in fiscal year 2019, of which approximately 36% is through their mass retail channel and approximately 8% is through their club channel. No other customer represents more than 10% of sales.</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We aim to ensure that our consumers may access our brand in the way that best suits their lifestyles by offering home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Atkins’ snacking products. We sell our products on Atkins.com as well as Amazon.com.</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Food Safety and Quality. </w:t>
      </w:r>
      <w:r>
        <w:rPr>
          <w:rFonts w:ascii="Times New Roman" w:cs="Times New Roman" w:eastAsia="Times New Roman" w:hAnsi="Times New Roman"/>
          <w:sz w:val="18"/>
          <w:szCs w:val="18"/>
          <w:color w:val="auto"/>
        </w:rPr>
        <w:t>Food safety and quality is a top priority and we dedicate substantial resources to ensure that consumers receive safe,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food products. Our products are manufactured in facilities that have programs and controls in place regarding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12" w:name="page13"/>
    <w:bookmarkEnd w:id="1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Our products are also sold outside North America. Our top international sales are in Australia/New Zealand and the Netherlands.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fifty-three week period ended August 31, 2019, international net sales represented approximately 5% of total net sales. Our international supply chain is self-sufficient and run by a lean team solely focused on international operations. Similar to U.S. operations, international operations utilize contract manufacturers for products, and distributors for distributions and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Atkins’ History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Dr. Robert Atkins was a cardiologist who discovered that by controlling carbohydrate consumption in his patients, he could improve their health and lower their weight. In 1972, Dr. Robert Atkins published a book, Dr. Atkins’ Diet Revolution, and became famous as a diet doctor. He also founded a company, Atkins Nutritionals, to make food products that were consistent with his approach to nutrition. In the 1980s and 1990s, Atkins was a doctor-founded diet brand. In 2003, Atkins was acquired from its founders by Parthenon and Goldman Sachs Capital Partners. In the early 2000s, in the midst of the low carb diet craze, the Atkins diet was the most popular diet in the U.S., with one in two adults claiming they were using Atkins for weight loss. The strategy pursued by management at that time was to proliferate the brand into numerous categories within the grocery store. Atkins launched over 1,100 SKUs in categories such as bread, macaroni and cheese, ice cream, barbecue sauce, vitamin pills and supplements—categories well beyond Atkins’ core snacking business. As the low carb diet craze faded, those new products did not sell well and Atkins filed for bankruptcy in 2005. Atkins re-emerged from bankruptcy in 2006, and was subsequently acquired by North Castle Partners in 2007. Atkins repositioned the business based on two strategies: a focus on core, programmatic weight loss consumers, and a focus on healthy snacking. Roark Capital Group (“Roark“) acquired Atkins in 2010. Atkins positioned the brand to consumers as a balanced approach to weight loss and upgraded the snacking products to improve taste and expand flavor variety. Supported by increased levels of marketing spending, those strategies resulted in eight consecutive years of U.S. Multi-Outlet Retail Sales growth. In 2016, Atkins evolved its strategy to continue to target consumers focused on a programmatic approach to weight loss, while adding a new target consumer: self-directed low carbohydrate consumers, who prefer a self-directed, rather than programmatic, approach to nutrition. Since 2016, Atkins has purposefully and thoughtfully broadened the brand, positioning toward a healthier approach to eating, while focusing on the core snacking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sells its branded nutritional foods and snacking products designed around the nutrition principles of the Atkins eating approach, which is based on our go-to-market strategies, the objectives of the business and how our chief decision maker, the CEO, monitors operating performance and allocates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we had approximately 150 employees, including international employees. None of the U.S. employees are represented by a labor union or are covered by a collective bargaining agreement. We believe that we have good relations with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including, among others, the U.S. Federal Trade Commission (“FTC”), the U.S. Food and Drug Administration (“FDA”), the United States Department of Agriculture (“USDA”), the U.S. Environmental Protection Agency and the Occupational Safety and Health Administration and similar state and local agencies. Under various statutes, these agencies, among other things, prescribe the requirements and establish the standards for quality and safety and regulate marketing and advertising to consumers. Certain of these agencies, in certain circumstances, must not only approve products, but also review the manufacturing processes and facilities used to produce these products before they can be marketed in the United States.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Food-Related 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manufacturer and distributor of food products, we are subject to a number of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manufacturing practices for foods through its current good manufacturing practices regulations;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standards of identity for certain foods, including many of the products we sell;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prescribes the format and content of certain information required to appear on food product labels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Food Safety Modernization Act of 2011,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in material compliance with the environmental regulations applicable to our business. We do not expect the cost of our continued compliance to have a material effect on our capital expenditures, earnings, cash flows or competitive position in the foreseeable future. In addition, any asset retirement obligations are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Labeling 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The address of this Internet 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free of charge through our website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the highly competitive nutritional snacking industry.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nutritious snacking industry is large and intensely competitive because consumers are seeking simpler, “cleaner” and more sustainable eating habits. Our business is committed to providing people a more nutritious way to eat. As a result, we compete in the nutritional snacking industry, which is included in the general snack foods industry. Competitive factors in the nutritional snacking industry include product quality, taste, brand awareness among consumers, nutritional content, simpler and less processed ingredients, innovation of “on-trend” snacks, variety of snacks offered, grocery aisle placement, access to retailer shelf space, price, advertising and promotion, product packaging and package design. We compete in this market against numerous multinational, regional and local companies principally on the basis of our low-carb, low-sugar and protein-rich nutritional content, product taste and quality, our brand recognition and loyalty, marketing, advertising, price and the ability to satisfy specific consumer dietary needs. An increasing focus on healthy and simpler products in the marketplace will likely increase these competitive pressures within the category in future periods.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in the nutritional snacking industry include companies selling branded weight loss programs who support these programs by offering a wide variety of diet foods, meal replacement bars, shakes and nutritional supplements, and through the promotion of weight loss and weight management approaches such as paleo, vegan, gluten free, vegetarian and others. Views towards nutritional snacking, weight loss and management, and other nutritional approaches, are cyclical and trendy in nature, with constantly changing consumer perceptions. In addition to remaining competitive through the quality of our products, consumer perceptions of the Atkins’ weight management approach and the effectiveness of a low-carb, low-sugar and protein-rich eating approach must continue to be viewed favorably, or our business and reputation may be materially and adversely affected. If other weight management approaches become more popular, or are generally perceived to be more effective than Atkins, we may not be able to compete effectively. Some of our competitors have substantially greater resources than us and sell brands that may be more widely recognized than Atkins’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result in reductions in our sales, require us to reduce our prices, or both, which could materially and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growth strategies on a timely basis, or at all, our ability to increase our revenue and operating profits could be materially and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future success depends, in large part, on our ability to implement our growth strategies effectively, including expanding on a low-carb, low-sugar and protein-rich healthy lifestyle while maintaining the traditional identity of our brands and the loyalty of our consumers. However, we may not succeed in implementing our growth strategies effectively. In December 2016, we transitioned from a single- to multibrand portfolio with the acquisition of Wellness Foods and the addition of the SimplyProtein® brand. On August 21, 2019, we announced our pending acquisition of Quest, a healthy lifestyle food company. We expect to focus on nutritional snacking in the future and intend to add additional brands to our product portfolio. As a multi-brand business, we face increased complexities and greater uncertainty with respect to consumer trends and demands than as a single-brand business. Our ability to successfully expand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 In addition, self-directed lifestyle consumers of products may have different preferences and spending habits than the consumers of traditional weight loss products. We may not be successful in reaching and maintaining the loyalty of new consumers to the same extent, or at all, as we have with our historical consumers. We believe traditional weight management consumers actively on the Atkins program represent approximately 15% of our current consumer base whereas the remaining approximate 85% of our consumers are not currently on a program diet. We may not be successful in evolving our advertising and other efforts to appeal to both our branded weight loss consumers and self-directed healthy lifestyle consumers. If we are unable to identify and capture new audiences and demographics, our ability to successfully integrate additional brands will be adversely affected. Accordingly, we may not be able to successfully implement our growth strategies, expand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0" w:right="2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brand recognition, increase distribution of our products, attract new consumers to our brands and introduce new and innovative products, either on a timely basis or at all, our business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develop and market new and innovative products and extensions. New product sales represent a growing and important portion of our net sales. In order to respond to new and evolving consumer demands, achieve market acceptance and keep pace with new nutritional, weight management, technological and other developments, we must constantly introduce new and innovative products into the market, some of which may not be accepted by consumers, may be sent to market prematurely or may not be consistent with our quality and taste standards. Accordingly, we may not be successful in developing, introducing on a timely basis or marketing any new or enhanced products. If we are unable to commercialize new products, our revenue may not grow as expected, which would materially and adversely affect our business, financial condition and results of operations.</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sales to a limited number of retailers for a substantial majority of our net sales, and the loss of one or more such retailers may materially harm our business. In addition, we maintain “at will” contracts with these retailers, which do not require recurring or minimum purchase amounts of our products.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substantial majority of our sales are generated from a limited number of retailers. Sales to our largest retailer, Walmart, represented approximately 44% of sales in fiscal year 2019, of which approximately 36% is through their mass retail channel and approximately 8% is through their club channel. Although the composition of our significant retailers may vary from period-to-period, we expect that most of our net sales will continue to come from a relatively small number of retailers for the foreseeable future. These retailers may take actions that affect us for reasons that we cannot anticipate or control, such as their financial condition, changes in their business strategy, operations, the perceived quality of their products and the introduction of competing products. There can be no assurance that Walmart or our other significant retailers will continue to purchase our products in the same quantities or on the same terms as in the past, particularly as increasingly powerful retailers continue to demand lower pricing.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retailers typically do not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As a result of actual or perceived conflicts resulting from competition, retailers may take actions that negatively affect us. We may not be able to find new retailers to supplement our revenue in periods when we experience reduced purchase orders, or recover fixed costs as a result of experiencing reduced purchase orders. Periods of reduced purchase orders could materially and adversely affect our business,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Conversely, from time to time, we may experience unanticipated increases in orders of our products from these retailers that can create supply chain problems and may result in unfilled orders. If we are unable to meet increased demand for our products, our reputation with these retailers may be harmed. Unanticipated fluctuations in product requirements could result in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in order to accommodate private label products and pressure us to lower the prices of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may be limited if we are unable to add additional shelf or retail space for our products.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depend on our ability to drive revenue growth, in part, by expanding the distribution channels for our products. Our ability to do so may be limited by an inability to secure new retailers, or additional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their platform to enable us to meet our growth objectives.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Consumers generally shop for the Atkins brand first, then choose a product form or flavor second. Our ability to shelf all of Atkins' products together in one area at retail enables consumers to easily find all Atkins products when shopping. Any customer decision to separate Atkins products by form (bars, RTDs or confections) could negatively affect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Unattractive shelf placement and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quantity and quality of private-label products in the product categories in which we compete could create more pressure for shelf space and placement for branded products within each such category, which could materially and adversely affect our sales.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preferences, perceptions of healthy food products and discretionary spending may negatively affect our brand loyalty and net sales, and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focus on products that are, or that we believe are, perceived to have positive effects on health, and compete in a market that relies on innovation and evolving consumer preferences. The processed food industry in general, and the nutritional snacking industry in particular, is subject to changing consumer trends, demands and preferences. Emerging science, Atkins’ nutritional approach and theories regarding health are constantly evolving. Products or methods of eating once considered healthy may become disfavored by consumers, scientifically disproven or no longer be perceived as healthy. Trends within the food industry change often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trends away from specific ingredients in products and increasing awareness of the environmental and social effects of product production.</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 perceptions of the nutritional profile of low-carb, low-sugar and protein-rich eating practices and products may shift and consumers may no longer perceive products with fewer carbohydrates, higher levels of protein, higher levels of fat and additional fiber as healthy. Approaches regarding weight management and healthy lifestyles are the subject of numerous studies and publications, often with differentiating views and opinions, some of which may be adverse to us. Conflicting scientific information on what constitutes good nutrition, diet fads and other weight loss trends may materially and adversely affect our business from time to time. Our success depends, in part, on our ability to anticipate the tastes and dietary habits of consumers and other consumer trends and to offer products that appeal to their needs and preferences on a timely and affordable basis. A change in consumer discretionary spending, due to economic downturn or other reasons may also materially and adversely affect our sales, and our business,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U.S. operations, we utilize a single distribution center in Greenfield, Indiana. Substantially all of our inventory is shipped directly to our retailers from this center by a third-party operator. We rely significantly on the orderly operation of this center. If complications arise, or if the facility is damaged or destroyed, our ability to deliver inventory on a timely basis will be significantly impaired, which could materially and adversely affect our business.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a single-sourced logistics provider for distribution and product shipments in the United States. Our utilization of delivery services for shipments is subject to risks that may affect the ability to provide delivery services that adequately meet our shipping needs including increases in fuel prices, employee strikes and inclement weather. From time to time, we may change third-party transportation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Disruptions at our distribution facility or in our operations due to natural or man-made disasters, fire, flooding, terrorism or other catastrophic events, system failure, labor disagreements or shipping problems may result in delays in the delivery of products to retailers.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Shortages or interruptions in the supply or delivery of our core ingredients, packaging and products could materially and adversely affect our operating results as we rely on a limited number of third-party suppliers to supply our core ingredients and a limited number of contract manufacturers to manufacture our products.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core ingredients used in manufacturing our products include soy, nuts, dairy and cocoa. We rely on a limited number of third party suppliers to provide these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ability to import core ingredients, costs, production, insurance, reputation and weather conditions during growing, harvesting or shipping, including flood, drought, frost and earthquakes, as well as man-made disasters or other catastrophic occurrences.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performance depends in large part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overall supply of required core ingredients, suppliers raising their prices, and increases in the cost of packaging and distributing core ingredients. Additionally, we may be adversely affected if suppliers stop selling to us or enter into arrangements that impair their abilities to provide us with core ingredients.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0" w:right="2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a limited number of contract manufacturers to manufacture our products. If any of these manufacturers experience adverse effects on their businesses or are unable to continue manufacturing our products at required levels, on a timely basis, or at all, we may be forced to seek other manufacturers. In addition, our contract manufacturers independently contract for and obtain some of the core ingredients in our products. If contract manufactures are unable to obtain these core ingredients in the required amounts or at all, their ability to manufacture our products would be adversely affected. It could take a significant period of time to locate and qualify such alternative production sources. We may not be able to identify and qualify new manufacturers in a timely manner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risks associated with protection of our trade secrets by our third 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in a timely manner or meet our strict quality standards. Even if our existing suppliers and manufacturers are able to expand their capacities to meet our needs, or we are able to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 term.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in part on our third-party contract manufacturers to maintain the quality of our products. The failure or inability of contract manufacturers to comply with the specifications and requirements of our products could result in product recall, which could materially and adversely affect our reputation and subject us to significant liability should the consumption of any of our products cause or be claimed to cause illness or physical harm. Our products implicate risks such as product contamination, spoilage, product tampering, other adulteration, mislabeling and misbranding. We also license certain products that contain our brand and logo, but which are produced and distributed exclusively by third parties of whom we have limited control. In addition, we do not own our warehouse facility, but it is managed for us by a third party.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certain circumstances, we may be required to, or may voluntarily, recall or withdraw products. For example, in 2016, as part of a larger national recall by several other food companies, we incurred losses, including recalled product as a result of potential contamination from an ingredient supplied to one of our third-party manufacturers at their manufacturing center. While the contamination did not result in any consumer illness, and we were indemnified for a substantial portion of our direct product loss, the recall may have damaged our reputation. A widespread recall or withdrawal of any of ours or Atkins’ licensed products may negatively and significantly affect our sales and profitability and could result in significant losses depending on the costs of the recall, destruction of product inventory, reduction in product availability, and reaction of competitors and consumers.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product liability claim or lawsuit is unsuccessful or is not fully pursued, the negative publicity surrounding any assertion that our products caused illness or physical harm could adversely affect our reputation with existing and potential consumers and our corporate and brand image. Moreover, claims or liabilities of this sort might not be covered by our insurance or by any rights of indemnity or contribution that we may have against others. We maintain product liability insurance in an amount that we believe to be adequate. However, we may incur claims or liabilities for which we are not insured or that exceed the amount of our insurance coverage. A product liability judgment against us or a product recall could materially and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may rise significantly, which may negatively affect the profitability of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negotiate the prices for large quantities of core ingredients, such as soy, nuts, dairy and cocoa, as well as packaging materials. A number of these ingredients are manufactured and packaged in Canada. Costs of ingredients and packaging are volatile and can fluctuate due to conditions that are difficult to predict, including global competition for resources, fluctuations in currency and exchange rates, weather conditions, natural or man-made disasters, consumer demand and changes in governmental trade and agricultural programs. Continued volatility in the prices of the core ingredients and other supplies we purchase could increase our cost of goods sold and reduce our profitability.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use hedges or forward pricing for availability of any core ingredients. As such, any material upward movement in core ingredient pricing could negatively affect our margins if we are not able to pass these costs on to our consumers, or our sales if we are forced to increase our prices. If we are not successful in managing our ingredient and packaging costs, if we are unable to increase our prices to cover increased costs or if such price increases reduce our sales volumes, then such increases in costs will materially and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prices may be effected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and natural disasters such as fires, floods, droughts, hurricanes, earthquakes and tornadoes can affect crop supplies, manufacturing facilities and distribution activities, and negatively affect the operating results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Severe weather conditions and natural disasters, such as fires, floods, droughts, frosts, hurricanes, earthquakes, tornadoes, insect infestations and plant disease, may affect the supply of core ingredients used to make food products, or may prevent the manufacturing or distribution of food products by third parties. Competing manufacturers might be affected differently by weather conditions and natural disasters, depending on the location of their sources of supplies and manufacturing or distribution facilities. If supplies of core ingredients available to us are reduced, we may not be able to find enough supplemental supply sources on favorable terms, which could materially and adversely affect our business, financial condition and results of operations. In addition, because we rely on few contract manufacturers for a majority of our manufacturing needs and a single distribution warehouse, adverse weather conditions could affect the ability for those third-party operators to manufacture and store our products.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brands or reputation are damaged, the perception of our brand by our consumers, distributors and retailers may diminish,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we have built our reputation on the efficacy of our nutritional approach, as well as the high quality flavor and nutritional content of our food. We must protect and expand on the value of our brands to continue to be successful in the future. Any incident that erodes consumer affinity for our brands could significantly reduce our value and damage our business. For example, negative third-party reports regarding the Atkins nutritional approach or the quality of our food, whether accurate or not, may adversely affect consumer perceptions, which could in turn cause the Atkins’ brand value to suffer and adversely affect our business. In addition, if we are forced, or voluntarily elect, to recall certain products, including frozen foods or licensed products over which we may not have full quality control, the public perception of the quality of our food may be diminished. We may also be adversely affected by news or other negative publicity, regardless of accuracy, regarding other aspects of our business, such as public health concerns, illness, safety, security breaches of confidential consumer or employee information, employee related claims relating to alleged employment discrimination, health care and benefit issues or government or industry findings concerning our retailers, distributors, manufacturers or others across the industry supply chain.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entered into agreements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result in negative publicity about us and our products. This negative publicity could materially and adversely affect our brand and reputation as well as our revenue and profits.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information, including inaccurate information, about us on social media may harm our reputation and brand, which could have a material and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concerning our business and/or products may be posted on such platforms at any time. Negative views regarding our products and the efficacy of the Atkins eating approach have been posted on various social media platforms,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expend resources to maintain consumer awareness of our brands, build brand loyalty and generate interest in our products. Our marketing strategies and channels will evolve and our programs may or may not be successful.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Atkins nutritional approach is broadly known and followed in the United States and many other countries in which we operate. In order 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our brand’s market position or to introduce new products to the market, and participants in our industry are increasingly engaging with non-traditional media, including consumer outreach through social media and web-based channels, which may not prove successful. An increase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in our marketing and advertising efforts may not maintain our current reputation, or lead to increased brand awareness. Moreover, we may be unable to maintain current awareness of our brand due to any potential fragmentation of our marketing efforts as we continue to focus on a low-carb, low-sugar and protein-rich nutritional approach for everyday snacking consumers. In addition, we consistently evaluate our product lines to determine whether or not to discontinue certain products. Discontinuing product lines may increase our profitability but could reduce our sales and hurt our brands, and a reduction in sales of certain products could result in a reduction in sales of other products. The discontinuation of product lines may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or increase prices, our margins may decrease.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in part on price increases to offset cost increases and improve the profitability of our business. Our ability to maintain prices or effectively implement price increases may be affected by a number of factors, including competition, effectiveness of our marketing programs, the continuing strength of our brand, market demand and general economic conditions, including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that we have announced or already implemented, whether through a change in list price or increased promotional activity. If we are unable to maintain or increase prices for our products or must increase promotional activity, our margins may be adversely affected. Furthermore, price increases generally result in volume losses, as consumers purchase fewer units. If such losses are greater than expected or if we lose distribution due to a price increase, our business, financial condition and results of operations may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grow through acquisitions or joint ventures and we may not successfully integrate, operate or realize the anticipated benefits of such business combinations.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strategic initiatives, we intend to pursue acquisitions or joint ventures, such as our acquisition of Wellness Foods and the pending Acquisition of Quest, a healthy lifestyle food company. Our acquisition strategy is based on identifying and acquiring brands with products that complement our existing products and identifying and acquiring brands in new categories and new geographies for the purpose of expanding our platform of nutritional snacks and potentially other food products. Although we regularly evaluate multiple acquisition candidates, we cannot be certain that we will be able to successfully identify suitable acquisition candidates, negotiate acquisitions of identified candidates on favorable terms, or integrate acquisitions that we complete.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that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a significant amount of management time and distraction from our core business, even where we are unable to consummate or decide not to pursue a particular transaction.</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risks above, even when acquisitions are completed, integration of acquired entities can involve significant difficulties. These include failure to achieve financial or operating objectives with respect to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see “Risks Related to the Acquisition”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financial condition and ability to operate our company, and we may incur additional debt.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we had approximately $196.5 million in outstanding indebtedness and a revolving credit facility with availability of $75 million. We also intend to fund a portion of the purchase price of the Acquisition with committed financing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additional debt commitments from Barclays, Credit Suisse and Goldman Sachs.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affected by the other risk factors described herein. If we do not generate enough cash flow to pay our debt service obligations, we may be required to refinance all or part of our existing debt, sell our assets, borrow more money or raise equity. We may not be able to take any of these actions on a timely basis, on terms satisfactory to us,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facilities governing our debt arrangements contain financial and other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facilities governing our existing debt arrangements contain certain financial and other covenants. Our revolving credit facility has a maximum total net leverage ratio equal to or less than 6.25:1.00 (with a reduction to 6.00:1.00 on and after the third anniversary of the closing date of the credit facilities)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result in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may adversely affect our earnings and/or cash flows.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indebtedness under our revolving credit facility bears interest at variable interest rates that use the London Inter-Bank Offered Rate (“LIBOR”) as a benchmark rate. On July 27, 2017, the United Kingdom’s Financial Conduct Authority (“FCA”),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Although our revolving credit facility provides for successor base rates, the successor base rates may be related to LIBOR, and the consequences of any potential cessation, modification or other reform of LIBOR cannot be predicted at this time. If LIBOR ceases to exist, we may need to amend our revolving credit facility, and we cannot predict what alternative interest rate(s) will be negotiated with our counterparties. As a result, our interest expense may increase, our ability to refinance some or all of our existing indebtedness may be effected and our available cash flow may be adversely affected.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our products must comply with regulations of the FDA as well as state and local regulations. Any non-compliance with the FDA or other applicable regulations could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must comply with various FDA rules and regulations, including those regarding product manufacturing, food safety, required testing and appropriate labeling of our products. The FDA has not defined nutrient content claims with respect to carbohydrates, but has not objected to the use of net carbohydrate information on food labels if the label adequately explains how the term is used so that it would not be false or misleading to consumers. The FDA requires all carbohydrates per serving to be listed on the Nutrition Facts Panel (“NFP”) of a package. In addition to the information on the NFP, we use the term “net carbohydrate” (or “net carbs”) on our Atkins' packaging to assist consumers in tracking the carbohydrates in that serving of food that effect their blood sugar (glucose) levels. We determine the number of net carbs in a serving by subtracting fiber, and sugar alcohols if any, from the actual number of carbohydrates listed on the NFP. Fiber and sugar alcohols can be subtracted from the carbohydrates because they minimally effect blood sugar. It is possible that FDA regulations and/or their interpretations may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FDA or other regulations restrict us from labeling and marketing certain ingredients or product attributes, such as fiber or “net carb” count, we may be unable to effectively reach our target demographics, promote what we believe to be the benefits of our products or communicate that our products are composed of what we consider to be low-carb, low-sugar and protein-rich ingredients.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Conflicts between state and federal law regarding definitions of our core ingredients, as well as labeling requirements, may lead to non-compliance with state and local regulations. For example, certain states may maintain narrower definitions of certain ingredients, as well as more stringent labeling requirements, of which we are unaware. Any non-compliance at the state or local level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is regulated for accuracy, and if our advertising is determined to be false or misleading, we may face fines or sanctions.</w:t>
      </w:r>
    </w:p>
    <w:p>
      <w:pPr>
        <w:spacing w:after="0" w:line="3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withdraw our campaign and possibly face fines or sanctions, which could have a material adverse effect on our sales and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materially and adversely affect our business,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Adverse and uncertain economic conditions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making it more difficult to sell our premium products. Due to the relative costs of our products, during economic downturns, it may be more difficult to convince consumers to switch to or continue to use our brands or convince new users to choose our brands without expensive sampling programs and price promotions. In particular, consumers may reduce their purchases of products without GMOs, gluten or preservatives when there are conventional offerings of similar products, which generally have lower retail prices.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as well as the laws and regulations administered by government entities and agencies outside the United States in markets in which our products or components thereof, such as packaging, may be made, manufactured or sold. These laws, regulations and interpretations thereof may change, sometimes dramatically, as a result of a variety of factors, including political, economic or social events. Such factors may include changes in:</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drug laws (including FDA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product labeling;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laws and practices;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restricting the sale and advertising of certain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present in certain of our products;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discouraging the consumption of products or ingredients or altering the package or portion size of certain of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consumer protection and disclosure laws;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requirements, including the imposition or proposed imposition of new or increased taxes or other limitations on the sale of our products; competition laws;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including the U.S. Foreign Corrupt Practices Act of 1977, as amended (the “FCPA”), and the UK Bribery Act of 2010 (the “Bribery Act”);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and anti-boycott laws, including laws administered by the U.S. Department of Treasury, Office of Foreign Assets Control (“OFAC”) and the European Union (“EU”);</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relating to export, re-export, transfer, tariffs and import controls, including the Export Administration Regulations, the EU Dual Use Regulation and the customs and import laws administered by the U.S. Customs and Border Protection;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laws;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regulating the price we may charge for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and environmental laws.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laws, regulations or governmental policies and their related interpretations, or changes in any of the foregoing, including taxes, tariffs or other limitations on the sale of our products, ingredients contained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as well as class action litigation, which has increased in the industry in recent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geographic focus makes us particularly vulnerable to economic and other events and trends in North America.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including the U.S. and Canada.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effect on our reputation.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potential losses. We may establish reserves, as appropriate based on the information available to management at the time. These assessments and estimates involve a significant amount of management judgment and may differ materially from actual outcomes.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in accordance with state and federal rules and regulations, consumers may avoid purchasing our products or seek alternative products, even if the basis for the claims against us is unfounded.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consumer loss of confidence in the truthfulness of our labeling or ingredient claims would be difficult and costly to overcome and may significantly reduce our brand value. For example, publications and other third-party commentary may vary in opinion with respect to calculations of net carbs and vary on approach to calculations of net carbs, which may lead to reports questioning the accuracy of our calculations and reporting the amount of net carbs contained in certain of our products. Uncertainty among consumers as to the nutritional content or the ingredients used in our products, regardless of the cause, may have an adverse effect on our brands, business,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with respect to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serve to lessen or remove the current legal protections available for intellectual property. Any legal action that we may bring to protect our brand and other intellectual property could be unsuccessful, result is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are unable to license such third-party intellectual property on reasonable terms. Certain of our intellectual property licenses have fixed terms, and even for those that do not, we cannot guarantee that all of our intellectual property licenses will remain in effect indefinitely. Termination of intellectual property licenses granted by or to us could result in the loss of profits generated pursuant to such licenses. Any of the foregoing outcomes could materially and adversely harm our business, financial condition or results of our operations.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dependent on various information technology systems. A failure of our information technology systems to perform as we anticipate could disrupt our business. Our information technology systems may be vulnerable to damage or interruption from circumstances beyond our control, including natural disasters, terrorist attacks, telecommunications failures, computer viruses, hackers and other security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issues. Despite safeguards that we have implemented that are designed to prevent unauthorized access to our information technology systems, we cannot be certain that our information technology systems are free from vulnerability to security breaches (especially as the sophistication of cyber-security threats continues to increase), or from vulnerability to inadvertent disclosures of sensitive data by third parties or by us.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result in damaged reputation with consumers and reduced demand for our products. Additional expenditures may not prove to be a timely remedy against breaches by unauthorized users who are able to penetrate our information security. In addition to purposeful security breaches, the inadvertent transmission of computer viruses could adversely affect our computer systems and, in turn, harm our business.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number of states require that consumers be notified if a security breach results in the disclosure of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exception of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 If we or our third-party providers fail to maintain or protect our respective information technology systems and data integrity effectively, fail to implement new systems, and/or update or expand existing systems or fail to anticipate, plan for or manage significant disruptions to systems involved in our operations, we could lose existing customers, have difficulty preventing, detecting, and controlling fraud, have disputes with customers, suppliers, distributors or others, and be subject to regulatory sanctions, including sanctions stemming from violations of the Health Insurance Portability and Accountability Act of 1996, and as a result, have increases in operating expenses.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appropriate systems, procedures and controls, we may not be able to successfully offer our products, grow our business and account for transactions in an appropriate and timely manner.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currently do not have an integrated enterprise resource planning system and certain other automated management and accounting systems. We periodically update our operations and financial systems, procedures and controls; however; we still rely on manual processes and procedures that may not scale proportionately with our business growth. Our systems will continue to require automation, modifications and improvements to respond to current and future changes in our business. Failure to implement in a timely manner appropriate internal systems, procedures and controls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our key executive officers. The loss of the services of any of these executives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it may not be available on acceptable terms or at all.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a number of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are unable to generate sufficient funds from operations or raise additional capital, our growth could be impeded.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64" w:right="2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as a result of operating as a public company, and our management has been and will continue to be required to devote substantial time to compliance efforts.</w:t>
      </w:r>
    </w:p>
    <w:p>
      <w:pPr>
        <w:spacing w:after="0" w:line="1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have incurred and expect to continue to incur significant legal, accounting, insurance and other expenses as a result of being a public company. The Dodd-Frank Wall Street Reform and Customer Protection Act (the “Dodd-Frank Act”) and the Sarbanes-Oxley Act of 2002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Sarbanes-Oxley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as well as related rules implemented by the SEC,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Our internal infrastructure may not be adequate to support our increased reporting obligations, and we may be unable to hire, train or retain necessary staff and may be reliant on engaging outside consultants or professionals to overcome our limited experience or employees which could adversely affect our business if our internal infrastructure is inadequate to fulfill our public company obligations. These laws, rules and regulations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 over financial reporting, we could fail to report our financial results accurately.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In the future, we may discover areas of our internal control over financial reporting that need improvement. Prior to the Business Combination, we had not historically documented our internal controls. If we identify a control deficiency that rises to the level of a material weakness in internal controls over financial reporting, our ability to record, process, summarize and report financial information timely and accurately may be adversely affected and, as a result, our financial statements may contain material misstatements or omissions.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In addition, our internal financial and accounting team is leanly staffed, which can lead to inefficiencies with respect to segregation of duties. If we fail to properly and efficiently maintain an effective internal control over financial reporting, we could fail to report our financial results accurately.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with respect to our common stock. Legal and contractual restrictions in agreements governing our debt arrangements and future indebtedness of Atkins Intermediate Holdings, LLC, as well as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regulatory, economic, political and social risks in the countries in which we operate.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international nature of our operations involves a number of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and nutritional approaches than U.S. consumers. Our international business is small in comparison to our U.S. business, and as a result, our operations are more spread out which can add to our costs and limit our ability to effectively and timely react to adverse events. We cannot be certain that we will be able to enter and successfully compete in additional foreign markets or that we will be able to continue to compete in the foreign markets in which we currently operate.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or the Bribery Act, export controls and economic sanctions programs, including those administered by the OFAC and the EU. As a result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 In addition, the Bribery Act extends beyond bribery of foreign public officials and also applies to transactions with private persons. The provisions of the Bribery Act are also more onerous than the FCPA in a number of other respects, including jurisdictional reach, non-exemption of facilitation payments and, potentially, penalties.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continued expansion outside the United States, including in developing countries, and our development of new partnerships and joint venture relationships worldwide, could increase the risk of FCPA, OFAC, Bribery Act or EU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as well as criminal fines and imprisonment.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fluctuations in exchange rates, which may materially and adversely affect our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 party manufacturing is completed in Canada. Any U.S. dollar weakness may therefore materially and adversely affect revenue and cash flows while also increasing supply and manufacturing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the fact that there has historically been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Centerview Capital Holdings LLC (“Centerview Capital”) and Centerview Partners and their respective affiliates, excepted as provided below.</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Conyers Park Sponsor, Centerview Capital and Centerview Partners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affect our business or prospects.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our market or our competitors. Securities and industry analysts may not publish or may cease publishing research on us. If securities or industry analysts cease coverage, our stock price and trading volume may be negatively affected. If any of the analysts who cover us change their recommendation regarding our stock adversely, or provide more favorable relative recommendations about our competitors, the price of our common stock may decline. If any analysts were to cease coverage, or fail to regularly publish reports on our business, we could lose visibility in the financial markets, which could cause our stock price or trading volume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or other dilution of the Company's equity, which may adversely affect the market price of our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not generally restricted from issuing additional shares of common stock, or any securities that are convertible into or exchangeable for, or that represent the right to receive, shares of common stock. The issuance of any additional shares of common stock or preferred shares or securities convertible into, exchangeable for or that represent the right to receive shares of common stock or the exercise of such securities could be substantially dilutive to holders of our common stock. Additionally, 6,700,000 warrants to purchase our common stock on a one-for-one basis for an exercise price of $11.50 per share are outstanding. To the extent such warrants are exercised, additional shares of our common stock will be issued, which will result in dilution to our existing stockholders and increase the number of shares eligible for resale in the public market. Sales of substantial numbers of such shares in the public market could adversely affect the market price of our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our common stock made in the future or the perception that such sales could occur. Because our decision to issue securities in any future offering will depend on market conditions and other factors beyond our control, we cannot predict or estimate the amount, timing or nature of future offerings, if any. Thus, our stockholders bear the risk of future offerings reducing the market price of our common stock and diluting their holdings in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board of directors may issue, without stockholder approval, preferred stock with rights and preferences superior to those applicable to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provision for the issuance of preferred stock, which may be issued in one or more series, with each series containing such rights and preferences as the board of directors may determine from time to time, without prior notice to or approval of stockholders. Among others, such rights and preferences might include the rights to dividends, liquidation preferences and rights to convert into common stock. The rights and preferences of any such series of preferred stock, if issued, may be superior to the rights and preferences applicable to the common stock and might result in a decrease in the price of our common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second amended and restated bylaws, as well as provisions of Delaware law, could impair a takeover attempt.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providing for three classes of directors, which limits the ability of a stockholder or group to gain control of our board;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the board of directors or the resignation, death, or removal of a director in certain circumstances,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which forces stockholder action to be taken at an annual of our stockholders or at a special meeting of our stockholders called by the chairman of the board, the chief executive officer of the board of directors pursuant to a resolution adopted by a majority of the board of directors;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0" w:right="239" w:bottom="1440" w:gutter="0" w:footer="0" w:header="0"/>
        </w:sectPr>
      </w:pPr>
    </w:p>
    <w:bookmarkStart w:id="27" w:name="page28"/>
    <w:bookmarkEnd w:id="27"/>
    <w:p>
      <w:pPr>
        <w:ind w:left="660" w:right="2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prior to the expiration of their terms by stockholders only for cause and upon the affirmative vote of a majority of the voting power of all outstanding shares of the combined company;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changes or amends the amended and restated certificate of incorporation or the second amended and restated bylaws must be approved by at least 66⅔% of the voting power of our outstanding common stock;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complete the Acquisition, we will not recognize the benefits we describe in this Report.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entered into the Purchase Agreement with respect to the Acquisition of Quest and its affiliated companies, we cannot guarantee when, or whether the Acquisition will be completed. The closing of the Acquisition is subject to customary conditions, and the Acquisition may not be completed as contemplated, or at all. If we are unable to complete the Acquisition, we will not realize many of the Acquisition benefits that are described in this Report, and the value of our common stock could be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the Acquisition because of integration difficulties and other challenges.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the Acquisition will depend, in part, on our ability to realize all or some of the anticipated benefits from integrating Quest's business with our existing businesses. The integration process may be complex, costly and time-consuming. The difficulties of integrating the operations of Quest's business include, among others: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our business plan for the combined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co-manufacturing, logistics, information, communications and other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inconsistencies in standards, controls, procedures and policies, and compensation structures between Quest's structure and our structure;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and the complexities associated with integrating personnel from another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Quest's business and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expenses and liabilities.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maintain the levels of revenue, earnings or operating efficiency that each of Simply Good Foods and Quest had achieved or might achieve separately. In addition, we may not accomplish the integration of Quest's business smoothly, successfully or within the anticipated costs or timeframe. If we experience difficulties with the integration process, the anticipated benefits of the Acquisition may not be realized fully, or at all, or may take longer to realize than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Purchase Agreement in connection with the Acquisition.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we will be subject to substantially all the liabilities of Quest that are not satisfied on or prior to the closing date. There may be liabilities that we underestimated or did not discover in the course of performing our due diligence investigation of Quest. Under the Purchase Agreement, the sellers have agreed to provide us with a limited set of representations and warranties. Our sole remedy from the sellers for any breach of those representations and warranties is an action for indemnification. Damages resulting from a breach of a representation or warranty could have a material and adverse effect on our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4" w:right="2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private company, Quest may not have in place an adequate system of internal control over financial reporting that we will need to manage that business effectively as part of a public company.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Quest and its affiliated companies have previously been subject to periodic reporting as a public company. There can be no assurance that Quest has in place a system of internal control over financial reporting that is required for public companies, and that will be required of us with respect to Quest when the Acquisition is completed. Establishing, testing and maintaining an effective system of internal control over financial reporting requires significant resources and time commitments on the part of our management and our finance and accounting staff, may require additional staffing and infrastructure investments, and would increase our costs of doing business. Moreover, if we discover aspects of Quest's internal controls that need improvement, we cannot be certain that our remedial measures will be effective. Any failure to implement required new or improved controls, or difficulties encountered in their implementation could harm our operating results or increase our risk of material weaknesses in internal controls over financial reporting.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substantial indebtedness in order to finance the Acquisition, which could adversely affect our business and limit our ability to plan for or respond to changes in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we have debt commitments with certain lenders. These debt commitments are subject to certain conditions, and we cannot assure you that those conditions will be satisfied. Upon consummation of the Acquisition, we will have substantially more indebtedness than has been the case for us historically. Our ability to make payments on and to refinance our debt obligations and to fund planned capital expenditures depends on our ability to generate cash from our future operations. This, to a certain extent,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acquisitions, investments and alliances, any of which could impede the implementation of our business strategy, prevent us from entering into transactions that would otherwise benefit our business and/or have a material adverse effect on our financial condition and results of operations. We may not be able to refinance our indebtedness or take such other actions, if necessary, on commercially reasonable terms, or at all. We cannot guarantee the lenders will provide sufficient financing under the debt commitments to finance the Acquisition.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we have debt commitments with certain lenders. These debt commitments are subject to certain conditions and we cannot assure you that those conditions will be satisfied. There can also be no assurance that sufficient financing will be available at the time of the closing of the Acquisition, or that the lender counterparties in any such commitments will honor their contractual commitments. If we need additional capital and cannot raise it on acceptable terms, or at all, we may not be able to complete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transaction and acquisition-related costs in connection with the Acquisition, whether or not it is completed.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already incurred significant costs, and expect to incur significant additional costs associated with the Acquisition. The substantial majority of these costs will be non-recurring transaction expenses and costs. These non-recurring costs and expenses are not reflected in the financial information included in this Report. These costs will reduce the amount of cash otherwise available for the payment of our debt and other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Our corporate headquarters is located at 1225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 Suite 1000, Denver, CO 80202. The Company leases this property, which occupies approximately 20,700 square feet. In addition, we lease office space and storage space in Louisville, Colorado and foreign countries, including the Netherlands, United Kingdom and Canada to support key international operations. The Company also leases the Distribution Center in Greenfield, Indiana, which has approximately 423,000 square feet of floor space.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leased properties as of the date of this Report:</w:t>
      </w:r>
    </w:p>
    <w:p>
      <w:pPr>
        <w:spacing w:after="0" w:line="187"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Principal Use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 Expiration Date</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Denver, CO</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Headquarters</w:t>
            </w: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Office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31, 2023</w:t>
            </w:r>
          </w:p>
        </w:tc>
      </w:tr>
      <w:tr>
        <w:trPr>
          <w:trHeight w:val="23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Louisville, CO</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Office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31, 2020</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Greenfield, IN</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Distribution Center</w:t>
            </w: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Warehouse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23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Rogers, AR</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Sales Operations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Office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30, 2022</w:t>
            </w: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International Operations</w:t>
            </w: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Office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 2021</w:t>
            </w:r>
          </w:p>
        </w:tc>
      </w:tr>
      <w:tr>
        <w:trPr>
          <w:trHeight w:val="23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Toronto, Ontario</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Wellness Foods Operations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Office</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29, 2024</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of our business, operating result, financial condition or cash flows.</w:t>
      </w:r>
    </w:p>
    <w:p>
      <w:pPr>
        <w:spacing w:after="0" w:line="172"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currently quoted on the Nasdaq Capital Market under the symbol “SMPL.”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25, 2019, there were 95,294,519 shares outstanding and 19 record holders of our common stock.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pay dividends and have not paid any cash dividends on our common stock to date. We currently intend to retain our future earnings to finance the future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Dollar Value of</w:t>
            </w: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 as Part of</w:t>
            </w:r>
          </w:p>
        </w:tc>
        <w:tc>
          <w:tcPr>
            <w:tcW w:w="14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 Plans</w:t>
            </w:r>
          </w:p>
        </w:tc>
      </w:tr>
      <w:tr>
        <w:trPr>
          <w:trHeight w:val="24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or Programs </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Programs</w:t>
            </w:r>
          </w:p>
        </w:tc>
      </w:tr>
      <w:tr>
        <w:trPr>
          <w:trHeight w:val="20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26, 2019 -</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22, 2019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47,853,462</w:t>
            </w:r>
          </w:p>
        </w:tc>
      </w:tr>
      <w:tr>
        <w:trPr>
          <w:trHeight w:val="21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23, 2019 -</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20, 2019</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47,853,462</w:t>
            </w:r>
          </w:p>
        </w:tc>
      </w:tr>
      <w:tr>
        <w:trPr>
          <w:trHeight w:val="33"/>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21, 2019 -</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31, 2019</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47,853,462</w:t>
            </w:r>
          </w:p>
        </w:tc>
      </w:tr>
      <w:tr>
        <w:trPr>
          <w:trHeight w:val="24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21"/>
                <w:szCs w:val="21"/>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47,853,462</w:t>
            </w: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36" w:lineRule="auto"/>
        <w:tabs>
          <w:tab w:leader="none" w:pos="3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November 13, 2018, the Company announced that its Board of Directors had approved and authorized a $50.0 million stock repurchase program. As of August 31, 2019, approximately $47.9 million remained available for repurchase under the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stock performance graph compares the outstanding stock from issuance of SMPL, July 10, 2017, through August 30, 2019 (the last trading day of our fiscal year ended August 31, 2019), the cumulative total stockholder return for (1) Company’s common stock, (2) the Standard &amp; Poor’s 500 Index and (3) the Standard &amp; Poor’s 500 Packaged Foods &amp; Meats Index. The graph assumes the value of the investment in our common stock and each index was $100.00 on July 10, 2017 and assumes reinvestment of any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17145</wp:posOffset>
            </wp:positionV>
            <wp:extent cx="6380480" cy="3567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Annual Return Percentage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Quarters Ending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0" w:type="dxa"/>
            <w:vAlign w:val="bottom"/>
            <w:vMerge w:val="restart"/>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10,</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25,</w:t>
            </w:r>
          </w:p>
        </w:tc>
        <w:tc>
          <w:tcPr>
            <w:tcW w:w="12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26,</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w:t>
            </w: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25,</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25,</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August</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26, 2017</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24, 2018</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25, 2018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24, 2018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55"/>
        </w:trPr>
        <w:tc>
          <w:tcPr>
            <w:tcW w:w="27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Simply Good Foods Company</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100.0</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99.0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114.8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149.8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184.3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246.9</w:t>
            </w:r>
          </w:p>
        </w:tc>
        <w:tc>
          <w:tcPr>
            <w:tcW w:w="0" w:type="dxa"/>
            <w:vAlign w:val="bottom"/>
          </w:tcPr>
          <w:p>
            <w:pPr>
              <w:spacing w:after="0"/>
              <w:rPr>
                <w:sz w:val="1"/>
                <w:szCs w:val="1"/>
                <w:color w:val="auto"/>
              </w:rPr>
            </w:pPr>
          </w:p>
        </w:tc>
      </w:tr>
      <w:tr>
        <w:trPr>
          <w:trHeight w:val="265"/>
        </w:trPr>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Index</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275"/>
        </w:trPr>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Packaged Foods &amp; Meats Index</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that occurred in July of 2017, Simply Good Foods is the acquirer, and for accounting purposes the successor. Atkins is the acquiree and accounting predecessor. Our financial statement presentation includes the financial statements of Atkins as “Predecessor” for periods prior to the Closing Date and of Simply Good Foods for periods after the Closing Date, including the consolidation of Atkins.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financial information derived from the audited financial statements. You should read the following selected financial information in conjunction with “Item 7. Management’s Discussion and Analysis of Financial Condition and Results of Operations” and the Consolidated Financial Statements and the related notes in “Item 8. Financial Statements and Supplementary Data”.</w:t>
      </w:r>
    </w:p>
    <w:p>
      <w:pPr>
        <w:spacing w:after="0" w:line="183"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color w:val="auto"/>
              </w:rPr>
              <w:t>52-weeks</w:t>
            </w:r>
          </w:p>
        </w:tc>
        <w:tc>
          <w:tcPr>
            <w:tcW w:w="120" w:type="dxa"/>
            <w:vAlign w:val="bottom"/>
          </w:tcPr>
          <w:p>
            <w:pPr>
              <w:spacing w:after="0"/>
              <w:rPr>
                <w:sz w:val="11"/>
                <w:szCs w:val="11"/>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From July 7,</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From August</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color w:val="auto"/>
              </w:rPr>
              <w:t>52-weeks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color w:val="auto"/>
              </w:rPr>
              <w:t>35-weeks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53-weeks ended</w:t>
            </w: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ended</w:t>
            </w: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ended</w:t>
            </w: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ended</w:t>
            </w: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52-weeks ended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28, 2016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August 31,</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August 25,</w:t>
            </w:r>
          </w:p>
        </w:tc>
        <w:tc>
          <w:tcPr>
            <w:tcW w:w="9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through August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through July 6,</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August 27,</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August 29,</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27,</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26, 2017</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2014</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20" w:type="dxa"/>
            <w:vAlign w:val="bottom"/>
          </w:tcPr>
          <w:p>
            <w:pPr>
              <w:spacing w:after="0"/>
              <w:rPr>
                <w:sz w:val="23"/>
                <w:szCs w:val="2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20" w:type="dxa"/>
            <w:vAlign w:val="bottom"/>
          </w:tcPr>
          <w:p>
            <w:pPr>
              <w:spacing w:after="0"/>
              <w:rPr>
                <w:sz w:val="23"/>
                <w:szCs w:val="23"/>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20" w:type="dxa"/>
            <w:vAlign w:val="bottom"/>
          </w:tcPr>
          <w:p>
            <w:pPr>
              <w:spacing w:after="0"/>
              <w:rPr>
                <w:sz w:val="23"/>
                <w:szCs w:val="2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Pr>
          <w:p>
            <w:pPr>
              <w:spacing w:after="0"/>
              <w:rPr>
                <w:sz w:val="23"/>
                <w:szCs w:val="23"/>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0" w:type="dxa"/>
            <w:vAlign w:val="bottom"/>
          </w:tcPr>
          <w:p>
            <w:pPr>
              <w:spacing w:after="0"/>
              <w:rPr>
                <w:sz w:val="1"/>
                <w:szCs w:val="1"/>
                <w:color w:val="auto"/>
              </w:rPr>
            </w:pPr>
          </w:p>
        </w:tc>
      </w:tr>
      <w:tr>
        <w:trPr>
          <w:trHeight w:val="27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(Successor)</w:t>
            </w:r>
          </w:p>
        </w:tc>
        <w:tc>
          <w:tcPr>
            <w:tcW w:w="120" w:type="dxa"/>
            <w:vAlign w:val="bottom"/>
          </w:tcPr>
          <w:p>
            <w:pPr>
              <w:spacing w:after="0"/>
              <w:rPr>
                <w:sz w:val="23"/>
                <w:szCs w:val="2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(Successor)</w:t>
            </w:r>
          </w:p>
        </w:tc>
        <w:tc>
          <w:tcPr>
            <w:tcW w:w="120" w:type="dxa"/>
            <w:vAlign w:val="bottom"/>
          </w:tcPr>
          <w:p>
            <w:pPr>
              <w:spacing w:after="0"/>
              <w:rPr>
                <w:sz w:val="23"/>
                <w:szCs w:val="23"/>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(Predecessor)</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100" w:type="dxa"/>
            <w:vAlign w:val="bottom"/>
          </w:tcPr>
          <w:p>
            <w:pPr>
              <w:spacing w:after="0"/>
              <w:rPr>
                <w:sz w:val="23"/>
                <w:szCs w:val="23"/>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523,383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431,429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56,334</w:t>
            </w:r>
          </w:p>
        </w:tc>
        <w:tc>
          <w:tcPr>
            <w:tcW w:w="140" w:type="dxa"/>
            <w:vAlign w:val="bottom"/>
            <w:tcBorders>
              <w:right w:val="single" w:sz="8" w:color="auto"/>
            </w:tcBorders>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339,837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427,858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252,898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429,858</w:t>
            </w:r>
          </w:p>
        </w:tc>
        <w:tc>
          <w:tcPr>
            <w:tcW w:w="0" w:type="dxa"/>
            <w:vAlign w:val="bottom"/>
          </w:tcPr>
          <w:p>
            <w:pPr>
              <w:spacing w:after="0"/>
              <w:rPr>
                <w:sz w:val="1"/>
                <w:szCs w:val="1"/>
                <w:color w:val="auto"/>
              </w:rPr>
            </w:pPr>
          </w:p>
        </w:tc>
      </w:tr>
      <w:tr>
        <w:trPr>
          <w:trHeight w:val="265"/>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Cost of goods sold </w:t>
            </w: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305,978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251,063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39,584</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200,026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248,464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151,978</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249,832</w:t>
            </w:r>
          </w:p>
        </w:tc>
        <w:tc>
          <w:tcPr>
            <w:tcW w:w="0" w:type="dxa"/>
            <w:vAlign w:val="bottom"/>
          </w:tcPr>
          <w:p>
            <w:pPr>
              <w:spacing w:after="0"/>
              <w:rPr>
                <w:sz w:val="1"/>
                <w:szCs w:val="1"/>
                <w:color w:val="auto"/>
              </w:rPr>
            </w:pPr>
          </w:p>
        </w:tc>
      </w:tr>
      <w:tr>
        <w:trPr>
          <w:trHeight w:val="25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217,405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180,366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16,750</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179,394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100,920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180,026</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Distribution </w:t>
            </w:r>
            <w:r>
              <w:rPr>
                <w:rFonts w:ascii="Times New Roman" w:cs="Times New Roman" w:eastAsia="Times New Roman" w:hAnsi="Times New Roman"/>
                <w:sz w:val="8"/>
                <w:szCs w:val="8"/>
                <w:color w:val="auto"/>
              </w:rPr>
              <w:t>(1)</w:t>
            </w: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19,481</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Selling and marketing </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6,937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47,494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56,264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55,830</w:t>
            </w:r>
          </w:p>
        </w:tc>
        <w:tc>
          <w:tcPr>
            <w:tcW w:w="0" w:type="dxa"/>
            <w:vAlign w:val="bottom"/>
          </w:tcPr>
          <w:p>
            <w:pPr>
              <w:spacing w:after="0"/>
              <w:rPr>
                <w:sz w:val="1"/>
                <w:szCs w:val="1"/>
                <w:color w:val="auto"/>
              </w:rPr>
            </w:pPr>
          </w:p>
        </w:tc>
      </w:tr>
      <w:tr>
        <w:trPr>
          <w:trHeight w:val="265"/>
        </w:trPr>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8"/>
                <w:szCs w:val="8"/>
                <w:color w:val="auto"/>
              </w:rPr>
              <w:t>(1)</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61,972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48,503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29,093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41,146</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11,195</w:t>
            </w:r>
          </w:p>
        </w:tc>
        <w:tc>
          <w:tcPr>
            <w:tcW w:w="0" w:type="dxa"/>
            <w:vAlign w:val="bottom"/>
          </w:tcPr>
          <w:p>
            <w:pPr>
              <w:spacing w:after="0"/>
              <w:rPr>
                <w:sz w:val="1"/>
                <w:szCs w:val="1"/>
                <w:color w:val="auto"/>
              </w:rPr>
            </w:pPr>
          </w:p>
        </w:tc>
      </w:tr>
      <w:tr>
        <w:trPr>
          <w:trHeight w:val="265"/>
        </w:trPr>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Business combination transaction costs</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Loss (gain) in fair value change of</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contingent consideration - TRA</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liability</w:t>
            </w: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144,596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115,636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14,891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116,078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133,435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92,936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127,652</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64,730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45,959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52,374</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 in warrant liabilities</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65"/>
        </w:trPr>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(27,823)</w:t>
            </w:r>
          </w:p>
        </w:tc>
        <w:tc>
          <w:tcPr>
            <w:tcW w:w="0" w:type="dxa"/>
            <w:vAlign w:val="bottom"/>
          </w:tcPr>
          <w:p>
            <w:pPr>
              <w:spacing w:after="0"/>
              <w:rPr>
                <w:sz w:val="1"/>
                <w:szCs w:val="1"/>
                <w:color w:val="auto"/>
              </w:rPr>
            </w:pPr>
          </w:p>
        </w:tc>
      </w:tr>
      <w:tr>
        <w:trPr>
          <w:trHeight w:val="265"/>
        </w:trPr>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settlement of TRA liability</w:t>
            </w:r>
          </w:p>
        </w:tc>
        <w:tc>
          <w:tcPr>
            <w:tcW w:w="1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Loss (gain) on foreign currency</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transactions</w:t>
            </w: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5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(28,795)</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53,091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23,579</w:t>
            </w:r>
          </w:p>
        </w:tc>
        <w:tc>
          <w:tcPr>
            <w:tcW w:w="0" w:type="dxa"/>
            <w:vAlign w:val="bottom"/>
          </w:tcPr>
          <w:p>
            <w:pPr>
              <w:spacing w:after="0"/>
              <w:rPr>
                <w:sz w:val="1"/>
                <w:szCs w:val="1"/>
                <w:color w:val="auto"/>
              </w:rPr>
            </w:pPr>
          </w:p>
        </w:tc>
      </w:tr>
      <w:tr>
        <w:trPr>
          <w:trHeight w:val="265"/>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16,750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4,570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7,507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9,623</w:t>
            </w:r>
          </w:p>
        </w:tc>
        <w:tc>
          <w:tcPr>
            <w:tcW w:w="0" w:type="dxa"/>
            <w:vAlign w:val="bottom"/>
          </w:tcPr>
          <w:p>
            <w:pPr>
              <w:spacing w:after="0"/>
              <w:rPr>
                <w:sz w:val="1"/>
                <w:szCs w:val="1"/>
                <w:color w:val="auto"/>
              </w:rPr>
            </w:pPr>
          </w:p>
        </w:tc>
      </w:tr>
      <w:tr>
        <w:trPr>
          <w:trHeight w:val="24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tcBorders>
              <w:right w:val="single" w:sz="8" w:color="auto"/>
            </w:tcBorders>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13,956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from net income: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Sheet Data (at end of periods)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1,141,650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974,605</w:t>
            </w:r>
          </w:p>
        </w:tc>
        <w:tc>
          <w:tcPr>
            <w:tcW w:w="10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922,488</w:t>
            </w:r>
          </w:p>
        </w:tc>
        <w:tc>
          <w:tcPr>
            <w:tcW w:w="140" w:type="dxa"/>
            <w:vAlign w:val="bottom"/>
            <w:tcBorders>
              <w:right w:val="single" w:sz="8" w:color="auto"/>
            </w:tcBorders>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344,867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389,512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366,953</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385,215</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190,259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190,935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191,856</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281,445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321,638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331,565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330,758</w:t>
            </w:r>
          </w:p>
        </w:tc>
        <w:tc>
          <w:tcPr>
            <w:tcW w:w="0" w:type="dxa"/>
            <w:vAlign w:val="bottom"/>
          </w:tcPr>
          <w:p>
            <w:pPr>
              <w:spacing w:after="0"/>
              <w:rPr>
                <w:sz w:val="1"/>
                <w:szCs w:val="1"/>
                <w:color w:val="auto"/>
              </w:rPr>
            </w:pP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2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16,689</w:t>
            </w: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837,444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672,601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598,702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type w:val="continuous"/>
        </w:sectPr>
      </w:pPr>
    </w:p>
    <w:bookmarkStart w:id="33" w:name="page34"/>
    <w:bookmarkEnd w:id="33"/>
    <w:p>
      <w:pPr>
        <w:jc w:val="both"/>
        <w:ind w:left="387" w:hanging="387"/>
        <w:spacing w:after="0" w:line="236" w:lineRule="auto"/>
        <w:tabs>
          <w:tab w:leader="none" w:pos="38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fifty-three weeks ended August 31, 2019, certain reclassifications were made to previously reported amount to conform to the current presentation. On the consolidated statement of operations, outbound freight previously included in distribution, distribution center expenses previously included in </w:t>
      </w: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 xml:space="preserve">, and depreciation for equipment used in warehouse operations were reclassified to </w:t>
      </w:r>
      <w:r>
        <w:rPr>
          <w:rFonts w:ascii="Times New Roman" w:cs="Times New Roman" w:eastAsia="Times New Roman" w:hAnsi="Times New Roman"/>
          <w:sz w:val="14"/>
          <w:szCs w:val="14"/>
          <w:i w:val="1"/>
          <w:iCs w:val="1"/>
          <w:color w:val="auto"/>
        </w:rPr>
        <w:t>Cost of goods sold</w:t>
      </w:r>
      <w:r>
        <w:rPr>
          <w:rFonts w:ascii="Times New Roman" w:cs="Times New Roman" w:eastAsia="Times New Roman" w:hAnsi="Times New Roman"/>
          <w:sz w:val="14"/>
          <w:szCs w:val="14"/>
          <w:color w:val="auto"/>
        </w:rPr>
        <w:t>. 2019, 2018 and 2017 reflect adjusted amounts in accordance with this accounting principle change. See Note 2 to the Consolidated Financial Statements included herein for additional information on the accounting principle change.</w:t>
      </w:r>
    </w:p>
    <w:p>
      <w:pPr>
        <w:ind w:left="387" w:hanging="387"/>
        <w:spacing w:after="0" w:line="194" w:lineRule="auto"/>
        <w:tabs>
          <w:tab w:leader="none" w:pos="387"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During the fifty-three weeks ended August 31, 2019, the Company combined Selling and Marketing within one financial statement line. All periods presented reflect this change.</w:t>
      </w:r>
    </w:p>
    <w:p>
      <w:pPr>
        <w:spacing w:after="0" w:line="235"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7"/>
          </w:cols>
          <w:pgMar w:left="353" w:top="522"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Our fiscal year ends the last Saturday in August. Our fiscal years 2018 and 2017 ended August 25, 2018 and August 26, 2017, respectively, and were each fifty-two week periods. Our fiscal year 2019 ended August 31, 2019 was a fifty-three week period. Atkins’ fiscal quarters are comprised of thirteen weeks each, except for fifty-three week fiscal periods for the which the fourth quarter is comprised of fourteen weeks, and end on the thirteenth Saturday of each quarter (fourteenth Saturday of the fourth quarter, when applicable). Atkins’ fiscal quarters for fiscal 2019 ended on November 24, 2018, February 23, 2019, May 25, 2019 and August 31, 2019.</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information is presented for the successor fifty-three week period ended August 31, 2019, the successor period for the fifty-two week period ended August 25, 2018, the successor period from July 7, 2017 through August 26, 2017, and the predecessor period from August 28, 2016 through July 6, 2017, are derived from Atkins’ audited consolidated financial statements and the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Simply Good Foods is a developer, marketer and seller of branded nutritional foods and snacking products. Our highly-focused product portfolio consists primarily of nutrition bars, RTD shakes, snacks and confectionery products marketed under the Atkins®, SimplyProtein®, and Atkins Endulge® brand names. Our goal is to lead the nutritious snacking movement with trusted brands that offer a variety of convenient, innovative, great-tasting, “better-for-you” snacks and meal replacements. Over the past 45 years, Atkins has become an iconic American brand that for many consumers stands for “low carb,” “low sugar” and “protein rich” nutrition. The Atkins philosophy focuses on a healthy nutritional approach with reduced levels of refined carbohydrates and sugars and encourages the consumption of lean protein, fiber, fruits, vegetables, and healthy fats.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our core Atkins snacking business, we strive to offer a complete line of nutrition bars, ready-to-drink shakes and confections that satisfy hunger while providing consumers with a convenient, “better-for-you” snacking alternative. Our sales, marketing and R&amp;D capabilities enable us to distribute products into a national customer base across the mass merchandiser, grocery and drug channels. We believe that Atkins’ broad brand recognition, our depth of management talent and strong cash generation position us to continue to innovate in the Atkins brand and acquire other brands, and thereby become an industry leading snacking platform. To that end, in December 2016, Atkins completed the acquisition of Wellness Foods, a Canada-based developer, marketer and seller of the SimplyProtein® brand that is focused on protein-rich and low-sugar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 Acquisition and Related Financing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21, 2019, we entered into a stock purchase agreement (the “Purchase Agreement”) to acquire Quest Nutrition, LLC (“Quest”), a healthy lifestyle food company (the “Acquisition”). The Acquisition is expected to close by the end of the 2019 calendar year, subject to satisfaction of customary closing conditions. There is no financing condition for the Acquisition.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2019, we completed an underwritten public offering of 13,379,205 shares of our common stock at a price per share of $26.16 (the “Offering”), resulting in net proceeds to us of approximately $350.0 million, after deducting underwriting discounts and commissions and our estimated fees and expenses for the Offering. We intend to use these net proceeds to pay a portion of the purchase price and related fees and expenses for the Acquisition, or for general corporate purposes if the acquisition is not consummated.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fund the remainder of the Acquisition by using a significant portion of the approximately $265 million of cash on hand and committed financing pursuant to debt commitments from Barclays, Credit Suisse and Goldman Sachs.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Affecting Comparability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Simply Good Foods Company was formed on March 30, 2017 to consummate a business combination with Atkins and Conyers Park. Conyers Park, a special purpose acquisition company, was formed on April 20, 2016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60" w:right="2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10, 2017, Conyers Park and Atkins entered into a definitive merger agreement (the “Merger Agreement”). Under the terms of the agreement, Conyers Park and Atkins combined under a new holding company, Simply Good Foods, which was listed on the Nasdaq Capital Market under the symbol “SMPL” as of closing of the Business Combination.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7, 2017 (the “Closing Date”) Simply Good Foods completed the business combination with Conyers Park and Atkins (the “Business Combination”). As a result, Simply Good Foods owns all of the equity in Atkins.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Simply Good Foods is the acquirer for accounting purposes and the successor while Atkins is the acquiree and accounting predecessor. Our financial statement presentation includes the financial statements of Atkins as “Predecessor” for periods prior to the Closing Date and of Simply Good Foods for periods after the Closing Date, including the consolidation of Atkins.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2019, we changed our accounting principle related to the presentation of third party delivery costs associated with shipping and handling activities previously included as operating expenses in Distribution in the Consolidated Statements of Operations and Comprehensive Income (Loss). In the new accounting principle, the Company is presenting these expenses within cost of goods sold (“COGS”) in the Consolidated Statements of Operations and Comprehensive Income (Loss).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change in accounting principle, the Company also changed its definition of shipping and handling costs to include costs paid to third-party warehouse operators associated with delivering product to a customer, previously included in General and administrative and depreciation and amortization of the assets at the third-party warehouse, previously included in Depreciation and amortization. Under the previous definition of shipping and handling costs, the Company only included third-party delivery costs in Distribution.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presented for the successor fifty-two week period ended August 25, 2018, the successor period from July 7, 2017 through August 26, 2017, and the predecessor period from August 28, 2016 through July 6, 2017 have been adjusted in accordance with this accounting principle change. See Note 2 to the Consolidated Financial Statements included herein for additional information on the accounting principle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Reportable Segment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organized around one reportable segment based on our go-to-market strategies, the objectives of the business and how our chief decision maker, our President and Chief Executive Officer, monitors operating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consists primarily of product sales less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 The Company also includes licensing revenue from the frozen meals business in net sales.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expenses. The following is a brief description of the components of operating expenses:</w:t>
      </w:r>
    </w:p>
    <w:p>
      <w:pPr>
        <w:spacing w:after="0" w:line="15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support our business, including fees for employee salaries, professional services, insurance and other general corporate expenses.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leasehold improvements and amortization of intangible assets. Depreciation and amortization excludes depreciation of warehouse equipment, which is included in cost of goods sold.</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legal, due diligence and accounting firm expenses associated with the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actively pursuing potential business combinations.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(gain) in fair value change of contingent consideration - TRA liability</w:t>
      </w:r>
      <w:r>
        <w:rPr>
          <w:rFonts w:ascii="Times New Roman" w:cs="Times New Roman" w:eastAsia="Times New Roman" w:hAnsi="Times New Roman"/>
          <w:sz w:val="18"/>
          <w:szCs w:val="18"/>
          <w:color w:val="auto"/>
        </w:rPr>
        <w:t>. Gain in fair value change of contingent consideration - TRA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relate to fair value adjustments of the Tax Receivable Agreement (the “TRA”) liability.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of Adjusted EBITDA. Because not all companies use identical calculations, this presentation of Adjusted EBITDA may not be comparable to other similarly titled measures of other companies. See “Reconciliation of Adjusted EBITDA” below for a reconciliation of EBITDA and Adjusted EBITDA to net income for each applicable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Fifty-Three Weeks Ended August 31, 2019 and the Fifty-Two Weeks Ended August 25, 2018</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information from our consolidated financial results,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62865</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Net sales</w:t>
      </w:r>
    </w:p>
    <w:p>
      <w:pPr>
        <w:spacing w:after="0" w:line="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 xml:space="preserve">Cost of goods sold </w:t>
      </w:r>
      <w:r>
        <w:rPr>
          <w:rFonts w:ascii="Times New Roman" w:cs="Times New Roman" w:eastAsia="Times New Roman" w:hAnsi="Times New Roman"/>
          <w:sz w:val="21"/>
          <w:szCs w:val="21"/>
          <w:color w:val="auto"/>
          <w:vertAlign w:val="superscript"/>
        </w:rPr>
        <w:t>(1)</w:t>
      </w:r>
    </w:p>
    <w:p>
      <w:pPr>
        <w:spacing w:after="0" w:line="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Gross profit</w:t>
      </w:r>
    </w:p>
    <w:p>
      <w:pPr>
        <w:spacing w:after="0" w:line="3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1"/>
          <w:szCs w:val="21"/>
          <w:color w:val="auto"/>
          <w:vertAlign w:val="superscript"/>
        </w:rPr>
        <w:t>(2)</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Business transaction costs</w:t>
      </w:r>
    </w:p>
    <w:p>
      <w:pPr>
        <w:spacing w:after="0" w:line="71" w:lineRule="exact"/>
        <w:rPr>
          <w:sz w:val="20"/>
          <w:szCs w:val="20"/>
          <w:color w:val="auto"/>
        </w:rPr>
      </w:pPr>
    </w:p>
    <w:p>
      <w:pPr>
        <w:ind w:left="980" w:right="32" w:hanging="107"/>
        <w:spacing w:after="0" w:line="386" w:lineRule="auto"/>
        <w:rPr>
          <w:sz w:val="20"/>
          <w:szCs w:val="20"/>
          <w:color w:val="auto"/>
        </w:rPr>
      </w:pPr>
      <w:r>
        <w:rPr>
          <w:rFonts w:ascii="Times New Roman" w:cs="Times New Roman" w:eastAsia="Times New Roman" w:hAnsi="Times New Roman"/>
          <w:sz w:val="16"/>
          <w:szCs w:val="16"/>
          <w:color w:val="auto"/>
        </w:rPr>
        <w:t>Gain in fair value change of contingent consideration - TRA liability Total operating expenses</w:t>
      </w:r>
    </w:p>
    <w:p>
      <w:pPr>
        <w:spacing w:after="0" w:line="2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Income from operations</w:t>
      </w:r>
    </w:p>
    <w:p>
      <w:pPr>
        <w:spacing w:after="0" w:line="3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Other income (expense):</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Gain on settlement of TRA liability</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Gain (loss) on foreign currency transactions</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Other income</w:t>
      </w:r>
    </w:p>
    <w:p>
      <w:pPr>
        <w:spacing w:after="0" w:line="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Total other expense</w:t>
      </w:r>
    </w:p>
    <w:p>
      <w:pPr>
        <w:spacing w:after="0" w:line="3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Income before income taxes</w:t>
      </w:r>
    </w:p>
    <w:p>
      <w:pPr>
        <w:spacing w:after="0" w:line="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Income tax (benefit) expense</w:t>
      </w:r>
    </w:p>
    <w:p>
      <w:pPr>
        <w:spacing w:after="0" w:line="1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6"/>
          <w:szCs w:val="16"/>
          <w:color w:val="auto"/>
        </w:rPr>
        <w:t>53-Weeks Ended</w:t>
      </w:r>
    </w:p>
    <w:p>
      <w:pPr>
        <w:spacing w:after="0" w:line="8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6"/>
          <w:szCs w:val="16"/>
          <w:color w:val="auto"/>
        </w:rPr>
        <w:t>August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909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80"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6"/>
          <w:szCs w:val="16"/>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ind w:left="788" w:hanging="788"/>
        <w:spacing w:after="0"/>
        <w:tabs>
          <w:tab w:leader="none" w:pos="78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523,383</w:t>
      </w:r>
    </w:p>
    <w:p>
      <w:pPr>
        <w:spacing w:after="0" w:line="86" w:lineRule="exact"/>
        <w:rPr>
          <w:rFonts w:ascii="Times New Roman" w:cs="Times New Roman" w:eastAsia="Times New Roman" w:hAnsi="Times New Roman"/>
          <w:sz w:val="16"/>
          <w:szCs w:val="16"/>
          <w:color w:val="auto"/>
        </w:rPr>
      </w:pPr>
    </w:p>
    <w:p>
      <w:pPr>
        <w:ind w:left="78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305,978</w:t>
      </w:r>
    </w:p>
    <w:p>
      <w:pPr>
        <w:spacing w:after="0" w:line="86" w:lineRule="exact"/>
        <w:rPr>
          <w:rFonts w:ascii="Times New Roman" w:cs="Times New Roman" w:eastAsia="Times New Roman" w:hAnsi="Times New Roman"/>
          <w:sz w:val="16"/>
          <w:szCs w:val="16"/>
          <w:color w:val="auto"/>
        </w:rPr>
      </w:pPr>
    </w:p>
    <w:p>
      <w:pPr>
        <w:ind w:left="78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217,405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226695</wp:posOffset>
            </wp:positionV>
            <wp:extent cx="635444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-133350</wp:posOffset>
            </wp:positionV>
            <wp:extent cx="635444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67,488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61,972</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7,107</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144,596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226695</wp:posOffset>
            </wp:positionV>
            <wp:extent cx="63544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6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6"/>
          <w:szCs w:val="16"/>
          <w:color w:val="auto"/>
        </w:rPr>
        <w:t>72,809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226695</wp:posOffset>
            </wp:positionV>
            <wp:extent cx="635444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(13,627)</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(452)</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226695</wp:posOffset>
            </wp:positionV>
            <wp:extent cx="635444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6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6"/>
          <w:szCs w:val="16"/>
          <w:color w:val="auto"/>
        </w:rPr>
        <w:t>64,286</w:t>
      </w:r>
    </w:p>
    <w:p>
      <w:pPr>
        <w:spacing w:after="0" w:line="8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6"/>
          <w:szCs w:val="16"/>
          <w:color w:val="auto"/>
        </w:rPr>
        <w:t>16,750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37465</wp:posOffset>
            </wp:positionV>
            <wp:extent cx="635444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180340"/>
                    </a:xfrm>
                    <a:prstGeom prst="rect">
                      <a:avLst/>
                    </a:prstGeom>
                    <a:noFill/>
                  </pic:spPr>
                </pic:pic>
              </a:graphicData>
            </a:graphic>
          </wp:anchor>
        </w:drawing>
      </w:r>
    </w:p>
    <w:p>
      <w:pPr>
        <w:spacing w:after="0" w:line="66" w:lineRule="exact"/>
        <w:rPr>
          <w:sz w:val="20"/>
          <w:szCs w:val="20"/>
          <w:color w:val="auto"/>
        </w:rPr>
      </w:pPr>
    </w:p>
    <w:p>
      <w:pPr>
        <w:ind w:left="868" w:hanging="868"/>
        <w:spacing w:after="0"/>
        <w:tabs>
          <w:tab w:leader="none" w:pos="86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252095</wp:posOffset>
            </wp:positionV>
            <wp:extent cx="635444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54610</wp:posOffset>
            </wp:positionV>
            <wp:extent cx="909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of</w:t>
            </w:r>
          </w:p>
        </w:tc>
        <w:tc>
          <w:tcPr>
            <w:tcW w:w="14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51"/>
        </w:trPr>
        <w:tc>
          <w:tcPr>
            <w:tcW w:w="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August 25, 2018</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(Successor)</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431,429</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251,063</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180,366</w:t>
            </w:r>
          </w:p>
        </w:tc>
      </w:tr>
      <w:tr>
        <w:trPr>
          <w:trHeight w:val="83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59,092</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49,635</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115,636</w:t>
            </w:r>
          </w:p>
        </w:tc>
      </w:tr>
      <w:tr>
        <w:trPr>
          <w:trHeight w:val="56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64,730</w:t>
            </w:r>
          </w:p>
        </w:tc>
      </w:tr>
      <w:tr>
        <w:trPr>
          <w:trHeight w:val="83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(12,551)</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70"/>
        </w:trPr>
        <w:tc>
          <w:tcPr>
            <w:tcW w:w="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(11,639)</w:t>
            </w:r>
          </w:p>
        </w:tc>
      </w:tr>
      <w:tr>
        <w:trPr>
          <w:trHeight w:val="56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53,091</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(17,364)</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70,455</w:t>
            </w:r>
          </w:p>
        </w:tc>
      </w:tr>
      <w:tr>
        <w:trPr>
          <w:trHeight w:val="33"/>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ind w:left="40" w:right="900" w:firstLine="11"/>
        <w:spacing w:after="0" w:line="298" w:lineRule="auto"/>
        <w:tabs>
          <w:tab w:leader="none" w:pos="2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19050</wp:posOffset>
            </wp:positionV>
            <wp:extent cx="471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30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100.0 %</w:t>
      </w:r>
    </w:p>
    <w:p>
      <w:pPr>
        <w:spacing w:after="0" w:line="8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58.2 %</w:t>
      </w:r>
    </w:p>
    <w:p>
      <w:pPr>
        <w:spacing w:after="0" w:line="100"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41.8 %</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13.7 %</w:t>
      </w:r>
    </w:p>
    <w:p>
      <w:pPr>
        <w:spacing w:after="0" w:line="8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11.5 %</w:t>
      </w:r>
    </w:p>
    <w:p>
      <w:pPr>
        <w:spacing w:after="0" w:line="8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1.7 %</w:t>
      </w:r>
    </w:p>
    <w:p>
      <w:pPr>
        <w:spacing w:after="0" w:line="8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0.5 %</w:t>
      </w:r>
    </w:p>
    <w:p>
      <w:pPr>
        <w:spacing w:after="0" w:line="10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6"/>
          <w:szCs w:val="16"/>
          <w:color w:val="auto"/>
        </w:rPr>
        <w:t>(0.7)%</w:t>
      </w:r>
    </w:p>
    <w:p>
      <w:pPr>
        <w:spacing w:after="0" w:line="86"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color w:val="auto"/>
        </w:rPr>
        <w:t>26.8 %</w:t>
      </w:r>
    </w:p>
    <w:p>
      <w:pPr>
        <w:spacing w:after="0" w:line="3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15.0 %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(2.9)%</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w:t>
      </w:r>
    </w:p>
    <w:p>
      <w:pPr>
        <w:spacing w:after="0" w:line="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0.2 %</w:t>
      </w:r>
    </w:p>
    <w:p>
      <w:pPr>
        <w:spacing w:after="0" w:line="8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6"/>
          <w:szCs w:val="16"/>
          <w:color w:val="auto"/>
        </w:rPr>
        <w:t>(2.7)%</w:t>
      </w: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12.3 %</w:t>
      </w:r>
    </w:p>
    <w:p>
      <w:pPr>
        <w:spacing w:after="0" w:line="8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6"/>
          <w:szCs w:val="16"/>
          <w:color w:val="auto"/>
        </w:rPr>
        <w:t>(4.0)%</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471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4">
            <w:col w:w="5352" w:space="720"/>
            <w:col w:w="1368" w:space="140"/>
            <w:col w:w="2280" w:space="280"/>
            <w:col w:w="1280"/>
          </w:cols>
          <w:pgMar w:left="240" w:top="684" w:right="239" w:bottom="1440" w:gutter="0" w:footer="0" w:header="0"/>
          <w:type w:val="continuous"/>
        </w:sectPr>
      </w:pP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Other financial data:</w:t>
      </w:r>
    </w:p>
    <w:p>
      <w:pPr>
        <w:spacing w:after="0" w:line="73" w:lineRule="exact"/>
        <w:rPr>
          <w:sz w:val="20"/>
          <w:szCs w:val="20"/>
          <w:color w:val="auto"/>
        </w:rPr>
      </w:pPr>
    </w:p>
    <w:p>
      <w:pPr>
        <w:ind w:left="900"/>
        <w:spacing w:after="0"/>
        <w:tabs>
          <w:tab w:leader="none" w:pos="6060" w:val="left"/>
          <w:tab w:leader="none" w:pos="6920" w:val="left"/>
          <w:tab w:leader="none" w:pos="7800" w:val="left"/>
          <w:tab w:leader="none" w:pos="8440" w:val="left"/>
          <w:tab w:leader="none" w:pos="9320" w:val="left"/>
          <w:tab w:leader="none" w:pos="10200" w:val="left"/>
        </w:tabs>
        <w:rPr>
          <w:sz w:val="20"/>
          <w:szCs w:val="20"/>
          <w:color w:val="auto"/>
        </w:rPr>
      </w:pPr>
      <w:r>
        <w:rPr>
          <w:rFonts w:ascii="Times New Roman" w:cs="Times New Roman" w:eastAsia="Times New Roman" w:hAnsi="Times New Roman"/>
          <w:sz w:val="16"/>
          <w:szCs w:val="16"/>
          <w:color w:val="auto"/>
        </w:rPr>
        <w:t>Adjusted EBITDA</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98,719</w:t>
      </w:r>
      <w:r>
        <w:rPr>
          <w:sz w:val="20"/>
          <w:szCs w:val="20"/>
          <w:color w:val="auto"/>
        </w:rPr>
        <w:tab/>
      </w:r>
      <w:r>
        <w:rPr>
          <w:rFonts w:ascii="Times New Roman" w:cs="Times New Roman" w:eastAsia="Times New Roman" w:hAnsi="Times New Roman"/>
          <w:sz w:val="16"/>
          <w:szCs w:val="16"/>
          <w:color w:val="auto"/>
        </w:rPr>
        <w:t>18.9 %</w:t>
        <w:tab/>
        <w:t>$</w:t>
      </w:r>
      <w:r>
        <w:rPr>
          <w:sz w:val="20"/>
          <w:szCs w:val="20"/>
          <w:color w:val="auto"/>
        </w:rPr>
        <w:tab/>
      </w:r>
      <w:r>
        <w:rPr>
          <w:rFonts w:ascii="Times New Roman" w:cs="Times New Roman" w:eastAsia="Times New Roman" w:hAnsi="Times New Roman"/>
          <w:sz w:val="16"/>
          <w:szCs w:val="16"/>
          <w:color w:val="auto"/>
        </w:rPr>
        <w:t>78,602</w:t>
      </w:r>
      <w:r>
        <w:rPr>
          <w:sz w:val="20"/>
          <w:szCs w:val="20"/>
          <w:color w:val="auto"/>
        </w:rPr>
        <w:tab/>
      </w:r>
      <w:r>
        <w:rPr>
          <w:rFonts w:ascii="Times New Roman" w:cs="Times New Roman" w:eastAsia="Times New Roman" w:hAnsi="Times New Roman"/>
          <w:sz w:val="16"/>
          <w:szCs w:val="16"/>
          <w:color w:val="auto"/>
        </w:rPr>
        <w:t>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37465</wp:posOffset>
            </wp:positionV>
            <wp:extent cx="296735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219" w:lineRule="exact"/>
        <w:rPr>
          <w:sz w:val="20"/>
          <w:szCs w:val="20"/>
          <w:color w:val="auto"/>
        </w:rPr>
      </w:pPr>
    </w:p>
    <w:p>
      <w:pPr>
        <w:jc w:val="both"/>
        <w:ind w:left="500" w:right="40" w:hanging="387"/>
        <w:spacing w:after="0" w:line="236"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fifty-three weeks ended August 31, 2019, certain reclassifications were made to previously reported amounts to conform to the current presentation. On the consolidated statement of operations, outbound freight previously included in Distribution, distribution center expenses previously included in </w:t>
      </w: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 xml:space="preserve">, and depreciation for equipment used in warehouse operations were reclassified to </w:t>
      </w:r>
      <w:r>
        <w:rPr>
          <w:rFonts w:ascii="Times New Roman" w:cs="Times New Roman" w:eastAsia="Times New Roman" w:hAnsi="Times New Roman"/>
          <w:sz w:val="14"/>
          <w:szCs w:val="14"/>
          <w:i w:val="1"/>
          <w:iCs w:val="1"/>
          <w:color w:val="auto"/>
        </w:rPr>
        <w:t>Cost of goods sold</w:t>
      </w:r>
      <w:r>
        <w:rPr>
          <w:rFonts w:ascii="Times New Roman" w:cs="Times New Roman" w:eastAsia="Times New Roman" w:hAnsi="Times New Roman"/>
          <w:sz w:val="14"/>
          <w:szCs w:val="14"/>
          <w:color w:val="auto"/>
        </w:rPr>
        <w:t>. 2018 reflects adjusted amounts in accordance with this accounting principle change. See Note 2 to the consolidated financial statements included herein for additional information on the accounting principle change.</w:t>
      </w:r>
    </w:p>
    <w:p>
      <w:pPr>
        <w:ind w:left="500" w:hanging="387"/>
        <w:spacing w:after="0" w:line="194" w:lineRule="auto"/>
        <w:tabs>
          <w:tab w:leader="none" w:pos="50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During the fifty-three weeks ended August 31, 2019, the Company combined Selling and Marketing within one financial statement line. 2018 reflects adjusted amounts.</w:t>
      </w:r>
    </w:p>
    <w:p>
      <w:pPr>
        <w:spacing w:after="0" w:line="20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successor fifty-three week period ended August 31, 2019 were $523.4 million compared to $431.4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fifty-two week period ended August 25, 2018. The net sales increase of 21.3% was driven by volume growth. Net price realization was a slight benefit, partially offset by a shift in non-price related customer activity. The fifty-third week of fiscal 2019 was a 1.8% contribution to full year sales growth.</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4" w:right="239" w:bottom="1440" w:gutter="0" w:footer="0" w:header="0"/>
          <w:type w:val="continuous"/>
        </w:sectPr>
      </w:pPr>
    </w:p>
    <w:bookmarkStart w:id="37" w:name="page38"/>
    <w:bookmarkEnd w:id="3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for the successor fifty-three week period ended August 31, 2019 were $306.0 million compared to $251.1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successor fifty-two week period ended August 25, 2018. The cost of goods sold increase is driven by sales volume growth and increased distribution center expenses. These increases are partially offset by logistics efficiencies.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successor fifty-three week period ended August 31, 2019 was $217.4 million, or 41.5% of net sales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$180.4 million, or 41.8% of net sales, for the successor fifty-two week period ended August 25, 2018, a decrease of 30 basis point. Gross margin is effected by non-price related customer activity that is a shift from selling and marketing expense.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for the successor fifty-three week period ended August 31, 2019 were $144.6 million, or 27.6%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compared to $115.6 million, or 26.8% of net sales, for the successor fifty-two week period ended August 25, 2018 due to the following:</w:t>
      </w:r>
    </w:p>
    <w:p>
      <w:pPr>
        <w:spacing w:after="0" w:line="157" w:lineRule="exact"/>
        <w:rPr>
          <w:sz w:val="20"/>
          <w:szCs w:val="20"/>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increased $8.4 million, or 14.2%, for the successor fifty-three week period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2019 compared to the successor fifty-two week period ended August 25, 2018. The increase is primarily due to an increase in television media and e-commerce investments, offset by a shift in non-price related customer activity.</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$12.3 million, or 24.9%, for the successor fifty-three week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August 31, 2019 compared to the successor fifty-two week period ended August 25, 2018. The increase is due to higher incentive compensation of $5.3 million, internal resource investments of $3.3 million, and a legal settlement of $3.5 million.</w:t>
      </w:r>
    </w:p>
    <w:p>
      <w:pPr>
        <w:spacing w:after="0" w:line="173"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for the successor fifty-three week period ended August 31, 2019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flat compared to the successor fifty-two week period ended August 25, 2018.</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transaction costs</w:t>
      </w:r>
      <w:r>
        <w:rPr>
          <w:rFonts w:ascii="Times New Roman" w:cs="Times New Roman" w:eastAsia="Times New Roman" w:hAnsi="Times New Roman"/>
          <w:sz w:val="18"/>
          <w:szCs w:val="18"/>
          <w:color w:val="auto"/>
        </w:rPr>
        <w:t>. Business transaction costs increased $4.8 million for the successor fifty-three week period ended August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successor fifty-two week period ended August 25, 2018. The increase is primarily due to the pending acquisition of Quest, as announced August 21, 2019 and discussed in “Recent Developments” in Item 1. Business. The $2.3 million recorded in the successor fifty-two week period ended August 25, 2018 is comprised of expenses relating to business development activities.</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(gain) in fair value change of contingent consideration - TRA liability</w:t>
      </w:r>
      <w:r>
        <w:rPr>
          <w:rFonts w:ascii="Times New Roman" w:cs="Times New Roman" w:eastAsia="Times New Roman" w:hAnsi="Times New Roman"/>
          <w:sz w:val="18"/>
          <w:szCs w:val="18"/>
          <w:color w:val="auto"/>
        </w:rPr>
        <w:t>. The successor fifty-three week period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included a loss in fair value change of contingent consideration of $0.5 million. The increase is due to the timing of the settlement of the TRA liability during the successor fifty-three week period ended August 31, 2019. The gain in the successor fifty-two week period ended August 25, 2018 reflects the effect of the change in tax law in the prior year.</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$3.8 million for the successor fifty-three week period ended August 31, 2019 compared to the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fifty-three week period ended August 31, 2019, due to the Company’s increased cash balance resulting from warrant exercises during the successor fifty-three week period ended August 31, 2019 and an increase in market interest rates.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for the successor fifty-three week period ended August 31, 2019 was $13.6 million compared to $12.6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successor fifty-two week period ended August 25, 2018, an increase due to changes in market interest rates.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settlement of TRA liability. </w:t>
      </w:r>
      <w:r>
        <w:rPr>
          <w:rFonts w:ascii="Times New Roman" w:cs="Times New Roman" w:eastAsia="Times New Roman" w:hAnsi="Times New Roman"/>
          <w:sz w:val="18"/>
          <w:szCs w:val="18"/>
          <w:color w:val="auto"/>
        </w:rPr>
        <w:t>The Company recorded a $1.5 million gain in connection with the settlement of the TRA liability in the fifty-three week period ended August 31, 2019. The TRA settlement is discussed in Note 10 of the Consolidated Statements of Operations and Comprehensive Income (Loss) included in this Report.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A loss of $0.5 million in foreign currency transactions was recorded for the fifty-three week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August 31, 2019 compared to a foreign currency gain of $0.1 million for the fifty-two week period ended August 25, 2018. The change relates to changes in foreign currency rates related to international operations.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Income tax expense for the successor fifty-three week period ended August 31, 2019 was $16.8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benefit of $17.4 million for the successor fifty-two week period ended August 25, 2018. The increase in our income tax expense is primarily attributed to the one-time benefit of $29.0 million related to the tax law change and remeasurement of deferred tax liabilities recorded in the fifty-two week period ended August 25, 2018, which did not apply for the fifty-three week period ended August 31, 2019.</w:t>
      </w:r>
    </w:p>
    <w:p>
      <w:pPr>
        <w:spacing w:after="0" w:line="17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for the successor fifty-three week period ended August 31, 2019 was $98.7 million compared to $78.6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successor fifty-two week period ended August 25, 2018. For a reconciliation of Adjusted EBITDA to its most directly comparable GAAP measure, see “Reconciliation of Adjusted EBITDA” below.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60" w:right="239" w:bottom="1440" w:gutter="0" w:footer="0" w:header="0"/>
        </w:sectPr>
      </w:pPr>
    </w:p>
    <w:bookmarkStart w:id="38" w:name="page39"/>
    <w:bookmarkEnd w:id="3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for the Successor Fifty-Two Weeks Ended August 25, 2018, the Successor Period from July 7, 2017 through August 26, 2017 and the Predecessor Period from August 28, 2016 through July 6, 2017</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information from our consolidated financial results, including information presented as a percentage of net sales:</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rPr>
              <w:t>Successor</w:t>
            </w: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color w:val="auto"/>
              </w:rPr>
              <w:t>Successor</w:t>
            </w:r>
          </w:p>
        </w:tc>
        <w:tc>
          <w:tcPr>
            <w:tcW w:w="7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color w:val="auto"/>
              </w:rPr>
              <w:t>Predecessor</w:t>
            </w: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From July 7, 2017</w:t>
            </w:r>
          </w:p>
        </w:tc>
        <w:tc>
          <w:tcPr>
            <w:tcW w:w="880" w:type="dxa"/>
            <w:vAlign w:val="bottom"/>
            <w:tcBorders>
              <w:right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From August 28,</w:t>
            </w:r>
          </w:p>
        </w:tc>
        <w:tc>
          <w:tcPr>
            <w:tcW w:w="6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 of</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through August 26,</w:t>
            </w:r>
          </w:p>
        </w:tc>
        <w:tc>
          <w:tcPr>
            <w:tcW w:w="88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auto"/>
              </w:rPr>
              <w:t>2016 through July 6,</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Sales</w:t>
            </w:r>
          </w:p>
        </w:tc>
        <w:tc>
          <w:tcPr>
            <w:tcW w:w="1560" w:type="dxa"/>
            <w:vAlign w:val="bottom"/>
            <w:gridSpan w:val="3"/>
            <w:vMerge w:val="continue"/>
          </w:tcPr>
          <w:p>
            <w:pPr>
              <w:spacing w:after="0"/>
              <w:rPr>
                <w:sz w:val="9"/>
                <w:szCs w:val="9"/>
                <w:color w:val="auto"/>
              </w:rPr>
            </w:pPr>
          </w:p>
        </w:tc>
        <w:tc>
          <w:tcPr>
            <w:tcW w:w="880" w:type="dxa"/>
            <w:vAlign w:val="bottom"/>
            <w:tcBorders>
              <w:righ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Sales</w:t>
            </w:r>
          </w:p>
        </w:tc>
        <w:tc>
          <w:tcPr>
            <w:tcW w:w="0" w:type="dxa"/>
            <w:vAlign w:val="bottom"/>
          </w:tcPr>
          <w:p>
            <w:pPr>
              <w:spacing w:after="0"/>
              <w:rPr>
                <w:sz w:val="1"/>
                <w:szCs w:val="1"/>
                <w:color w:val="auto"/>
              </w:rPr>
            </w:pPr>
          </w:p>
        </w:tc>
      </w:tr>
      <w:tr>
        <w:trPr>
          <w:trHeight w:val="102"/>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8"/>
                <w:szCs w:val="8"/>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August 25, 2018</w:t>
            </w: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tcPr>
          <w:p>
            <w:pPr>
              <w:spacing w:after="0"/>
              <w:rPr>
                <w:sz w:val="8"/>
                <w:szCs w:val="8"/>
                <w:color w:val="auto"/>
              </w:rPr>
            </w:pPr>
          </w:p>
        </w:tc>
        <w:tc>
          <w:tcPr>
            <w:tcW w:w="880" w:type="dxa"/>
            <w:vAlign w:val="bottom"/>
            <w:tcBorders>
              <w:right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339,837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 xml:space="preserve">Cost of goods sold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251,063</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39,584</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200,026</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139,811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59,092</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47,494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49,635</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34,567</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70"/>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8,409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25,608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in fair value change of</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consideration - TRA</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116,078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23,733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warrant liabilities</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(loss) on foreign currency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transactions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expense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(11,639)</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(21,648)</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0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84"/>
        </w:trPr>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63,889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right="60" w:hanging="387"/>
        <w:spacing w:after="0" w:line="236"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fifty-three weeks ended August 31, 2019, certain reclassifications were made to previously reported amounts to conform to the current presentation. On the consolidated statement of operations, outbound freight previously included in Distribution, distribution center expenses previously included in </w:t>
      </w: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 xml:space="preserve">, and depreciation for equipment used in warehouse operations were reclassified to </w:t>
      </w:r>
      <w:r>
        <w:rPr>
          <w:rFonts w:ascii="Times New Roman" w:cs="Times New Roman" w:eastAsia="Times New Roman" w:hAnsi="Times New Roman"/>
          <w:sz w:val="14"/>
          <w:szCs w:val="14"/>
          <w:i w:val="1"/>
          <w:iCs w:val="1"/>
          <w:color w:val="auto"/>
        </w:rPr>
        <w:t>Cost of goods sold</w:t>
      </w:r>
      <w:r>
        <w:rPr>
          <w:rFonts w:ascii="Times New Roman" w:cs="Times New Roman" w:eastAsia="Times New Roman" w:hAnsi="Times New Roman"/>
          <w:sz w:val="14"/>
          <w:szCs w:val="14"/>
          <w:color w:val="auto"/>
        </w:rPr>
        <w:t>. 2018 and 2017 reflect adjusted amounts in accordance with this accounting principle change. See Note 2 to the consolidated financial statements included herein for additional information on the accounting principle change.</w:t>
      </w:r>
    </w:p>
    <w:p>
      <w:pPr>
        <w:ind w:left="500" w:hanging="387"/>
        <w:spacing w:after="0" w:line="194" w:lineRule="auto"/>
        <w:tabs>
          <w:tab w:leader="none" w:pos="50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During the fifty-three weeks ended August 31, 2019, the Company combined Selling and Marketing within one financial statement line. 2018 and 2017 reflect adjusted amounts.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Successor Fifty-Two Weeks Ended August 25, 2018 and the Successor Period from July 7, 2017 through August 26, 2017</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successor fifty-two week period ended August 25, 2018 were $431.4 million compared to $56.3 million for the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from July 7, 2017 through August 26, 2017.</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for the successor fifty-two week period ended August 25, 2018 were $251.1 million compared to $39.6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successor period from July 7, 2017 through August 26, 2017.</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successor fifty-two week period ended August 25, 2018 was $180.4 million, or 41.8% of net sales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$16.8 million, or 29.7% of net sales, for the successor period from July 7, 2017 through August 26, 2017.</w:t>
      </w:r>
    </w:p>
    <w:p>
      <w:pPr>
        <w:sectPr>
          <w:pgSz w:w="11900" w:h="16838" w:orient="portrait"/>
          <w:cols w:equalWidth="0" w:num="1">
            <w:col w:w="11420"/>
          </w:cols>
          <w:pgMar w:left="240" w:top="360"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60" w:right="239" w:bottom="1440" w:gutter="0" w:footer="0" w:header="0"/>
          <w:type w:val="continuous"/>
        </w:sectPr>
      </w:pPr>
    </w:p>
    <w:bookmarkStart w:id="39" w:name="page40"/>
    <w:bookmarkEnd w:id="3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for the successor fifty-two week period ended August 25, 2018 were $115.6 million, or 26.8% of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$14.9 million, or 26.4% of net sales, for the successor period from July 7, 2017 through August 26, 2017.</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for the successor fifty-two week period ended August 25, 2018 was $12.6 million, or 2.9% of net sales,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$1.7 million, or 3.0% of net sales, for the successor period from July 7, 2017 through August 26, 2017.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Income tax benefit for the successor fifty-two week period ended August 25, 2018 was $17.4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expense of $0.3 million for the successor period from July 7, 2017 through August 26, 2017.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for the successor fifty-two week period ended August 25, 2018 was $78.6 million compared to $8.7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successor period from July 7, 2017 through August 26, 2017.</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for the Successor Period from July 7, 2017 through August 26, 2017 and the Predecessor Period from August 28, 2016 through July 6, 2017.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for the successor period from July 7, 2017 through August 26, 2017 were $56.3 million compared to $339.8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predecessor period from August 28, 2016 through July 6, 2017. There was no effect to net sales as a result of the Business Combination.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for the successor period from July 7, 2017 through August 26, 2017 were $39.6 million compared to $200.0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predecessor period from August 28, 2016 through July 6, 2017. As a result of the Business Combination, there was a one-time inventory fair value step-up of $6.0 million that was charged to cost of goods sold in the successor period from July 7, 2017 through August 26, 2017.</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successor period from July 7, 2017 through August 26, 2017, including the effect of the one-time inventory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step-up, were $16.8 million, or 29.7% of net sales, compared to the predecessor period from August 28, 2016 through July 6, 2017, gross profit was $139.8 million, or 41.1% of net sales.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for the successor period from July 7, 2017 through August 26, 2017 were $14.9 million or 26.4%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compared to $116.1 million or 34.2% of net sales the predecessor period from August 28, 2016 through July 6, 2017.</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for the successor period from July 7, 2017 through August 26, 2017 was $1.7 million or 3.0% of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$22.7 million or 6.7% of net sales for the predecessor period from August 28, 2016 through July 6, 2017. The lower interest expense in the successor period from July 7, 2017 through August 26, 2017 is the result of the reduced principal balance of the debt as well as a reduction in the rate of interest being incurred on the debt.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for the successor period from July 7, 2017 through August 26, 2017 was $0.3 million compared to $4.6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predecessor period from August 28, 2016 through July 6, 2017. Higher taxes in the predecessor period relate to the effects of the nondeductible business combination transaction costs.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$55.2 million or 86.5% for the successor period from July 7, 2017 through August 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compared to the predecessor period from August 28, 2016 through July 6, 2017. For a reconciliation of Adjusted EBITDA to its most directly comparable GAAP measure, see “Reconciliation of Adjusted EBITDA”.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EBITDA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EBITDA is a non-GAAP financial measure commonly used in our industry and should not be construed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to 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expense, income tax expense, depreciation and amortization with further adjustments to exclude the following items: stock-based compensation and warrant expense, transaction and IPO readiness costs, restructuring costs, management fees, frozen media licensing fees, non-core legal costs, transactional exchange impact, change in fair value of contingent consideration - TRA liability, business transaction costs and other non-core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uses Adjusted EBITDA to evaluate operating performance and this financial measure is among the primary measures used by management for planning and forecasting of future periods. Adjusted EBITDA is also frequently used by analysts, investors, and other interested parties to evaluate companies in our industry. The Company believes that the inclusion of these supplementary adjustments in presenting Adjusted EBITDA is relevant and useful for investors because it provides additional information to investors, reflects operating results more accurately of the on-going operations,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allows investors to view results in a manner similar to the method used by management and facilitates comparison of the Company’s results with the results of other companies that have different financing and capital structures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the Company’s computation of Adjusted EBITDA may not be comparable to other similarly titled captions of other companies due to differences in calculation.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tables below provide a reconciliation of Adjusted EBITDA to its most directly comparable GAAP measure, which is net income (loss).</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Reconciliation:</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8"/>
              </w:rPr>
              <w:t>53-Weeks Ended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From July 7, 2017</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From August 28,</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140" w:type="dxa"/>
            <w:vAlign w:val="bottom"/>
          </w:tcPr>
          <w:p>
            <w:pPr>
              <w:spacing w:after="0"/>
              <w:rPr>
                <w:sz w:val="17"/>
                <w:szCs w:val="17"/>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August 25, 2018</w:t>
            </w:r>
          </w:p>
        </w:tc>
        <w:tc>
          <w:tcPr>
            <w:tcW w:w="158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2016 through July 6,</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2017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2017</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4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1"/>
                <w:szCs w:val="21"/>
                <w:color w:val="auto"/>
              </w:rPr>
            </w:pPr>
          </w:p>
        </w:tc>
        <w:tc>
          <w:tcPr>
            <w:tcW w:w="14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255"/>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0" w:type="dxa"/>
            <w:vAlign w:val="bottom"/>
          </w:tcPr>
          <w:p>
            <w:pPr>
              <w:spacing w:after="0"/>
              <w:rPr>
                <w:sz w:val="1"/>
                <w:szCs w:val="1"/>
                <w:color w:val="auto"/>
              </w:rPr>
            </w:pPr>
          </w:p>
        </w:tc>
      </w:tr>
      <w:tr>
        <w:trPr>
          <w:trHeight w:val="23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81,731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25,608</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 and warrant expense</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fees / IPO readiness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Roark management fee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Recall receivable reserve</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settlement of TRA</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Frozen licensing media</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Non-core legal costs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Loss (gain) in fair value change of contingent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consideration - TRA liability</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accounting inventory step-up</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(1)</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63,889</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-79375</wp:posOffset>
            </wp:positionV>
            <wp:extent cx="3987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borrowings under our credit facilities. Our principal uses for liquidity have been debt service and working capital. We believe our sources of liquidity and capital will be sufficient to finance our continued operations, growth strategy, and additional expenses we expect to incur including the pending acquisition of Quest for at least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The credit agreement provides for a term facility of $200.0 million (“Term Facility”) with a seven year maturity and a revolving credit facility of up to $75.0 million (the “Revolving Credit Facility”) with a five year maturity, under the first lien senior secured loan facilities (the “First Lien”). Substantially concurrent with the consummation of the Business Combination, the full $200.0 million of the First Lien term loan (the “Term Loan”) was drawn. No amounts were originally drawn on the Revolving Credit Facility. The interest rate per annum is based on either (i) a base rate equaling the higher of (a) the “prime rate”, (b) the federal funds effective rate plus 0.50% and (c) the Euro-currency rate applicable for an interest period of one month plus 1.00% plus (x) 3.00% margin for Term Loan or (y) 2.00% margin for Revolving Credit Facility, or (ii) London Interbank Offered Rate (“LIBOR”) adjusted for statutory reserve requirements, plus (x) 4.00% margin for the Term Loan subject to a floor of 1.00% or (y) 3.00% margin for the Revolving Credit Facility. The applicable margin for Revolving Credit Facility was adjusted after the completion of the Company’s first full fiscal quarter after the closing of the Business Combination based upon the Company’s consolidated First Lien net leverage ratio. As security for the payment or performance of its debt, the Company has pledged certain equity interests in its subsidiaries.</w:t>
      </w:r>
    </w:p>
    <w:p>
      <w:pPr>
        <w:sectPr>
          <w:pgSz w:w="11900" w:h="16838" w:orient="portrait"/>
          <w:cols w:equalWidth="0" w:num="1">
            <w:col w:w="11420"/>
          </w:cols>
          <w:pgMar w:left="240" w:top="364"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64" w:right="239" w:bottom="1440" w:gutter="0" w:footer="0" w:header="0"/>
          <w:type w:val="continuous"/>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16, 2018 (the “Amendment Date”), the Company entered into an amendment (the “Repricing Amendment”) to the First Lien. As a result of the Repricing Amendment, the interest rate on the Term Loan was reduced and, as of the Amendment Date, such loans bear interest at a rate equal to, at the Company's option, either LIBOR plus an applicable margin of 3.50% or a base rate plus an applicable margin of 2.50%. The Repricing Amendment did not change the interest rate on the Revolving Credit Facility. The Revolving Credit Facility will continue to bear interest based upon the Company's consolidated First Lien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facilities governing our debt arrangements contain certain financial and other covenants. The Revolving Credit Facility has a maximum total net leverage ratio equal to or less than 6.25:1.00 (with a reduction to 6.00:1.00 on and after the third anniversary of the closing date of the credit facilities)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result in an event of default. The credit facilities governing our debt arrangements bear interest at variable rates. If market interest rates increase, variable rate debt will create higher debt service requirements, which could adversely affect our cash flow. As the Company has not drawn on the Revolving Credit Facility as of August 31, 2019 and August 25, 2018, no debt covenants were applicable as of the period then ended.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the outstanding principal balances of the Term Loan was $196.5 million, and no amounts were drawn under the $75.0 million Revolving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Financing</w:t>
      </w:r>
    </w:p>
    <w:p>
      <w:pPr>
        <w:spacing w:after="0" w:line="3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21, 2019, we entered into a stock purchase agreement (the “Purchase Agreement”) to acquire Quest Nutrition, LLC (“Quest”), a healthy lifestyle food company (the “Acquisition”), for approximately $1.0 billion. The Acquisition is expected to close by the end of the 2019 calendar year, subject to satisfaction of customary closing conditions. There is no financing condition for the Acquisition.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2019, we completed an underwritten public offering of 13,379,205 shares of our common stock at a price per share of $26.16 (the “Offering”), resulting in net proceeds to us of approximately $350.0 million, after deducting underwriting discounts and commissions and our estimated fees and expenses for the Offering. We intend to use these net proceeds to pay a portion of the purchase price and related fees and expenses for the Acquisition, or for general corporate purposes if the acquisition is not consummated.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fund the remainder of the Acquisition by using a significant portion of the approximately $265 million of cash on hand and committed financing pursuant to debt commitments from Barclays, Credit Suisse and Goldman Sachs.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4, 2018, the Company delivered a notice for the redemption (the “Redemption Notice”) of all of its public warrants that remained unexercised immediately after November 5, 2018. Holders who exercised public warrants following the Redemption Notice were required to do so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private warrants to purchase 6,700,000 shares of the Company’s common stock remain outstanding as of the date of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42"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53-Weeks Ended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52-Weeks Ended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From July 7, 2017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From August 28,</w:t>
            </w: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2016 through July 6,</w:t>
            </w:r>
          </w:p>
        </w:tc>
      </w:tr>
      <w:tr>
        <w:trPr>
          <w:trHeight w:val="210"/>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31, 2019</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August 25,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2017</w:t>
            </w: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(Predecessor)</w:t>
            </w: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21,939</w:t>
            </w:r>
          </w:p>
        </w:tc>
      </w:tr>
      <w:tr>
        <w:trPr>
          <w:trHeight w:val="237"/>
        </w:trPr>
        <w:tc>
          <w:tcPr>
            <w:tcW w:w="3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(197,304)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(20,458)</w:t>
            </w: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83,376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280,799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(53,536)</w:t>
            </w:r>
          </w:p>
        </w:tc>
      </w:tr>
      <w:tr>
        <w:trPr>
          <w:trHeight w:val="33"/>
        </w:trPr>
        <w:tc>
          <w:tcPr>
            <w:tcW w:w="3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was $73.0 million for the successor period ended August 31, 2019,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 million compared to net cash provided by operating activities of $61.0 million for the successor period ended August 25, 2018. The increase was primarily driven by higher income before taxes.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was $61.0 million for the successor period ended August 25, 2018, an increase of $88.4 million compared to net cash used in operating activities of $27.4 million for the successor period ended August 26, 2017. The increase was primarily driven by higher income before taxes.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used in investing activities was $1.8 million for the successor period ended August 31, 2019, which was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$1.7 million compared to the investing activities for the successor period ended August 25, 2018. The decrease is primarily the result of a payment for a working capital adjustment of $1.8 million to the former owners of Atkins in the prior period.</w:t>
      </w:r>
    </w:p>
    <w:p>
      <w:pPr>
        <w:spacing w:after="0" w:line="176" w:lineRule="exact"/>
        <w:rPr>
          <w:sz w:val="20"/>
          <w:szCs w:val="20"/>
          <w:color w:val="auto"/>
        </w:rPr>
      </w:pPr>
    </w:p>
    <w:p>
      <w:pPr>
        <w:jc w:val="both"/>
        <w:ind w:right="20" w:firstLine="724"/>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was $3.5 million for the successor period ended August 25, 2018, which was a decrease of $193.8 million compared to the investing activities for the successor period ended August 26, 2017. The change was due to the Business Combination in the successor period ended August 26, 2017, offset by minor increases in purchases of property and equipment.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provided by financing activities was $83.4 million for the successor period ended August 31, 2019,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of $1.6 million for the successor period ended August 25, 2018. Net cash provided by financing activities for the successor period ended August 31, 2019 includes $113.5 million of cash received from warrant exercises, and is partially offset by the payment of the TRA liability of $26.5 million, repurchases of common stock of $2.1 million and debt principal payments of $2.0 million.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cash used in financing activities was $1.6 million for the successor period ended August 25, 2018, compared to net cash provided by financing activities of $280.8 million for the successor period ended August 26, 2017. The decrease is due to the procee ds from the issuance of long term debt of $191.9 million and proceeds from the issuance of equity of $97.0 million related to the Business Combination in the successor period ended August 26, 2017.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$266.3 million in cash and cash equivalents as of August 31, 2019, which is sufficient to satisfy a portion of the pending acquisition of Quest, current liabilities, current maturities of long-term debt and the interest payments associated with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we had no material off-balance sheet arrangements that have or are reasonably likely to have a current or future material effect on its financial condition, changes in financial condition, income or expenses, results of operations, liquidity, capital expenditures or capital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6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expected material contractual payment obligations as of August 31, 2019. This table does not include any obligations related to the financing or any other aspect of the Acquisition.</w:t>
      </w:r>
    </w:p>
    <w:p>
      <w:pPr>
        <w:spacing w:after="0" w:line="11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Payments due by period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7"/>
        </w:trPr>
        <w:tc>
          <w:tcPr>
            <w:tcW w:w="2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59"/>
        </w:trPr>
        <w:tc>
          <w:tcPr>
            <w:tcW w:w="2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Year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Years 2-3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Years 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r>
      <w:tr>
        <w:trPr>
          <w:trHeight w:val="235"/>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leases (1)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payments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25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212,441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20955</wp:posOffset>
            </wp:positionV>
            <wp:extent cx="4742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-79375</wp:posOffset>
            </wp:positionV>
            <wp:extent cx="4742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9" w:lineRule="exact"/>
        <w:rPr>
          <w:sz w:val="20"/>
          <w:szCs w:val="20"/>
          <w:color w:val="auto"/>
        </w:rPr>
      </w:pPr>
    </w:p>
    <w:p>
      <w:pPr>
        <w:jc w:val="both"/>
        <w:ind w:left="340" w:hanging="332"/>
        <w:spacing w:after="0" w:line="272"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August 31, 2019, the Company is obligated under multiple non-cancellable operating leases, which continue through 2024. Rent expenses, inclusive of real estate taxes, utilities and maintenance incurred under operating leases, are included in general and administrative expenses in the Company’s consolidated statements of operations. Rent expenses were $2.2 million for fifty-three week period ended August 31, 2019, $2.4 million for the fifty-two week period ended August 25, 2018, $0.3 million for the successor period from July 7, 2017 through August 26, 2017, and $1.7 million for the predecessor period from August 28, 2016 through July 6, 2017,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consolidated financial statements of the Company have been prepared in accordance with accounting principles generally accepted in the U.S. While the majority of the Company’s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Company’s financial statements for reasonableness and adequacy. Our significant accounting policies are discussed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Consolidated Financial Statements in this filing; however, the following discussion pertains to accounting policies the Company believes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the Company’s financial condition, results of operations and cash flows to those of other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at the time of delivery to the customer's location.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products, including estimates of variable consideration. The most common forms of variable consideration include trade programs, consumer incentives, coupon redemptions,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promotional activities and market data from IRI, and the Company's best estimates of current activity. The Company reviews these estimates regularly and makes revisions as necessary. The Company does not have any material significant payments terms as payment is received shortly after the time of sale.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performance of similar trade promotional activities, market data from IRI, and the Company's best estimates of current activity.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60" w:right="2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August 31, 2019 and August 25, 2018, the allowance for trade promotions was $10.3 million and $7.4 million, respectively. Differences between estimated expense and actual redemptions are recognized as a change in management estimate in a subsequent period. These differences have historically been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evaluated for impairment annually or more often if events or circumstances indicated that potential impairment may be present. Our annual impairment tests are conducted at the beginning of the fourth quarter.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test goodwill and indefinite-lived intangible assets by performing either qualitative or quantitative assessments. In the qualitative assessment, factors including macro-economic conditions, industry and company-specific factors, legal and regulatory environments and historical company performance are evaluated in assessing fair value. If we determine that it is more likely than not that the fair value of the reporting unit is less than its carrying value, a quantitative test is then performed. Otherwise, no further testing is required. When using a quantitative approach, we compare the fair value of the reporting unit to its carrying amount, including goodwill. If the estimated fair value of the reporting unit is less than the carrying amount of the reporting unit, impairment is indicated, requiring recognition of a impairment charge for the differential.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2019, we elected to perform quantitative assessments of goodwill and indefinite-lived intangible assets. The inputs and assumptions used require considerable management judgment and are based on expectations of future operating performance. Based on the results of the assessments, it was determined that the fair value of goodwill and indefinite-lived assets exceeded their carrying values. Accordingly, no further impairment testing was completed and no impairment charges related to goodwill or indefinite-lived intangibles were recognized during the fiscal period ended August 31, 2019.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Qualitative assessments of goodwill and indefinite-lived intangible assets were performed in 2018 and 2017. Based on the results of assessment, it was determined that it is more likely than not the reporting unit had a fair value in excess of carrying value. Accordingly, no further impairment testing was completed and no impairment charges related to goodwill or indefinite-lived intangibles were recognized during the fiscal periods ended August 25, 2018 or August 26, 2017.</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has intangible assets that are expected to have determinable useful lives, consisting primarily of trademarks, customer relationships and licensing agreements. Costs of finite-lived intangible assets are amortized over their estimated useful lives. Finite-lived intangible assets are tested for impairment when events or circumstances indicated that the carrying amount may not be recoverable. For the fiscal periods ended August 31, 2019, August 25, 2018 or August 26, 2017 there were no impairments recorded related to finite-lived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Consolidated Financial Statements in this filing for further information regarding recently issued accounting standards.</w:t>
      </w:r>
    </w:p>
    <w:p>
      <w:pPr>
        <w:spacing w:after="0" w:line="1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Simply Good Foods' future income, cash flows and fair values relevant to financial instruments are dependent upon prevalent market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 refers to the risk of loss from adverse changes in market prices and interest rates.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interest rate risk in connection with borrowing based on a variable interest rate. Derivative financial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interest rate swap agreements and interest rate cap agreements,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4" w:right="2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and cash flows, assuming other factors are held constant. Assuming average variable rate debt levels during the year, a 1% increase in interest rates would have increased interest expense by approximately $2.0 million for the fifty-three week period ended August 31, 2019.</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We are exposed to changes in currency rates as a result of investments in foreign operations and revenue generated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other than U.S. dollar. Revenue and profit generated by international operations will increase or decrease compared to prior periods as a result of changes in foreign currency exchange rates. Foreign currency risk is primarily related to operations in Canada. A 10% increase or decrease in the Canadian Dollar against the U.S. Dollar would result in less than a 1% change in our net income for the fifty-three week period ended August 31, 2019.</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While inflation may affect Simply Good Foods’ revenue and cost of services and products, we believe the effects of inflation, if any, on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of operations and financial condition have not been significant. However, there can be no assurance that results of operations and financial condition will not be materially impacted by inflation in the future.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37"/>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Borders>
              <w:bottom w:val="single" w:sz="8" w:color="0000EE"/>
            </w:tcBorders>
            <w:gridSpan w:val="8"/>
          </w:tcPr>
          <w:p>
            <w:pPr>
              <w:jc w:val="center"/>
              <w:spacing w:after="0"/>
              <w:rPr>
                <w:rFonts w:ascii="Times New Roman" w:cs="Times New Roman" w:eastAsia="Times New Roman" w:hAnsi="Times New Roman"/>
                <w:sz w:val="16"/>
                <w:szCs w:val="16"/>
                <w:color w:val="0000EE"/>
              </w:rPr>
            </w:pPr>
            <w:hyperlink w:anchor="page47">
              <w:r>
                <w:rPr>
                  <w:rFonts w:ascii="Times New Roman" w:cs="Times New Roman" w:eastAsia="Times New Roman" w:hAnsi="Times New Roman"/>
                  <w:sz w:val="16"/>
                  <w:szCs w:val="16"/>
                  <w:color w:val="0000EE"/>
                </w:rPr>
                <w:t>Index to the Financial Statements</w:t>
              </w:r>
            </w:hyperlink>
          </w:p>
        </w:tc>
        <w:tc>
          <w:tcPr>
            <w:tcW w:w="328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48">
              <w:r>
                <w:rPr>
                  <w:rFonts w:ascii="Times New Roman" w:cs="Times New Roman" w:eastAsia="Times New Roman" w:hAnsi="Times New Roman"/>
                  <w:sz w:val="16"/>
                  <w:szCs w:val="16"/>
                  <w:color w:val="0000EE"/>
                </w:rPr>
                <w:t>Reports of Independent Registered Public Accounting Firms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48">
              <w:r>
                <w:rPr>
                  <w:rFonts w:ascii="Times New Roman" w:cs="Times New Roman" w:eastAsia="Times New Roman" w:hAnsi="Times New Roman"/>
                  <w:sz w:val="16"/>
                  <w:szCs w:val="16"/>
                  <w:color w:val="0000EE"/>
                  <w:w w:val="99"/>
                </w:rPr>
                <w:t>47</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920" w:type="dxa"/>
            <w:vAlign w:val="bottom"/>
            <w:gridSpan w:val="17"/>
          </w:tcPr>
          <w:p>
            <w:pPr>
              <w:spacing w:after="0"/>
              <w:rPr>
                <w:rFonts w:ascii="Times New Roman" w:cs="Times New Roman" w:eastAsia="Times New Roman" w:hAnsi="Times New Roman"/>
                <w:sz w:val="16"/>
                <w:szCs w:val="16"/>
                <w:color w:val="0000EE"/>
              </w:rPr>
            </w:pPr>
            <w:hyperlink w:anchor="page51">
              <w:r>
                <w:rPr>
                  <w:rFonts w:ascii="Times New Roman" w:cs="Times New Roman" w:eastAsia="Times New Roman" w:hAnsi="Times New Roman"/>
                  <w:sz w:val="16"/>
                  <w:szCs w:val="16"/>
                  <w:color w:val="0000EE"/>
                </w:rPr>
                <w:t>Consolidated Balance Sheets</w:t>
              </w:r>
            </w:hyperlink>
          </w:p>
        </w:tc>
        <w:tc>
          <w:tcPr>
            <w:tcW w:w="3640" w:type="dxa"/>
            <w:vAlign w:val="bottom"/>
            <w:gridSpan w:val="4"/>
          </w:tcPr>
          <w:p>
            <w:pPr>
              <w:spacing w:after="0"/>
              <w:rPr>
                <w:sz w:val="21"/>
                <w:szCs w:val="21"/>
                <w:color w:val="auto"/>
              </w:rPr>
            </w:pP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1">
              <w:r>
                <w:rPr>
                  <w:rFonts w:ascii="Times New Roman" w:cs="Times New Roman" w:eastAsia="Times New Roman" w:hAnsi="Times New Roman"/>
                  <w:sz w:val="16"/>
                  <w:szCs w:val="16"/>
                  <w:color w:val="0000EE"/>
                  <w:w w:val="99"/>
                </w:rPr>
                <w:t>50</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Consolidated Statements of Operations and Comprehensive Income (Loss)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2">
              <w:r>
                <w:rPr>
                  <w:rFonts w:ascii="Times New Roman" w:cs="Times New Roman" w:eastAsia="Times New Roman" w:hAnsi="Times New Roman"/>
                  <w:sz w:val="16"/>
                  <w:szCs w:val="16"/>
                  <w:color w:val="0000EE"/>
                  <w:w w:val="99"/>
                </w:rPr>
                <w:t>51</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40" w:type="dxa"/>
            <w:vAlign w:val="bottom"/>
            <w:gridSpan w:val="20"/>
          </w:tcPr>
          <w:p>
            <w:pPr>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color w:val="0000EE"/>
                </w:rPr>
                <w:t>Consolidated Statements of Cash Flows</w:t>
              </w:r>
            </w:hyperlink>
          </w:p>
        </w:tc>
        <w:tc>
          <w:tcPr>
            <w:tcW w:w="2720" w:type="dxa"/>
            <w:vAlign w:val="bottom"/>
          </w:tcPr>
          <w:p>
            <w:pPr>
              <w:spacing w:after="0"/>
              <w:rPr>
                <w:sz w:val="21"/>
                <w:szCs w:val="21"/>
                <w:color w:val="auto"/>
              </w:rPr>
            </w:pP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3">
              <w:r>
                <w:rPr>
                  <w:rFonts w:ascii="Times New Roman" w:cs="Times New Roman" w:eastAsia="Times New Roman" w:hAnsi="Times New Roman"/>
                  <w:sz w:val="16"/>
                  <w:szCs w:val="16"/>
                  <w:color w:val="0000EE"/>
                  <w:w w:val="99"/>
                </w:rPr>
                <w:t>52</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20" w:type="dxa"/>
            <w:vAlign w:val="bottom"/>
            <w:gridSpan w:val="15"/>
          </w:tcPr>
          <w:p>
            <w:pPr>
              <w:spacing w:after="0"/>
              <w:rPr>
                <w:rFonts w:ascii="Times New Roman" w:cs="Times New Roman" w:eastAsia="Times New Roman" w:hAnsi="Times New Roman"/>
                <w:sz w:val="16"/>
                <w:szCs w:val="16"/>
                <w:color w:val="0000EE"/>
                <w:w w:val="98"/>
              </w:rPr>
            </w:pPr>
            <w:hyperlink w:anchor="page56">
              <w:r>
                <w:rPr>
                  <w:rFonts w:ascii="Times New Roman" w:cs="Times New Roman" w:eastAsia="Times New Roman" w:hAnsi="Times New Roman"/>
                  <w:sz w:val="16"/>
                  <w:szCs w:val="16"/>
                  <w:color w:val="0000EE"/>
                  <w:w w:val="98"/>
                </w:rPr>
                <w:t>Consolidated Statements of Stockholders' Equity</w:t>
              </w:r>
            </w:hyperlink>
          </w:p>
        </w:tc>
        <w:tc>
          <w:tcPr>
            <w:tcW w:w="4440" w:type="dxa"/>
            <w:vAlign w:val="bottom"/>
            <w:gridSpan w:val="6"/>
          </w:tcPr>
          <w:p>
            <w:pPr>
              <w:spacing w:after="0"/>
              <w:rPr>
                <w:sz w:val="21"/>
                <w:szCs w:val="21"/>
                <w:color w:val="auto"/>
              </w:rPr>
            </w:pP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6">
              <w:r>
                <w:rPr>
                  <w:rFonts w:ascii="Times New Roman" w:cs="Times New Roman" w:eastAsia="Times New Roman" w:hAnsi="Times New Roman"/>
                  <w:sz w:val="16"/>
                  <w:szCs w:val="16"/>
                  <w:color w:val="0000EE"/>
                  <w:w w:val="99"/>
                </w:rPr>
                <w:t>54</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EE"/>
            </w:tcBorders>
            <w:gridSpan w:val="13"/>
          </w:tcPr>
          <w:p>
            <w:pPr>
              <w:jc w:val="center"/>
              <w:spacing w:after="0"/>
              <w:rPr>
                <w:rFonts w:ascii="Times New Roman" w:cs="Times New Roman" w:eastAsia="Times New Roman" w:hAnsi="Times New Roman"/>
                <w:sz w:val="16"/>
                <w:szCs w:val="16"/>
                <w:color w:val="0000EE"/>
              </w:rPr>
            </w:pPr>
            <w:hyperlink w:anchor="page57">
              <w:r>
                <w:rPr>
                  <w:rFonts w:ascii="Times New Roman" w:cs="Times New Roman" w:eastAsia="Times New Roman" w:hAnsi="Times New Roman"/>
                  <w:sz w:val="16"/>
                  <w:szCs w:val="16"/>
                  <w:color w:val="0000EE"/>
                </w:rPr>
                <w:t>Notes to Consolidated Financial Statements</w:t>
              </w:r>
            </w:hyperlink>
          </w:p>
        </w:tc>
        <w:tc>
          <w:tcPr>
            <w:tcW w:w="29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57">
              <w:r>
                <w:rPr>
                  <w:rFonts w:ascii="Times New Roman" w:cs="Times New Roman" w:eastAsia="Times New Roman" w:hAnsi="Times New Roman"/>
                  <w:sz w:val="16"/>
                  <w:szCs w:val="16"/>
                  <w:color w:val="0000EE"/>
                </w:rPr>
                <w:t>Note 1.</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57">
              <w:r>
                <w:rPr>
                  <w:rFonts w:ascii="Times New Roman" w:cs="Times New Roman" w:eastAsia="Times New Roman" w:hAnsi="Times New Roman"/>
                  <w:sz w:val="16"/>
                  <w:szCs w:val="16"/>
                  <w:color w:val="0000EE"/>
                </w:rPr>
                <w:t>Nature of Operations and Principles of Consolidation</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7">
              <w:r>
                <w:rPr>
                  <w:rFonts w:ascii="Times New Roman" w:cs="Times New Roman" w:eastAsia="Times New Roman" w:hAnsi="Times New Roman"/>
                  <w:sz w:val="16"/>
                  <w:szCs w:val="16"/>
                  <w:color w:val="0000EE"/>
                  <w:w w:val="99"/>
                </w:rPr>
                <w:t>55</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Note 2.</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Change in Accounting Principle</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8">
              <w:r>
                <w:rPr>
                  <w:rFonts w:ascii="Times New Roman" w:cs="Times New Roman" w:eastAsia="Times New Roman" w:hAnsi="Times New Roman"/>
                  <w:sz w:val="16"/>
                  <w:szCs w:val="16"/>
                  <w:color w:val="0000EE"/>
                  <w:w w:val="99"/>
                </w:rPr>
                <w:t>56</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Note 3.</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Summary of Significant Accounting Policies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58">
              <w:r>
                <w:rPr>
                  <w:rFonts w:ascii="Times New Roman" w:cs="Times New Roman" w:eastAsia="Times New Roman" w:hAnsi="Times New Roman"/>
                  <w:sz w:val="16"/>
                  <w:szCs w:val="16"/>
                  <w:color w:val="0000EE"/>
                  <w:w w:val="99"/>
                </w:rPr>
                <w:t>56</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Note 4.</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Revenue Recognition</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2">
              <w:r>
                <w:rPr>
                  <w:rFonts w:ascii="Times New Roman" w:cs="Times New Roman" w:eastAsia="Times New Roman" w:hAnsi="Times New Roman"/>
                  <w:sz w:val="16"/>
                  <w:szCs w:val="16"/>
                  <w:color w:val="0000EE"/>
                  <w:w w:val="99"/>
                </w:rPr>
                <w:t>60</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Note 5.</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Property and Equipment, Net</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3">
              <w:r>
                <w:rPr>
                  <w:rFonts w:ascii="Times New Roman" w:cs="Times New Roman" w:eastAsia="Times New Roman" w:hAnsi="Times New Roman"/>
                  <w:sz w:val="16"/>
                  <w:szCs w:val="16"/>
                  <w:color w:val="0000EE"/>
                  <w:w w:val="99"/>
                </w:rPr>
                <w:t>61</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Note 6.</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Goodwill and Intangibles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4">
              <w:r>
                <w:rPr>
                  <w:rFonts w:ascii="Times New Roman" w:cs="Times New Roman" w:eastAsia="Times New Roman" w:hAnsi="Times New Roman"/>
                  <w:sz w:val="16"/>
                  <w:szCs w:val="16"/>
                  <w:color w:val="0000EE"/>
                  <w:w w:val="99"/>
                </w:rPr>
                <w:t>62</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Note 7.</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Accrued Expenses and Other Current Liabilities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5">
              <w:r>
                <w:rPr>
                  <w:rFonts w:ascii="Times New Roman" w:cs="Times New Roman" w:eastAsia="Times New Roman" w:hAnsi="Times New Roman"/>
                  <w:sz w:val="16"/>
                  <w:szCs w:val="16"/>
                  <w:color w:val="0000EE"/>
                  <w:w w:val="99"/>
                </w:rPr>
                <w:t>63</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Note 8.</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Long-Term Debt and Line of Credit</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5">
              <w:r>
                <w:rPr>
                  <w:rFonts w:ascii="Times New Roman" w:cs="Times New Roman" w:eastAsia="Times New Roman" w:hAnsi="Times New Roman"/>
                  <w:sz w:val="16"/>
                  <w:szCs w:val="16"/>
                  <w:color w:val="0000EE"/>
                  <w:w w:val="99"/>
                </w:rPr>
                <w:t>63</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6">
              <w:r>
                <w:rPr>
                  <w:rFonts w:ascii="Times New Roman" w:cs="Times New Roman" w:eastAsia="Times New Roman" w:hAnsi="Times New Roman"/>
                  <w:sz w:val="16"/>
                  <w:szCs w:val="16"/>
                  <w:color w:val="0000EE"/>
                </w:rPr>
                <w:t>Note 9.</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66">
              <w:r>
                <w:rPr>
                  <w:rFonts w:ascii="Times New Roman" w:cs="Times New Roman" w:eastAsia="Times New Roman" w:hAnsi="Times New Roman"/>
                  <w:sz w:val="16"/>
                  <w:szCs w:val="16"/>
                  <w:color w:val="0000EE"/>
                </w:rPr>
                <w:t>Fair Value of Financial Instruments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6">
              <w:r>
                <w:rPr>
                  <w:rFonts w:ascii="Times New Roman" w:cs="Times New Roman" w:eastAsia="Times New Roman" w:hAnsi="Times New Roman"/>
                  <w:sz w:val="16"/>
                  <w:szCs w:val="16"/>
                  <w:color w:val="0000EE"/>
                  <w:w w:val="99"/>
                </w:rPr>
                <w:t>64</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67">
              <w:r>
                <w:rPr>
                  <w:rFonts w:ascii="Times New Roman" w:cs="Times New Roman" w:eastAsia="Times New Roman" w:hAnsi="Times New Roman"/>
                  <w:sz w:val="16"/>
                  <w:szCs w:val="16"/>
                  <w:color w:val="0000EE"/>
                </w:rPr>
                <w:t>Note 10.</w:t>
              </w:r>
            </w:hyperlink>
          </w:p>
        </w:tc>
        <w:tc>
          <w:tcPr>
            <w:tcW w:w="7560" w:type="dxa"/>
            <w:vAlign w:val="bottom"/>
            <w:gridSpan w:val="21"/>
          </w:tcPr>
          <w:p>
            <w:pPr>
              <w:spacing w:after="0"/>
              <w:rPr>
                <w:sz w:val="20"/>
                <w:szCs w:val="20"/>
                <w:color w:val="auto"/>
              </w:rPr>
            </w:pPr>
            <w:r>
              <w:rPr>
                <w:rFonts w:ascii="Times New Roman" w:cs="Times New Roman" w:eastAsia="Times New Roman" w:hAnsi="Times New Roman"/>
                <w:sz w:val="16"/>
                <w:szCs w:val="16"/>
                <w:color w:val="0000EE"/>
              </w:rPr>
              <w:t>Income Taxes</w:t>
            </w: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67">
              <w:r>
                <w:rPr>
                  <w:rFonts w:ascii="Times New Roman" w:cs="Times New Roman" w:eastAsia="Times New Roman" w:hAnsi="Times New Roman"/>
                  <w:sz w:val="16"/>
                  <w:szCs w:val="16"/>
                  <w:color w:val="0000EE"/>
                  <w:w w:val="99"/>
                </w:rPr>
                <w:t>65</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60" w:type="dxa"/>
            <w:vAlign w:val="bottom"/>
            <w:gridSpan w:val="2"/>
          </w:tcPr>
          <w:p>
            <w:pPr>
              <w:spacing w:after="0"/>
              <w:rPr>
                <w:rFonts w:ascii="Times New Roman" w:cs="Times New Roman" w:eastAsia="Times New Roman" w:hAnsi="Times New Roman"/>
                <w:sz w:val="16"/>
                <w:szCs w:val="16"/>
                <w:color w:val="0000EE"/>
                <w:w w:val="97"/>
              </w:rPr>
            </w:pPr>
            <w:hyperlink w:anchor="page70">
              <w:r>
                <w:rPr>
                  <w:rFonts w:ascii="Times New Roman" w:cs="Times New Roman" w:eastAsia="Times New Roman" w:hAnsi="Times New Roman"/>
                  <w:sz w:val="16"/>
                  <w:szCs w:val="16"/>
                  <w:color w:val="0000EE"/>
                  <w:w w:val="97"/>
                </w:rPr>
                <w:t>Note 11.</w:t>
              </w:r>
            </w:hyperlink>
          </w:p>
        </w:tc>
        <w:tc>
          <w:tcPr>
            <w:tcW w:w="1240" w:type="dxa"/>
            <w:vAlign w:val="bottom"/>
          </w:tcPr>
          <w:p>
            <w:pPr>
              <w:spacing w:after="0"/>
              <w:rPr>
                <w:sz w:val="20"/>
                <w:szCs w:val="20"/>
                <w:color w:val="auto"/>
              </w:rPr>
            </w:pPr>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Commitments and Contingencies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0">
              <w:r>
                <w:rPr>
                  <w:rFonts w:ascii="Times New Roman" w:cs="Times New Roman" w:eastAsia="Times New Roman" w:hAnsi="Times New Roman"/>
                  <w:sz w:val="16"/>
                  <w:szCs w:val="16"/>
                  <w:color w:val="0000EE"/>
                  <w:w w:val="99"/>
                </w:rPr>
                <w:t>68</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Note 12.</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Stockholder’s Equity</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1">
              <w:r>
                <w:rPr>
                  <w:rFonts w:ascii="Times New Roman" w:cs="Times New Roman" w:eastAsia="Times New Roman" w:hAnsi="Times New Roman"/>
                  <w:sz w:val="16"/>
                  <w:szCs w:val="16"/>
                  <w:color w:val="0000EE"/>
                  <w:w w:val="99"/>
                </w:rPr>
                <w:t>69</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Note 13.</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1">
              <w:r>
                <w:rPr>
                  <w:rFonts w:ascii="Times New Roman" w:cs="Times New Roman" w:eastAsia="Times New Roman" w:hAnsi="Times New Roman"/>
                  <w:sz w:val="16"/>
                  <w:szCs w:val="16"/>
                  <w:color w:val="0000EE"/>
                </w:rPr>
                <w:t>Earnings Per Share</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1">
              <w:r>
                <w:rPr>
                  <w:rFonts w:ascii="Times New Roman" w:cs="Times New Roman" w:eastAsia="Times New Roman" w:hAnsi="Times New Roman"/>
                  <w:sz w:val="16"/>
                  <w:szCs w:val="16"/>
                  <w:color w:val="0000EE"/>
                  <w:w w:val="99"/>
                </w:rPr>
                <w:t>69</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Note 14.</w:t>
              </w:r>
            </w:hyperlink>
          </w:p>
        </w:tc>
        <w:tc>
          <w:tcPr>
            <w:tcW w:w="7560" w:type="dxa"/>
            <w:vAlign w:val="bottom"/>
            <w:gridSpan w:val="21"/>
          </w:tcPr>
          <w:p>
            <w:pPr>
              <w:spacing w:after="0"/>
              <w:rPr>
                <w:sz w:val="20"/>
                <w:szCs w:val="20"/>
                <w:color w:val="auto"/>
              </w:rPr>
            </w:pPr>
            <w:r>
              <w:rPr>
                <w:rFonts w:ascii="Times New Roman" w:cs="Times New Roman" w:eastAsia="Times New Roman" w:hAnsi="Times New Roman"/>
                <w:sz w:val="16"/>
                <w:szCs w:val="16"/>
                <w:color w:val="0000EE"/>
              </w:rPr>
              <w:t>Stock Option Plan</w:t>
            </w: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2">
              <w:r>
                <w:rPr>
                  <w:rFonts w:ascii="Times New Roman" w:cs="Times New Roman" w:eastAsia="Times New Roman" w:hAnsi="Times New Roman"/>
                  <w:sz w:val="16"/>
                  <w:szCs w:val="16"/>
                  <w:color w:val="0000EE"/>
                  <w:w w:val="99"/>
                </w:rPr>
                <w:t>70</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5">
              <w:r>
                <w:rPr>
                  <w:rFonts w:ascii="Times New Roman" w:cs="Times New Roman" w:eastAsia="Times New Roman" w:hAnsi="Times New Roman"/>
                  <w:sz w:val="16"/>
                  <w:szCs w:val="16"/>
                  <w:color w:val="0000EE"/>
                </w:rPr>
                <w:t>Note 15.</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5">
              <w:r>
                <w:rPr>
                  <w:rFonts w:ascii="Times New Roman" w:cs="Times New Roman" w:eastAsia="Times New Roman" w:hAnsi="Times New Roman"/>
                  <w:sz w:val="16"/>
                  <w:szCs w:val="16"/>
                  <w:color w:val="0000EE"/>
                </w:rPr>
                <w:t>Related Party Transactions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5">
              <w:r>
                <w:rPr>
                  <w:rFonts w:ascii="Times New Roman" w:cs="Times New Roman" w:eastAsia="Times New Roman" w:hAnsi="Times New Roman"/>
                  <w:sz w:val="16"/>
                  <w:szCs w:val="16"/>
                  <w:color w:val="0000EE"/>
                  <w:w w:val="99"/>
                </w:rPr>
                <w:t>73</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Note 16.</w:t>
            </w:r>
          </w:p>
        </w:tc>
        <w:tc>
          <w:tcPr>
            <w:tcW w:w="7560" w:type="dxa"/>
            <w:vAlign w:val="bottom"/>
            <w:gridSpan w:val="21"/>
          </w:tcPr>
          <w:p>
            <w:pPr>
              <w:spacing w:after="0"/>
              <w:rPr>
                <w:sz w:val="20"/>
                <w:szCs w:val="20"/>
                <w:color w:val="auto"/>
              </w:rPr>
            </w:pPr>
            <w:r>
              <w:rPr>
                <w:rFonts w:ascii="Times New Roman" w:cs="Times New Roman" w:eastAsia="Times New Roman" w:hAnsi="Times New Roman"/>
                <w:sz w:val="16"/>
                <w:szCs w:val="16"/>
                <w:color w:val="0000EE"/>
              </w:rPr>
              <w:t>Segment and Customer Information</w:t>
            </w:r>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6">
              <w:r>
                <w:rPr>
                  <w:rFonts w:ascii="Times New Roman" w:cs="Times New Roman" w:eastAsia="Times New Roman" w:hAnsi="Times New Roman"/>
                  <w:sz w:val="16"/>
                  <w:szCs w:val="16"/>
                  <w:color w:val="0000EE"/>
                  <w:w w:val="99"/>
                </w:rPr>
                <w:t>74</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0"/>
            <w:shd w:val="clear" w:color="auto" w:fill="0000EE"/>
          </w:tcPr>
          <w:p>
            <w:pPr>
              <w:spacing w:after="0" w:line="20" w:lineRule="exact"/>
              <w:rPr>
                <w:sz w:val="1"/>
                <w:szCs w:val="1"/>
                <w:color w:val="auto"/>
              </w:rPr>
            </w:pPr>
          </w:p>
        </w:tc>
        <w:tc>
          <w:tcPr>
            <w:tcW w:w="5260" w:type="dxa"/>
            <w:vAlign w:val="bottom"/>
            <w:tcBorders>
              <w:left w:val="single" w:sz="8" w:color="0000EE"/>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Note 17.</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Unaudited Quarterly Financial Data</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7">
              <w:r>
                <w:rPr>
                  <w:rFonts w:ascii="Times New Roman" w:cs="Times New Roman" w:eastAsia="Times New Roman" w:hAnsi="Times New Roman"/>
                  <w:sz w:val="16"/>
                  <w:szCs w:val="16"/>
                  <w:color w:val="0000EE"/>
                  <w:w w:val="99"/>
                </w:rPr>
                <w:t>75</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10"/>
            <w:shd w:val="clear" w:color="auto" w:fill="0000EE"/>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0" w:type="dxa"/>
            <w:vAlign w:val="bottom"/>
            <w:gridSpan w:val="3"/>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Note 18.</w:t>
              </w:r>
            </w:hyperlink>
          </w:p>
        </w:tc>
        <w:tc>
          <w:tcPr>
            <w:tcW w:w="7560" w:type="dxa"/>
            <w:vAlign w:val="bottom"/>
            <w:gridSpan w:val="21"/>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Subsequent Events</w:t>
              </w:r>
            </w:hyperlink>
          </w:p>
        </w:tc>
        <w:tc>
          <w:tcPr>
            <w:tcW w:w="240" w:type="dxa"/>
            <w:vAlign w:val="bottom"/>
            <w:gridSpan w:val="2"/>
          </w:tcPr>
          <w:p>
            <w:pPr>
              <w:jc w:val="center"/>
              <w:spacing w:after="0"/>
              <w:rPr>
                <w:rFonts w:ascii="Times New Roman" w:cs="Times New Roman" w:eastAsia="Times New Roman" w:hAnsi="Times New Roman"/>
                <w:sz w:val="16"/>
                <w:szCs w:val="16"/>
                <w:color w:val="0000EE"/>
                <w:w w:val="99"/>
              </w:rPr>
            </w:pPr>
            <w:hyperlink w:anchor="page77">
              <w:r>
                <w:rPr>
                  <w:rFonts w:ascii="Times New Roman" w:cs="Times New Roman" w:eastAsia="Times New Roman" w:hAnsi="Times New Roman"/>
                  <w:sz w:val="16"/>
                  <w:szCs w:val="16"/>
                  <w:color w:val="0000EE"/>
                  <w:w w:val="99"/>
                </w:rPr>
                <w:t>75</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400"/>
          </w:cols>
          <w:pgMar w:left="240" w:top="360"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Simply Good Foods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The Simply Good Foods Company and subsidiaries (the "Company") as of August 31, 2019, the related consolidated statements of operations and comprehensive income (loss), stockholders' equity (deficit), and cash flows, for the period ended August 31, 2019, and the related notes (collectively referred to as the “financial statements”). In our opinion, the financial statements present fairly, in all material respects, the financial position of the Company as of August 31, 2019, and the results of its operations and its cash flows for the period ended August 31, 2019, in conformity with accounting principles generally accepted in the United States of America.</w:t>
      </w:r>
    </w:p>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August 31, 2019, based on criteria established in Internal Control - Integrated Framework (2013) issued by the Committee of Sponsoring Organizations of the Treadway Commission and our report dated October 30, 2019,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to the financial statements, the Company has elected to change its method of accounting to reclassify shipping and handling costs relating to the delivery of products to customers from distribution expense to cost of goods sold in the year ended August 31, 2019. This change in accounting principle has been retrospectively applied to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Promotions - Refer to Note 4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costs. These estimates are made using various information including historical data on performance of similar trade promotional activities, as well market data, and the Company’s best estimates of current activity. As of August 31, 2019, the allowance for trade promotions balance, which is recorded as a reduction to accounts receivable, was approximately $10.3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56" w:right="2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Given the subjectivity of estimating the expected promotional claims and the volume of trade promotions, performing audit procedures to evaluate whether the allowance for trade promotion balance is appropriately recorded as of August 31, 2019, required a high degree of auditor judgment and an increased extent of effort.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allowance for trade promotion balance included the following, among others: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allowances for trade promotion balances recorded as of August 31, 2019, we:</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Confirmed contract terms directly with the customer.</w:t>
      </w:r>
    </w:p>
    <w:p>
      <w:pPr>
        <w:spacing w:after="0" w:line="117"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Agreed contract terms from the accounting records to the promotion agreement with the customer and verified that the promotion period was prior to September 1, 2019.</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presented or resolved after August 31, 2019, we compared that amount to the August 31, 2019 allowance for promotion balance and traced presented or resolved deduction to a properly recorded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64" w:right="2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Simply Good Foods Company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Simply Good Foods Company and subsidiaries (successor) as of August 25, 2018, and the related successor consolidated statements of operations and comprehensive income (loss), changes in stockholders’ equity, and cash flows for the 52-weeks ended August 25, 2018 and from July 7, 2017 through August 26, 2017. We have also audited the accompanying consolidated statements of operations and comprehensive income (loss), changes in stockholders’ equity (deficit), and cash flows of NCP-ATK Holdings, Inc. and subsidiaries (predecessor) for the period from August 28, 2016 through July 6, 2017, and the related notes (collectively referred to as the “consolidated financial statements”). In our opinion, the consolidated financial statements present fairly, in all material respects, the financial position of the Company at August 25, 2018 and the results of its operations and its cash flows for the 52-weeks ended August 25, 2018 and from July 7, 2017 through August 26, 2017 as well as the predecessor results for the period from August 28, 2016 through July 6, 2017,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elected to change its principle of accounting for the classification of shipping &amp; handling costs relating to the delivery of products to customers from operating expenses to cost of sales in the 52-week period ended August 31, 2019. This change in accounting principle has been retrospectively applied to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2011 to February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with respect to our opinion on the consolidated financial statements insofar as it relates to the effects of the accounting principle change discussed in Note 2, as to which the date 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64"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1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August 25, 2018</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(Successor)</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111,971</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21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312,643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471,427</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974,605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TRA liability</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190,935</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portion of TRA liability</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54,475</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302,004</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11)</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81,973,284 and 70,605,675 issued at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31, 2019 and August 25, 2018, respectively</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98,234 and 0 shares at cost at August 31, 2019 and August 25, 2018,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614,399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58,294</w:t>
            </w:r>
          </w:p>
        </w:tc>
        <w:tc>
          <w:tcPr>
            <w:tcW w:w="0" w:type="dxa"/>
            <w:vAlign w:val="bottom"/>
          </w:tcPr>
          <w:p>
            <w:pPr>
              <w:spacing w:after="0"/>
              <w:rPr>
                <w:sz w:val="1"/>
                <w:szCs w:val="1"/>
                <w:color w:val="auto"/>
              </w:rPr>
            </w:pPr>
          </w:p>
        </w:tc>
      </w:tr>
      <w:tr>
        <w:trPr>
          <w:trHeight w:val="237"/>
        </w:trPr>
        <w:tc>
          <w:tcPr>
            <w:tcW w:w="7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672,601</w:t>
            </w:r>
          </w:p>
        </w:tc>
        <w:tc>
          <w:tcPr>
            <w:tcW w:w="0" w:type="dxa"/>
            <w:vAlign w:val="bottom"/>
          </w:tcPr>
          <w:p>
            <w:pPr>
              <w:spacing w:after="0"/>
              <w:rPr>
                <w:sz w:val="1"/>
                <w:szCs w:val="1"/>
                <w:color w:val="auto"/>
              </w:rPr>
            </w:pPr>
          </w:p>
        </w:tc>
      </w:tr>
      <w:tr>
        <w:trPr>
          <w:trHeight w:val="24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1,141,650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974,605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84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240" w:top="121" w:right="919" w:bottom="1440" w:gutter="0" w:footer="0" w:header="0"/>
        </w:sectPr>
      </w:pP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40"/>
          </w:cols>
          <w:pgMar w:left="240" w:top="121" w:right="9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920" w:righ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Simply Good Foods Company and Subsidiaries Consolidated Statements of Operations and Comprehensive Income (Loss) </w:t>
      </w:r>
      <w:r>
        <w:rPr>
          <w:rFonts w:ascii="Times New Roman" w:cs="Times New Roman" w:eastAsia="Times New Roman" w:hAnsi="Times New Roman"/>
          <w:sz w:val="18"/>
          <w:szCs w:val="18"/>
          <w:i w:val="1"/>
          <w:iCs w:val="1"/>
          <w:color w:val="auto"/>
        </w:rPr>
        <w:t>(In thousands, except share and per share data)</w:t>
      </w:r>
    </w:p>
    <w:p>
      <w:pPr>
        <w:spacing w:after="0" w:line="92"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53-Weeks Ended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9"/>
                <w:szCs w:val="19"/>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From July 7, 2017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From August 28,</w:t>
            </w: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2016 through July</w:t>
            </w:r>
          </w:p>
        </w:tc>
      </w:tr>
      <w:tr>
        <w:trPr>
          <w:trHeight w:val="210"/>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31, 2019</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25, 2018</w:t>
            </w: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6, 2017</w:t>
            </w:r>
          </w:p>
        </w:tc>
      </w:tr>
      <w:tr>
        <w:trPr>
          <w:trHeight w:val="3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(Predecessor)</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339,837</w:t>
            </w: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39,584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200,026</w:t>
            </w: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217,405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139,811</w:t>
            </w:r>
          </w:p>
        </w:tc>
      </w:tr>
      <w:tr>
        <w:trPr>
          <w:trHeight w:val="297"/>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67,488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47,494</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34,567</w:t>
            </w: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8,409</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25,608</w:t>
            </w:r>
          </w:p>
        </w:tc>
      </w:tr>
      <w:tr>
        <w:trPr>
          <w:trHeight w:val="21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in fair value change of contingent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consideration - TRA liability</w:t>
            </w: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144,596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14,891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116,078</w:t>
            </w:r>
          </w:p>
        </w:tc>
      </w:tr>
      <w:tr>
        <w:trPr>
          <w:trHeight w:val="297"/>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23,733</w:t>
            </w:r>
          </w:p>
        </w:tc>
      </w:tr>
      <w:tr>
        <w:trPr>
          <w:trHeight w:val="297"/>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warrant liabilities</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722</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settlement of TRA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r>
      <w:tr>
        <w:trPr>
          <w:trHeight w:val="21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(21,648)</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2,085</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4,570</w:t>
            </w:r>
          </w:p>
        </w:tc>
      </w:tr>
      <w:tr>
        <w:trPr>
          <w:trHeight w:val="21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47,536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8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47,498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(2,684)</w:t>
            </w:r>
          </w:p>
        </w:tc>
      </w:tr>
      <w:tr>
        <w:trPr>
          <w:trHeight w:val="284"/>
        </w:trPr>
        <w:tc>
          <w:tcPr>
            <w:tcW w:w="4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80,734,091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70,582,149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70,562,477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85,243,909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73,681,355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71,254,770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2"/>
        </w:trPr>
        <w:tc>
          <w:tcPr>
            <w:tcW w:w="7260" w:type="dxa"/>
            <w:vAlign w:val="bottom"/>
            <w:gridSpan w:val="8"/>
          </w:tcPr>
          <w:p>
            <w:pPr>
              <w:ind w:left="282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740"/>
          </w:cols>
          <w:pgMar w:left="240" w:top="121" w:right="919" w:bottom="1440" w:gutter="0" w:footer="0" w:header="0"/>
        </w:sectPr>
      </w:pPr>
    </w:p>
    <w:p>
      <w:pPr>
        <w:spacing w:after="0" w:line="1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40"/>
          </w:cols>
          <w:pgMar w:left="240" w:top="121" w:right="919" w:bottom="1440" w:gutter="0" w:footer="0" w:header="0"/>
          <w:type w:val="continuous"/>
        </w:sectPr>
      </w:pPr>
    </w:p>
    <w:bookmarkStart w:id="52" w:name="page53"/>
    <w:bookmarkEnd w:id="52"/>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53-Weeks Ended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From July 7, 2017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From August 28,</w:t>
            </w: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2016 through July</w:t>
            </w:r>
          </w:p>
        </w:tc>
      </w:tr>
      <w:tr>
        <w:trPr>
          <w:trHeight w:val="210"/>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31, 2019</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25, 2018</w:t>
            </w: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6, 2017</w:t>
            </w:r>
          </w:p>
        </w:tc>
      </w:tr>
      <w:tr>
        <w:trPr>
          <w:trHeight w:val="3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(Successor)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(Predecessor)</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8,617</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discount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1,950</w:t>
            </w:r>
          </w:p>
        </w:tc>
      </w:tr>
      <w:tr>
        <w:trPr>
          <w:trHeight w:val="237"/>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2,441</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warrant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in fair value change of contingent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consideration - TRA liability</w:t>
            </w: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settlement of TRA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r>
      <w:tr>
        <w:trPr>
          <w:trHeight w:val="237"/>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14,447</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1,912</w:t>
            </w:r>
          </w:p>
        </w:tc>
      </w:tr>
      <w:tr>
        <w:trPr>
          <w:trHeight w:val="237"/>
        </w:trPr>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w:t>
            </w:r>
          </w:p>
        </w:tc>
      </w:tr>
      <w:tr>
        <w:trPr>
          <w:trHeight w:val="237"/>
        </w:trPr>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w:t>
            </w:r>
          </w:p>
        </w:tc>
      </w:tr>
      <w:tr>
        <w:trPr>
          <w:trHeight w:val="237"/>
        </w:trPr>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21,459</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73,042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21,939</w:t>
            </w: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Investing activities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(19,960)</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withdrawn from trust account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403,979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(197,304)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(20,458)</w:t>
            </w: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Financing activities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received from warrant exercises</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Excess tax benefits of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 of TRA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(53,586)</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issuance of private placement equity, net of</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4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costs</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97,000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long term debt, net of issuance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4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191,899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of Conyers Park deferred equity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83,376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280,799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(53,536)</w:t>
            </w: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increase in cash</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(52,055)</w:t>
            </w:r>
          </w:p>
        </w:tc>
      </w:tr>
      <w:tr>
        <w:trPr>
          <w:trHeight w:val="237"/>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111,971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78,492</w:t>
            </w:r>
          </w:p>
        </w:tc>
      </w:tr>
      <w:tr>
        <w:trPr>
          <w:trHeight w:val="250"/>
        </w:trPr>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266,341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111,971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56,501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26,427</w:t>
            </w:r>
          </w:p>
        </w:tc>
      </w:tr>
    </w:tbl>
    <w:p>
      <w:pPr>
        <w:sectPr>
          <w:pgSz w:w="11900" w:h="16900" w:orient="portrait"/>
          <w:cols w:equalWidth="0" w:num="1">
            <w:col w:w="10740"/>
          </w:cols>
          <w:pgMar w:left="240" w:top="121" w:right="919"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364" w:right="1440"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6"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53-Weeks Ended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52-Weeks Ended</w:t>
            </w:r>
          </w:p>
        </w:tc>
        <w:tc>
          <w:tcPr>
            <w:tcW w:w="100" w:type="dxa"/>
            <w:vAlign w:val="bottom"/>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From July 7, 2017</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From August 28,</w:t>
            </w:r>
          </w:p>
        </w:tc>
      </w:t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2016 through July</w:t>
            </w:r>
          </w:p>
        </w:tc>
      </w:tr>
      <w:tr>
        <w:trPr>
          <w:trHeight w:val="210"/>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August 31, 2019</w:t>
            </w:r>
          </w:p>
        </w:tc>
        <w:tc>
          <w:tcPr>
            <w:tcW w:w="12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August 25, 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6, 2017</w:t>
            </w:r>
          </w:p>
        </w:tc>
      </w:tr>
      <w:tr>
        <w:trPr>
          <w:trHeight w:val="33"/>
        </w:trPr>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(Predecessor)</w:t>
            </w:r>
          </w:p>
        </w:tc>
      </w:tr>
      <w:tr>
        <w:trPr>
          <w:trHeight w:val="33"/>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11,218</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24,334</w:t>
            </w:r>
          </w:p>
        </w:tc>
      </w:tr>
      <w:tr>
        <w:trPr>
          <w:trHeight w:val="33"/>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w:t>
            </w:r>
          </w:p>
        </w:tc>
      </w:tr>
      <w:tr>
        <w:trPr>
          <w:trHeight w:val="33"/>
        </w:trPr>
        <w:tc>
          <w:tcPr>
            <w:tcW w:w="4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40"/>
          </w:cols>
          <w:pgMar w:left="240" w:top="121" w:right="9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b w:val="1"/>
          <w:bCs w:val="1"/>
          <w:color w:val="auto"/>
        </w:rPr>
        <w:t>NCP - ATK Holdings,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6354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36"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ind w:left="380"/>
              <w:spacing w:after="0" w:line="141" w:lineRule="exact"/>
              <w:rPr>
                <w:sz w:val="20"/>
                <w:szCs w:val="20"/>
                <w:color w:val="auto"/>
              </w:rPr>
            </w:pPr>
            <w:r>
              <w:rPr>
                <w:rFonts w:ascii="Times New Roman" w:cs="Times New Roman" w:eastAsia="Times New Roman" w:hAnsi="Times New Roman"/>
                <w:sz w:val="15"/>
                <w:szCs w:val="15"/>
                <w:b w:val="1"/>
                <w:bCs w:val="1"/>
                <w:color w:val="auto"/>
              </w:rPr>
              <w:t>Predecessor</w:t>
            </w: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60" w:type="dxa"/>
            <w:vAlign w:val="bottom"/>
          </w:tcPr>
          <w:p>
            <w:pPr>
              <w:spacing w:after="0"/>
              <w:rPr>
                <w:sz w:val="7"/>
                <w:szCs w:val="7"/>
                <w:color w:val="auto"/>
              </w:rPr>
            </w:pPr>
          </w:p>
        </w:tc>
        <w:tc>
          <w:tcPr>
            <w:tcW w:w="1280" w:type="dxa"/>
            <w:vAlign w:val="bottom"/>
            <w:gridSpan w:val="2"/>
            <w:vMerge w:val="restart"/>
          </w:tcPr>
          <w:p>
            <w:pPr>
              <w:jc w:val="center"/>
              <w:ind w:right="260"/>
              <w:spacing w:after="0" w:line="141" w:lineRule="exact"/>
              <w:rPr>
                <w:sz w:val="20"/>
                <w:szCs w:val="20"/>
                <w:color w:val="auto"/>
              </w:rPr>
            </w:pPr>
            <w:r>
              <w:rPr>
                <w:rFonts w:ascii="Times New Roman" w:cs="Times New Roman" w:eastAsia="Times New Roman" w:hAnsi="Times New Roman"/>
                <w:sz w:val="15"/>
                <w:szCs w:val="15"/>
                <w:b w:val="1"/>
                <w:bCs w:val="1"/>
                <w:color w:val="auto"/>
                <w:w w:val="99"/>
              </w:rPr>
              <w:t>(Accumulated</w:t>
            </w:r>
          </w:p>
        </w:tc>
        <w:tc>
          <w:tcPr>
            <w:tcW w:w="160" w:type="dxa"/>
            <w:vAlign w:val="bottom"/>
          </w:tcPr>
          <w:p>
            <w:pPr>
              <w:spacing w:after="0"/>
              <w:rPr>
                <w:sz w:val="7"/>
                <w:szCs w:val="7"/>
                <w:color w:val="auto"/>
              </w:rPr>
            </w:pPr>
          </w:p>
        </w:tc>
        <w:tc>
          <w:tcPr>
            <w:tcW w:w="138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0" w:type="dxa"/>
            <w:vAlign w:val="bottom"/>
          </w:tcPr>
          <w:p>
            <w:pPr>
              <w:spacing w:after="0"/>
              <w:rPr>
                <w:sz w:val="7"/>
                <w:szCs w:val="7"/>
                <w:color w:val="auto"/>
              </w:rPr>
            </w:pPr>
          </w:p>
        </w:tc>
        <w:tc>
          <w:tcPr>
            <w:tcW w:w="740" w:type="dxa"/>
            <w:vAlign w:val="bottom"/>
            <w:vMerge w:val="restart"/>
          </w:tcPr>
          <w:p>
            <w:pPr>
              <w:jc w:val="right"/>
              <w:ind w:right="223"/>
              <w:spacing w:after="0" w:line="141"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0"/>
        </w:trPr>
        <w:tc>
          <w:tcPr>
            <w:tcW w:w="1660" w:type="dxa"/>
            <w:vAlign w:val="bottom"/>
            <w:gridSpan w:val="2"/>
            <w:vMerge w:val="continue"/>
          </w:tcPr>
          <w:p>
            <w:pPr>
              <w:spacing w:after="0"/>
              <w:rPr>
                <w:sz w:val="3"/>
                <w:szCs w:val="3"/>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6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Balance, August 26,</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508,132</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vMerge w:val="restart"/>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(43,551)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16,155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(27,834)</w:t>
            </w:r>
          </w:p>
        </w:tc>
        <w:tc>
          <w:tcPr>
            <w:tcW w:w="0" w:type="dxa"/>
            <w:vAlign w:val="bottom"/>
          </w:tcPr>
          <w:p>
            <w:pPr>
              <w:spacing w:after="0"/>
              <w:rPr>
                <w:sz w:val="1"/>
                <w:szCs w:val="1"/>
                <w:color w:val="auto"/>
              </w:rPr>
            </w:pPr>
          </w:p>
        </w:tc>
      </w:tr>
      <w:tr>
        <w:trPr>
          <w:trHeight w:val="193"/>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2,441</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Excess tax benefit</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from stock-based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241"/>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July 6,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508,519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13,670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(28,027)</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5"/>
                <w:szCs w:val="15"/>
                <w:b w:val="1"/>
                <w:bCs w:val="1"/>
                <w:color w:val="auto"/>
              </w:rPr>
              <w:t>The Simply Good Foods Company and Subsidiaries</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ind w:left="460"/>
              <w:spacing w:after="0" w:line="141" w:lineRule="exact"/>
              <w:rPr>
                <w:sz w:val="20"/>
                <w:szCs w:val="20"/>
                <w:color w:val="auto"/>
              </w:rPr>
            </w:pPr>
            <w:r>
              <w:rPr>
                <w:rFonts w:ascii="Times New Roman" w:cs="Times New Roman" w:eastAsia="Times New Roman" w:hAnsi="Times New Roman"/>
                <w:sz w:val="15"/>
                <w:szCs w:val="15"/>
                <w:b w:val="1"/>
                <w:bCs w:val="1"/>
                <w:color w:val="auto"/>
              </w:rPr>
              <w:t>Successor</w:t>
            </w: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60" w:type="dxa"/>
            <w:vAlign w:val="bottom"/>
          </w:tcPr>
          <w:p>
            <w:pPr>
              <w:spacing w:after="0"/>
              <w:rPr>
                <w:sz w:val="7"/>
                <w:szCs w:val="7"/>
                <w:color w:val="auto"/>
              </w:rPr>
            </w:pPr>
          </w:p>
        </w:tc>
        <w:tc>
          <w:tcPr>
            <w:tcW w:w="1280" w:type="dxa"/>
            <w:vAlign w:val="bottom"/>
            <w:gridSpan w:val="2"/>
            <w:vMerge w:val="restart"/>
          </w:tcPr>
          <w:p>
            <w:pPr>
              <w:jc w:val="center"/>
              <w:ind w:right="260"/>
              <w:spacing w:after="0" w:line="141" w:lineRule="exact"/>
              <w:rPr>
                <w:sz w:val="20"/>
                <w:szCs w:val="20"/>
                <w:color w:val="auto"/>
              </w:rPr>
            </w:pPr>
            <w:r>
              <w:rPr>
                <w:rFonts w:ascii="Times New Roman" w:cs="Times New Roman" w:eastAsia="Times New Roman" w:hAnsi="Times New Roman"/>
                <w:sz w:val="15"/>
                <w:szCs w:val="15"/>
                <w:b w:val="1"/>
                <w:bCs w:val="1"/>
                <w:color w:val="auto"/>
                <w:w w:val="99"/>
              </w:rPr>
              <w:t>(Accumulated</w:t>
            </w:r>
          </w:p>
        </w:tc>
        <w:tc>
          <w:tcPr>
            <w:tcW w:w="160" w:type="dxa"/>
            <w:vAlign w:val="bottom"/>
          </w:tcPr>
          <w:p>
            <w:pPr>
              <w:spacing w:after="0"/>
              <w:rPr>
                <w:sz w:val="7"/>
                <w:szCs w:val="7"/>
                <w:color w:val="auto"/>
              </w:rPr>
            </w:pPr>
          </w:p>
        </w:tc>
        <w:tc>
          <w:tcPr>
            <w:tcW w:w="138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0" w:type="dxa"/>
            <w:vAlign w:val="bottom"/>
          </w:tcPr>
          <w:p>
            <w:pPr>
              <w:spacing w:after="0"/>
              <w:rPr>
                <w:sz w:val="7"/>
                <w:szCs w:val="7"/>
                <w:color w:val="auto"/>
              </w:rPr>
            </w:pPr>
          </w:p>
        </w:tc>
        <w:tc>
          <w:tcPr>
            <w:tcW w:w="740" w:type="dxa"/>
            <w:vAlign w:val="bottom"/>
            <w:vMerge w:val="restart"/>
          </w:tcPr>
          <w:p>
            <w:pPr>
              <w:jc w:val="right"/>
              <w:ind w:right="223"/>
              <w:spacing w:after="0" w:line="141"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0"/>
        </w:trPr>
        <w:tc>
          <w:tcPr>
            <w:tcW w:w="1660" w:type="dxa"/>
            <w:vAlign w:val="bottom"/>
            <w:gridSpan w:val="2"/>
            <w:vMerge w:val="continue"/>
          </w:tcPr>
          <w:p>
            <w:pPr>
              <w:spacing w:after="0"/>
              <w:rPr>
                <w:sz w:val="3"/>
                <w:szCs w:val="3"/>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July 7, 2016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70,562,477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706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609,726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597,821</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450</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412</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5"/>
                <w:szCs w:val="15"/>
                <w:color w:val="auto"/>
              </w:rPr>
              <w:t>adjustments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56"/>
        </w:trPr>
        <w:tc>
          <w:tcPr>
            <w:tcW w:w="16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August 26,</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70,562,477</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706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610,138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(12,161)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598,702</w:t>
            </w:r>
          </w:p>
        </w:tc>
        <w:tc>
          <w:tcPr>
            <w:tcW w:w="0" w:type="dxa"/>
            <w:vAlign w:val="bottom"/>
          </w:tcPr>
          <w:p>
            <w:pPr>
              <w:spacing w:after="0"/>
              <w:rPr>
                <w:sz w:val="1"/>
                <w:szCs w:val="1"/>
                <w:color w:val="auto"/>
              </w:rPr>
            </w:pPr>
          </w:p>
        </w:tc>
      </w:tr>
      <w:tr>
        <w:trPr>
          <w:trHeight w:val="193"/>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70,455</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4,029</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issued upon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vesting of Restricted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74"/>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 conversion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52"/>
        </w:trPr>
        <w:tc>
          <w:tcPr>
            <w:tcW w:w="166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Balance, August 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70,605,675</w:t>
            </w:r>
          </w:p>
        </w:tc>
        <w:tc>
          <w:tcPr>
            <w:tcW w:w="100" w:type="dxa"/>
            <w:vAlign w:val="bottom"/>
          </w:tcPr>
          <w:p>
            <w:pPr>
              <w:spacing w:after="0"/>
              <w:rPr>
                <w:sz w:val="13"/>
                <w:szCs w:val="13"/>
                <w:color w:val="auto"/>
              </w:rPr>
            </w:pPr>
          </w:p>
        </w:tc>
        <w:tc>
          <w:tcPr>
            <w:tcW w:w="420" w:type="dxa"/>
            <w:vAlign w:val="bottom"/>
            <w:vMerge w:val="restart"/>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706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614,399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58,294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2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672,601</w:t>
            </w:r>
          </w:p>
        </w:tc>
        <w:tc>
          <w:tcPr>
            <w:tcW w:w="0" w:type="dxa"/>
            <w:vAlign w:val="bottom"/>
          </w:tcPr>
          <w:p>
            <w:pPr>
              <w:spacing w:after="0"/>
              <w:rPr>
                <w:sz w:val="1"/>
                <w:szCs w:val="1"/>
                <w:color w:val="auto"/>
              </w:rPr>
            </w:pPr>
          </w:p>
        </w:tc>
      </w:tr>
      <w:tr>
        <w:trPr>
          <w:trHeight w:val="233"/>
        </w:trPr>
        <w:tc>
          <w:tcPr>
            <w:tcW w:w="1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2018</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47,536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47,536</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Stock-based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5,501</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currency</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translation</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adjustments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Repurchase of</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issued upon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vesting of Restricted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17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Exercise of options to</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 common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706</w:t>
            </w:r>
          </w:p>
        </w:tc>
        <w:tc>
          <w:tcPr>
            <w:tcW w:w="0" w:type="dxa"/>
            <w:vAlign w:val="bottom"/>
          </w:tcPr>
          <w:p>
            <w:pPr>
              <w:spacing w:after="0"/>
              <w:rPr>
                <w:sz w:val="1"/>
                <w:szCs w:val="1"/>
                <w:color w:val="auto"/>
              </w:rPr>
            </w:pPr>
          </w:p>
        </w:tc>
      </w:tr>
      <w:tr>
        <w:trPr>
          <w:trHeight w:val="274"/>
        </w:trPr>
        <w:tc>
          <w:tcPr>
            <w:tcW w:w="1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 conversion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11,200,299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112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113,352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113,464</w:t>
            </w:r>
          </w:p>
        </w:tc>
        <w:tc>
          <w:tcPr>
            <w:tcW w:w="0" w:type="dxa"/>
            <w:vAlign w:val="bottom"/>
          </w:tcPr>
          <w:p>
            <w:pPr>
              <w:spacing w:after="0"/>
              <w:rPr>
                <w:sz w:val="1"/>
                <w:szCs w:val="1"/>
                <w:color w:val="auto"/>
              </w:rPr>
            </w:pPr>
          </w:p>
        </w:tc>
      </w:tr>
      <w:tr>
        <w:trPr>
          <w:trHeight w:val="152"/>
        </w:trPr>
        <w:tc>
          <w:tcPr>
            <w:tcW w:w="166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Balance, August 31,</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81,973,284</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97"/>
              </w:rPr>
              <w:t>820</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98,234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733,775</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105,830</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837,444</w:t>
            </w:r>
          </w:p>
        </w:tc>
        <w:tc>
          <w:tcPr>
            <w:tcW w:w="0" w:type="dxa"/>
            <w:vAlign w:val="bottom"/>
          </w:tcPr>
          <w:p>
            <w:pPr>
              <w:spacing w:after="0"/>
              <w:rPr>
                <w:sz w:val="1"/>
                <w:szCs w:val="1"/>
                <w:color w:val="auto"/>
              </w:rPr>
            </w:pPr>
          </w:p>
        </w:tc>
      </w:tr>
      <w:tr>
        <w:trPr>
          <w:trHeight w:val="193"/>
        </w:trPr>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240" w:top="121" w:right="939" w:bottom="1440" w:gutter="0" w:footer="0" w:header="0"/>
        </w:sect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20"/>
          </w:cols>
          <w:pgMar w:left="240" w:top="121" w:right="9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Conyers Park Acquisition Corp (“Conyers Park”) was formed on April 20, 2016, as a special purpose acquisition company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by Conyers Park on March 30, 2017. On April 10, 2017, Conyers Park and NCP-ATK Holdings, Inc. (“Atkins”) announced that they entered into a definitive merger agreement (the “Merger Agreement”). On July 7, 2017 (the “Closing Date”), pursuant to the Merger Agreement, Conyers Park merged into Simply Good Foods, which acquired Atkins. As a result, Atkins became a wholly-owned subsidiary of Simply Good Foods (the “Business Combination”). Simply Good Foods was listed on the Nasdaq Capital Market under the symbol “SMPL” upon consummation of the Business Combination. Atkins was formerly owned by Roark Capital Management, LLC (“Roark”).</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resulted in Conyers Park controlling the Board of Directors of the combined entity. For accounting purposes, Simply Good Foods is the acquirer and the accounting “Successor” in the Business Combination while Atkins is the acquiree and accounting “Predecessor”. Our financial statement presentation includes the financial statements of Atkins as “Predecessor” for all periods prior to the Closing Date and of Simply Good Foods, including the consolidation of Atkins, for periods after the Closing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Simply Good Foods operates in the healthy snacking category. The Atkins brand approach focuses on a healthy eating approach with reduced levels of refined carbohydrates and sugars and encourages the consumption of lean protein, fiber, fruits, vegetables and healthy fats. The Company sells a variety of nutrition bars, shakes and frozen meals designed around the nutrition principles of the Atkins eating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information presented within our consolidated financial statements has been prepared pursuant to the rules and regulations of the Securities and Exchange Commission (the “SEC”). The accompanying financial statements include Consolidated Balance Sheets for the successor entity for the periods ended August 31, 2019 and August 25, 2018. The remaining financial statements include the successor fifty-three week period ended August 31, 2019, the successor fifty-two week period ended August 25, 2018, the successor period from July 7, 2017 through August 26, 2017, and the predecessor period from August 28, 2016 through July 6, 2017.</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Atkins and its subsidiaries for periods prior to the completion of the Business Combination, and Simply Good Foods and its subsidiaries for periods upon or after the completion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Amounts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Certain prior year amounts have been reclassified to conform to the current year presentation including Selling and Marketing expenses, which have been combined as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on the Consolidated Statements of Operations and Comprehensive Income (Loss) and other operating expense, which has been combined with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on the Consolidated Statements of Operations and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of Frozen Meals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 2016, the agreement with Bellisio Foods to license Atkins’ frozen meals resulting in royalty income became effective. Royalty income is recorded in net sales for the successor fifty-three week period ended August 31, 2019, the successor fifty-two week period ended August 25, 2018, the successor period from July 7, 2017 through August 26, 2017 and for the predecessor period from August 28, 2016 through July 6,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Change in Accounting Principle</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ended August 31, 2019, the Company changed its accounting principle related to the presentation of third party delivery costs associated with shipping and handling activities previously included as operating expenses in Distribution in the Consolidated Statements of Operations and Comprehensive Income (Loss). The Company is now presenting these expenses within cost of goods sold in the Consolidated Statements of Operations and Comprehensive Income (Loss). In connection with the change in accounting principle, the Company also changed its definition of shipping and handling costs to include costs paid to third-party warehouse operators associated with delivering product to a customer, previously included in General and administrative and Depreciation and amortization of the assets at the third-party warehouse, previously included in Depreciation and amortization. Under the previous definition of shipping and handling costs, the Company only included third-party delivery costs in Distribution.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believes that this change is preferable as outbound freight and distribution center expenses represent direct costs associated with the sale of our products, it better aligns these costs with the related revenue in the gross profit calculation and it improves comparability with the Company’s peers. The accounting policy change was applied retrospectively to all periods presented and the Consolidated Statements of Operations and Comprehensive Income (Loss) reflect the effect of this accounting principle change for all periods presented. This reclassification had no effect on income from operations, net income (loss) or earnings per share. The Consolidated Balance Sheets, Consolidated Statements of Stockholders’ Equity (Deficit), and the Consolidated Statements of Cash Flows are not affected by this change in accounting principle. The effect of the adjustment is as follows:</w:t>
      </w:r>
    </w:p>
    <w:p>
      <w:pPr>
        <w:spacing w:after="0" w:line="138"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Fifty-Three Weeks Ended August 31, 2019</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Under Previous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Change in Accounting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Operating</w:t>
            </w:r>
          </w:p>
        </w:tc>
        <w:tc>
          <w:tcPr>
            <w:tcW w:w="1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As Reported</w:t>
            </w:r>
          </w:p>
        </w:tc>
        <w:tc>
          <w:tcPr>
            <w:tcW w:w="0" w:type="dxa"/>
            <w:vAlign w:val="bottom"/>
          </w:tcPr>
          <w:p>
            <w:pPr>
              <w:spacing w:after="0"/>
              <w:rPr>
                <w:sz w:val="1"/>
                <w:szCs w:val="1"/>
                <w:color w:val="auto"/>
              </w:rPr>
            </w:pPr>
          </w:p>
        </w:tc>
      </w:tr>
      <w:tr>
        <w:trPr>
          <w:trHeight w:val="102"/>
        </w:trPr>
        <w:tc>
          <w:tcPr>
            <w:tcW w:w="3640" w:type="dxa"/>
            <w:vAlign w:val="bottom"/>
            <w:gridSpan w:val="2"/>
            <w:vMerge w:val="continue"/>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Method</w:t>
            </w:r>
          </w:p>
        </w:tc>
        <w:tc>
          <w:tcPr>
            <w:tcW w:w="120" w:type="dxa"/>
            <w:vAlign w:val="bottom"/>
            <w:vMerge w:val="restart"/>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Principle and Presentation</w:t>
            </w:r>
          </w:p>
        </w:tc>
        <w:tc>
          <w:tcPr>
            <w:tcW w:w="100" w:type="dxa"/>
            <w:vAlign w:val="bottom"/>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Expense </w:t>
            </w:r>
            <w:r>
              <w:rPr>
                <w:rFonts w:ascii="Times New Roman" w:cs="Times New Roman" w:eastAsia="Times New Roman" w:hAnsi="Times New Roman"/>
                <w:sz w:val="21"/>
                <w:szCs w:val="21"/>
                <w:color w:val="auto"/>
                <w:w w:val="93"/>
                <w:vertAlign w:val="superscript"/>
              </w:rPr>
              <w:t>(1)</w:t>
            </w:r>
          </w:p>
        </w:tc>
        <w:tc>
          <w:tcPr>
            <w:tcW w:w="100" w:type="dxa"/>
            <w:vAlign w:val="bottom"/>
            <w:vMerge w:val="restart"/>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273,682</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305,978</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23,387</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(23,387)</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61,972</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0" w:type="dxa"/>
            <w:vAlign w:val="bottom"/>
          </w:tcPr>
          <w:p>
            <w:pPr>
              <w:spacing w:after="0"/>
              <w:rPr>
                <w:sz w:val="1"/>
                <w:szCs w:val="1"/>
                <w:color w:val="auto"/>
              </w:rPr>
            </w:pPr>
          </w:p>
        </w:tc>
      </w:tr>
      <w:tr>
        <w:trPr>
          <w:trHeight w:val="478"/>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Fifty-Two Weeks Ended August 25, 2018</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As Reported</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Change in Accounting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Operating</w:t>
            </w:r>
          </w:p>
        </w:tc>
        <w:tc>
          <w:tcPr>
            <w:tcW w:w="1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102"/>
        </w:trPr>
        <w:tc>
          <w:tcPr>
            <w:tcW w:w="36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Principle and Presentation</w:t>
            </w:r>
          </w:p>
        </w:tc>
        <w:tc>
          <w:tcPr>
            <w:tcW w:w="100" w:type="dxa"/>
            <w:vAlign w:val="bottom"/>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Expense </w:t>
            </w:r>
            <w:r>
              <w:rPr>
                <w:rFonts w:ascii="Times New Roman" w:cs="Times New Roman" w:eastAsia="Times New Roman" w:hAnsi="Times New Roman"/>
                <w:sz w:val="21"/>
                <w:szCs w:val="21"/>
                <w:color w:val="auto"/>
                <w:w w:val="93"/>
                <w:vertAlign w:val="superscript"/>
              </w:rPr>
              <w:t>(1)</w:t>
            </w:r>
          </w:p>
        </w:tc>
        <w:tc>
          <w:tcPr>
            <w:tcW w:w="100" w:type="dxa"/>
            <w:vAlign w:val="bottom"/>
            <w:vMerge w:val="restart"/>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223,873</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27,190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251,063</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49,635</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0" w:type="dxa"/>
            <w:vAlign w:val="bottom"/>
          </w:tcPr>
          <w:p>
            <w:pPr>
              <w:spacing w:after="0"/>
              <w:rPr>
                <w:sz w:val="1"/>
                <w:szCs w:val="1"/>
                <w:color w:val="auto"/>
              </w:rPr>
            </w:pPr>
          </w:p>
        </w:tc>
      </w:tr>
      <w:tr>
        <w:trPr>
          <w:trHeight w:val="438"/>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From July 7, 2017 through August 26, 2017</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As Reported</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Change in Accounting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Operating</w:t>
            </w:r>
          </w:p>
        </w:tc>
        <w:tc>
          <w:tcPr>
            <w:tcW w:w="1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102"/>
        </w:trPr>
        <w:tc>
          <w:tcPr>
            <w:tcW w:w="36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Principle and Presentation</w:t>
            </w:r>
          </w:p>
        </w:tc>
        <w:tc>
          <w:tcPr>
            <w:tcW w:w="100" w:type="dxa"/>
            <w:vAlign w:val="bottom"/>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Expense </w:t>
            </w:r>
            <w:r>
              <w:rPr>
                <w:rFonts w:ascii="Times New Roman" w:cs="Times New Roman" w:eastAsia="Times New Roman" w:hAnsi="Times New Roman"/>
                <w:sz w:val="21"/>
                <w:szCs w:val="21"/>
                <w:color w:val="auto"/>
                <w:w w:val="93"/>
                <w:vertAlign w:val="superscript"/>
              </w:rPr>
              <w:t>(1)</w:t>
            </w:r>
          </w:p>
        </w:tc>
        <w:tc>
          <w:tcPr>
            <w:tcW w:w="100" w:type="dxa"/>
            <w:vAlign w:val="bottom"/>
            <w:vMerge w:val="restart"/>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35,941</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438"/>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From August 28, 2016 through July 6, 2017</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As Reported</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Change in Accounting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Operating</w:t>
            </w:r>
          </w:p>
        </w:tc>
        <w:tc>
          <w:tcPr>
            <w:tcW w:w="13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As Adjusted</w:t>
            </w:r>
          </w:p>
        </w:tc>
        <w:tc>
          <w:tcPr>
            <w:tcW w:w="0" w:type="dxa"/>
            <w:vAlign w:val="bottom"/>
          </w:tcPr>
          <w:p>
            <w:pPr>
              <w:spacing w:after="0"/>
              <w:rPr>
                <w:sz w:val="1"/>
                <w:szCs w:val="1"/>
                <w:color w:val="auto"/>
              </w:rPr>
            </w:pPr>
          </w:p>
        </w:tc>
      </w:tr>
      <w:tr>
        <w:trPr>
          <w:trHeight w:val="102"/>
        </w:trPr>
        <w:tc>
          <w:tcPr>
            <w:tcW w:w="36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Principle and Presentation</w:t>
            </w:r>
          </w:p>
        </w:tc>
        <w:tc>
          <w:tcPr>
            <w:tcW w:w="100" w:type="dxa"/>
            <w:vAlign w:val="bottom"/>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Expense </w:t>
            </w:r>
            <w:r>
              <w:rPr>
                <w:rFonts w:ascii="Times New Roman" w:cs="Times New Roman" w:eastAsia="Times New Roman" w:hAnsi="Times New Roman"/>
                <w:sz w:val="21"/>
                <w:szCs w:val="21"/>
                <w:color w:val="auto"/>
                <w:w w:val="93"/>
                <w:vertAlign w:val="superscript"/>
              </w:rPr>
              <w:t>(1)</w:t>
            </w:r>
          </w:p>
        </w:tc>
        <w:tc>
          <w:tcPr>
            <w:tcW w:w="100" w:type="dxa"/>
            <w:vAlign w:val="bottom"/>
            <w:vMerge w:val="restart"/>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179,998</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20,028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200,026</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34,567</w:t>
            </w: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right="20" w:hanging="382"/>
        <w:spacing w:after="0"/>
        <w:tabs>
          <w:tab w:leader="none" w:pos="500" w:val="left"/>
        </w:tabs>
        <w:numPr>
          <w:ilvl w:val="1"/>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 xml:space="preserve">Other operating expense has been combined with </w:t>
      </w: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xml:space="preserve"> expense on the Consolidated Statements of Operations and Comprehensive Income (Loss).</w:t>
      </w:r>
    </w:p>
    <w:p>
      <w:pPr>
        <w:spacing w:after="0" w:line="321" w:lineRule="exact"/>
        <w:rPr>
          <w:rFonts w:ascii="Times New Roman" w:cs="Times New Roman" w:eastAsia="Times New Roman" w:hAnsi="Times New Roman"/>
          <w:sz w:val="29"/>
          <w:szCs w:val="29"/>
          <w:color w:val="auto"/>
          <w:vertAlign w:val="superscript"/>
        </w:rPr>
      </w:pPr>
    </w:p>
    <w:p>
      <w:pPr>
        <w:ind w:left="180" w:hanging="172"/>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 of cash on hand, deposits available on demand and other short-term, highly liquid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Cash equivalents are carried at cost, which approximates fair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consists primarily of trade receivables, net of allowances for doubtful accounts, returns and trade promotions.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sold for cash or on credit terms. Our credit terms, which are established in accordance with local and industry practices, typically require payment within 30 days of delivery and may allow discounts for early payment. The Company estimates an allowance for doubtful accounts based upon a review of outstanding receivables, historical collection information and our analysis of customer data. Accounts receivable are written off when determined to be uncollectible. At August 31, 2019 and August 25, 2018, the allowance for doubtful accounts was $0.6 million and $0.7 million, respectively.</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are valued at the lower of cost or net realizable value on a first-in, first-out basis, adjusted for the value of inventory that is determined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 At August 31, 2019 and August 25, 2018, the provision for obsolete inventory was $0.4 million and $0.5 million, respectively.</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is stated at the allocated fair value. Additions to property and equipment are recorded at cost and depreciated straight-line over their estimated useful lives. The general ranges of estimated useful lives are:</w:t>
      </w:r>
    </w:p>
    <w:p>
      <w:pPr>
        <w:spacing w:after="0" w:line="98" w:lineRule="exact"/>
        <w:rPr>
          <w:sz w:val="20"/>
          <w:szCs w:val="20"/>
          <w:color w:val="auto"/>
        </w:rPr>
      </w:pPr>
    </w:p>
    <w:tbl>
      <w:tblPr>
        <w:tblLayout w:type="fixed"/>
        <w:tblInd w:w="3120" w:type="dxa"/>
        <w:tblCellMar>
          <w:top w:w="0" w:type="dxa"/>
          <w:left w:w="0" w:type="dxa"/>
          <w:bottom w:w="0" w:type="dxa"/>
          <w:right w:w="0" w:type="dxa"/>
        </w:tblCellMar>
      </w:tblP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 years</w:t>
            </w: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software and website development costs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 years</w:t>
            </w: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remaining term of the lease or the useful life of the improvement utilizing the straight-line method.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impairment tests when circumstances indicate that the carrying value of the asset may not be recoverable. There were no indicators of impairment in the fiscal period ending August 31, 2019, the fiscal period ending August 25, 2018, the successor period from July 7, 2017 through August 26, 2017, and the predecessor period from August 28, 2016 through July 6,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Intangible assets </w:t>
      </w:r>
      <w:r>
        <w:rPr>
          <w:rFonts w:ascii="Times New Roman" w:cs="Times New Roman" w:eastAsia="Times New Roman" w:hAnsi="Times New Roman"/>
          <w:sz w:val="18"/>
          <w:szCs w:val="18"/>
          <w:color w:val="auto"/>
        </w:rPr>
        <w:t>result primarily from the Business Combination and acquisitions.</w:t>
      </w:r>
      <w:r>
        <w:rPr>
          <w:rFonts w:ascii="Times New Roman" w:cs="Times New Roman" w:eastAsia="Times New Roman" w:hAnsi="Times New Roman"/>
          <w:sz w:val="18"/>
          <w:szCs w:val="18"/>
          <w:i w:val="1"/>
          <w:iCs w:val="1"/>
          <w:color w:val="auto"/>
        </w:rPr>
        <w:t xml:space="preserve"> Intangible assets </w:t>
      </w:r>
      <w:r>
        <w:rPr>
          <w:rFonts w:ascii="Times New Roman" w:cs="Times New Roman" w:eastAsia="Times New Roman" w:hAnsi="Times New Roman"/>
          <w:sz w:val="18"/>
          <w:szCs w:val="18"/>
          <w:color w:val="auto"/>
        </w:rPr>
        <w:t>primarily include brands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tested for impairment on an annual basis, or more frequently if indicators of impairment are present. Our annual impairment tests are conducted at the beginning of the fourth fiscal quarter. Goodwill and indefinite-lived intangible assets are assessed using either a qualitative or a quantitative approach. The qualitative assessment evaluates factors including macro-economic conditions, industry and company-specific factors, legal and regulatory environments, and historical company performance in assessing fair value. If we determine that it is more likely than not that the fair value of the reporting unit is less than its carrying value, a quantitative test is then performed. Otherwise, no further testing is required. When using a quantitative approach, we compare the fair value of the reporting unit to its carrying amount, including goodwill. If the estimated fair value of the reporting unit is less than the carrying amount of the reporting unit, impairment is indicated, requiring recognition of an impairment charge for the differential.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2019, we elected to perform quantitative assessments of goodwill and indefinite-lived intangible assets. Based on the results of the assessments, it was determined that the fair value of goodwill and indefinite-lived intangible assets exceeded their carrying values. Accordingly, no further impairment testing was completed and no impairment charges related to goodwill or indefinite-lived intangibles were recognized during the fiscal period ended August 31,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Qualitative assessments of goodwill and indefinite-lived intangible assets were performed in 2018 and 2017. Based on the results of assessment, it was determined that it is more likely than not the reporting unit, brands and trademarks had a fair value in excess of carrying value. Accordingly, no further impairment testing was completed and no impairment charges related to goodwill or indefinite-lived intangibles were recognized during the fiscal periods ended August 25, 2018 or August 26, 2017.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their estimated useful lives. The Company reviews for impairment indicators of finite-lived intangibles and other long-lived assets as described in the “Property and Equipment” significant accounting policy.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and Debt Discounts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incurred in obtaining long-term financing paid to parties other than creditors are considered a debt discount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xml:space="preserve">. Gains or losses resulting from transactions in foreign currencies are included 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Production costs related to television commercials are expensed when first aired. All other advertising costs are expensed when incurred through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Total advertising costs were $35.4 million for the fifty-three week period ended August 31, 2019, $34.0 million for the fifty-two week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ended August 25, 2018, $3.8 million for the successor period from July 7, 2017 through August 26, 2017, and $26.6 million for the predecessor period from August 28, 2016 through July 6, 2017.</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Production costs related to television commercials not yet aired are included in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in the accompanying Consolidated Balance Sheets.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productions costs related to television commercials not yet aired at August 31, 2019 or August 25,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The Company’s total research and development expenses were $2.2 million for the fifty-three week period ended August 31, 2019, $2.5 million for the fifty-two week period ended August 25, 2018, $0.4 million for the successor period from July 7, 2017 through August 26, 2017, and $1.9 million for the predecessor period from August 28, 2016 through July 6,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share-based compensation, including stock options and restricted stock units, to provide long-term performance incentives for its employees and directors. Share-based compensation is recognized on a straight-line basis over the requisite service period of the award based on their grant-date fair value. Forfeitures are recognized as they occur. Share based compensation expense is included within the same financial statement caption where the recipient’s other compensation is reported.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$0.6 million for the fifty-three week period ended August 31, 2019, $0.4 million for the fifty-two week period ended August 25, 2018, $0.0 million for the successor period from July 7, 2017 through August 26, 2017, and $0.3 million for the predecessor period from August 28, 2016 through July 6,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represent costs directly related to the manufacture and distribution of our products. Such costs include raw materials, co-manufacturing costs, packaging, shipping and handling, third-party distribution and depreciation of distribution center equipment and leasehold improvements.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Shipping and handling costs include costs paid to third-party warehouse operators associated with delivering product to customers, and depreciation and amortization of assets at the third-party warehouse. Shipping and handling costs are recognized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Costs of $32.3 million for the fifty-three week period ended August 31, 2019, $27.2 million for the fifty-two week period ended August 25, 2018, $3.6 million for the successor period from July 7, 2017 through August 26, 2017, and $20.0 million for the predecessor period from August 28, 2016 through July 6, 2017 were recorded relating to products shipped to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standard requires lessees to recognize the assets and liabilities that arise from leases on the balance sheet. A lessee should recognize in the statement of financial position a liability to make lease payments (the lease liability) and a right-of-use asset representing its right to use the underlying asset for the lease term. In July 2018, the FASB issued ASU 2018-11,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 Targeted Improvements</w:t>
      </w:r>
      <w:r>
        <w:rPr>
          <w:rFonts w:ascii="Times New Roman" w:cs="Times New Roman" w:eastAsia="Times New Roman" w:hAnsi="Times New Roman"/>
          <w:sz w:val="18"/>
          <w:szCs w:val="18"/>
          <w:color w:val="auto"/>
        </w:rPr>
        <w:t>. ASU 2018-11 provides entities another option for transition, allowing entities to not apply the new standard in the comparative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they present in their financial statements in the year of adoption. The amendments provide the option for the ASU to be applied at the beginning of the period adopted using a modified retrospective approach with earlier application permitted as of the beginning of an interim or annual reporting period. The new guidance is effective for the Company beginning in fiscal 2020. The Company has completed the initial review of its material lease contracts and has been collecting the required information from lease contracts for adoption. The adoption of this ASU will result in a material increase to lease-related assets and liabilities on the Company's Consolidated Balance Sheets. The Company is currently assessing the impact that this standard will have on its accounting policies, processes, system requirements, internal controls, and disclosures. The Company does not anticipate that the adoption of this ASU will have a significant effect on the Company’s Consolidated Statements of Operations or Cash Flows.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modifies disclosure requirements for fair value measurements by removing, modifying or adding certain disclosures. This ASU is effective for annual periods beginning after December 15, 2020, with early adoption permitted. The amendments of this ASU should be applied on a retrospective basis to all periods presented. The Company is currently evaluating the effects adoption of this guidance will have on the consolidated financial statements.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modifies disclosure requirements on fair value measurements of ASC 820. This ASU is effective for all entities for fiscal years beginning after December 15, 2019, including interim periods therein. Early adoption is permitted including in any interim period for which financial statements have not yet been issued. Entities are permitted to early adopt the eliminated or modified disclosure requirements and delay the adoption new disclosure requirements until their effective date. The Company does not anticipate adoption of this ASU to be material to its consolidated financial statements.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which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 or obtain internal-use software. The ASU is effective for fiscal years ending after December 15, 2019 with early adoption permitted. The Company is currently evaluating the effects adoption of this guidance will have on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Topic 606). The objective of ASU No. 2014-09 is to outline a new, single comprehensive model to use in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arising from contracts with customers. The new revenue recognition model provides a five-step analysis for determining when and how revenue is recognized, depicting the transfer of promised goods or services to customers in an amount that reflects the consideration expected to be received in exchange for those goods or services. The Company adopted the requirements of ASC Topic 606 and all related requirements using the modified retrospective method in the first quarter of fiscal 2019. Upon completing our assessment of ASC Topic 606, we concluded that no adjustments were required to the opening balance of retained earnings at the date of adoption and the comparative information has not been restated. The adoption of this ASU did not have a material effect on the Company’s consolidated financial statements. Disclosures required by ASC Topic 606 are presented within Note 4, Revenue Recognition.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new standard enhances the reporting model for financial instruments regarding certain aspects of recognition, measurement, presentation, and disclosure. This ASU is to be applied using a cumulative-effect adjustment to the balance sheet as of the beginning of the fiscal year of adoption. The Company adopted this ASU in the first quarter of fiscal 2019. The adoption of this ASU did not have a material effect on the Company’s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62626"/>
        </w:rPr>
        <w:t xml:space="preserve">In </w:t>
      </w:r>
      <w:r>
        <w:rPr>
          <w:rFonts w:ascii="Times New Roman" w:cs="Times New Roman" w:eastAsia="Times New Roman" w:hAnsi="Times New Roman"/>
          <w:sz w:val="18"/>
          <w:szCs w:val="18"/>
          <w:color w:val="000000"/>
        </w:rPr>
        <w:t>August 2016, the FASB issued ASU No. 2016-15,</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i w:val="1"/>
          <w:iCs w:val="1"/>
          <w:color w:val="262626"/>
        </w:rPr>
        <w:t>Statement of Cash Flows (Topic 230): Classification of Certain Cash Receipts and Cash</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i w:val="1"/>
          <w:iCs w:val="1"/>
          <w:color w:val="262626"/>
        </w:rPr>
        <w:t xml:space="preserve">Payments. </w:t>
      </w:r>
      <w:r>
        <w:rPr>
          <w:rFonts w:ascii="Times New Roman" w:cs="Times New Roman" w:eastAsia="Times New Roman" w:hAnsi="Times New Roman"/>
          <w:sz w:val="18"/>
          <w:szCs w:val="18"/>
          <w:color w:val="000000"/>
        </w:rPr>
        <w:t>The new guidance is intended to eliminate diversity in practice in how certain cash receipts and cash payments are presented and classified in the</w:t>
      </w:r>
      <w:r>
        <w:rPr>
          <w:rFonts w:ascii="Times New Roman" w:cs="Times New Roman" w:eastAsia="Times New Roman" w:hAnsi="Times New Roman"/>
          <w:sz w:val="18"/>
          <w:szCs w:val="18"/>
          <w:i w:val="1"/>
          <w:iCs w:val="1"/>
          <w:color w:val="262626"/>
        </w:rPr>
        <w:t xml:space="preserve"> </w:t>
      </w:r>
      <w:r>
        <w:rPr>
          <w:rFonts w:ascii="Times New Roman" w:cs="Times New Roman" w:eastAsia="Times New Roman" w:hAnsi="Times New Roman"/>
          <w:sz w:val="18"/>
          <w:szCs w:val="18"/>
          <w:color w:val="000000"/>
        </w:rPr>
        <w:t>statement of cash flows. The guidance requires application using a retrospective transition method. The Company adopted this ASU in the first quarter of fiscal 2019. The adoption of this ASU did not have a material effect on the Company’s consolidated financial statements.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The standard simplifies how an entity tests goodwill by eliminating Step 2 of the goodwill impairment test. The amended standard also modifies the concept of impairment from the condition that exists when the carrying amount of goodwill exceeds its implied fair value to the condition that exists when the carrying amount of a reporting unit exceeds its fair value. The new guidance is effective for the Company beginning in fiscal 2020. The Company adopted this ASU in fiscal 2019. The adoption of this ASU did not have a material effect on the Company’s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to assist entities with evaluating whether transactions should be accounted for as acquisitions (or disposals) of assets or businesses. The provisions of this ASU provide a more robust framework to use in determining when a set of assets and activities is a business by clarifying the requirements related to inputs, processes, and outputs. The Company adopted this ASU in the first quarter of fiscal 2019. The adoption of this ASU did not have a material effect on the Company’s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The amended standard specifies the modification accounting applicable to any entity which changes the terms or conditions of a stock-based payment award. The Company adopted this ASU in the first quarter of fiscal 2019. The adoption of this ASU did not have a material effect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singular performance obligation of our customer contracts is determined by each individual purchase order and the products ordered, with revenue being recognized at a point-in-time when the obligation under the terms of the agreement is satisfied and product control is transferred to the customer. Specifically, control transfers to our customers when the product is delivered to or picked up by our customers based on applicable shipping terms. The performance obligations of our customer contracts are generally satisfied within 30 days.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fulfilled product orders, including estimates of variable consideration. The most common forms of variable consideration include trade programs, consumer incentives, coupon redemptions, allowances for unsaleable products,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the Company’s best estimate of current activity. We review these estimates regularly and make revisions as necessary.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Uncertainties related to the estimate of variable consideration are resolved in a short time frame and do not require any additional constraint on variable consideration. Adjustments to variable consideration are recognized in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the adjustments are identified and have historically been insignificant. Revenue is recognized net of any taxes collected from customers and subsequently remitted to governmental authorities.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standard assurance type warranties that our products will comply with all agreed-upon specifications. No services beyond an assurance type warranty are provided to our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customer contracts identify product quantity, price and payment terms. Payment terms are granted consistent with industry standards. Although some payment terms may be more extended, the majority of our payment terms are less than 60 days. The Company does not have any payment terms that extend beyond one year. As a result, we do not adjust our revenue for the effects of a significant financing component. Amounts billed and due from our customers are classified as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utilizes third-party contract manufacturers for the manufacture of our products. We have evaluated whether the Company is the principal or agent in these relationships. We have determined that the Company is the principal in all cases, as it maintains the responsibility for fulfillment, risk of loss and establishes the price.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a minor amount of royalty income for the license of Atkins’ frozen meals. Royalty income represents less than 1% of the Company’s net sales. Royalty revenue is recognized over time as sales of licensed products occur.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in accordance with ASC Topic 606:</w:t>
      </w:r>
    </w:p>
    <w:p>
      <w:pPr>
        <w:spacing w:after="0" w:line="223" w:lineRule="exact"/>
        <w:rPr>
          <w:sz w:val="20"/>
          <w:szCs w:val="20"/>
          <w:color w:val="auto"/>
        </w:rPr>
      </w:pPr>
    </w:p>
    <w:p>
      <w:pPr>
        <w:jc w:val="both"/>
        <w:ind w:left="1300" w:hanging="320"/>
        <w:spacing w:after="0" w:line="267"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r>
        <w:rPr>
          <w:rFonts w:ascii="Times New Roman" w:cs="Times New Roman" w:eastAsia="Times New Roman" w:hAnsi="Times New Roman"/>
          <w:sz w:val="18"/>
          <w:szCs w:val="18"/>
          <w:color w:val="auto"/>
        </w:rPr>
        <w:t>—We have elected to account for shipping and handling costs incurred to deliver products to customers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fulfillment activities, rather than a promised service. As such, fulfillment costs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our Consolidated Statements of Operations and Comprehensive Income (Loss).</w:t>
      </w:r>
    </w:p>
    <w:p>
      <w:pPr>
        <w:spacing w:after="0" w:line="173"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of obtaining a contract</w:t>
      </w:r>
      <w:r>
        <w:rPr>
          <w:rFonts w:ascii="Times New Roman" w:cs="Times New Roman" w:eastAsia="Times New Roman" w:hAnsi="Times New Roman"/>
          <w:sz w:val="18"/>
          <w:szCs w:val="18"/>
          <w:color w:val="auto"/>
        </w:rPr>
        <w:t>—We have elected to expense costs of obtaining a contract because the amortization period would be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Atkins’ products would be impracticable to disclose and management does not view its business by product line. For revenue disaggregated by geographic area see Note 16, Segment and Customer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as presented with the Consolidated Balance Sheets, are summarized as follows:</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47"/>
        </w:trPr>
        <w:tc>
          <w:tcPr>
            <w:tcW w:w="68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(Successor)</w:t>
            </w:r>
          </w:p>
        </w:tc>
        <w:tc>
          <w:tcPr>
            <w:tcW w:w="160" w:type="dxa"/>
            <w:vAlign w:val="bottom"/>
          </w:tcPr>
          <w:p>
            <w:pPr>
              <w:spacing w:after="0"/>
              <w:rPr>
                <w:sz w:val="21"/>
                <w:szCs w:val="21"/>
                <w:color w:val="auto"/>
              </w:rPr>
            </w:pP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(Successor)</w:t>
            </w:r>
          </w:p>
        </w:tc>
      </w:tr>
      <w:tr>
        <w:trPr>
          <w:trHeight w:val="25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Website development costs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Total depreciation expense was $1.1 million for the fifty-two week period ended August 31, 2019, $1.2 million for the fifty-two week period ended August 25, 2018, $0.1 million for the successor period from July 7, 2017 through August 26, 2017, and $1.0 million for the predecessor period from August 28, 2016 through July 6, 2017.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includes a $0.1 million loss on disposal of property and equipment in the fifty-two week period ended August 25,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presents the changes in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191"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3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26, 2017</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465,030</w:t>
            </w: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working capital adjustment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33"/>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period adjustment of the Business Combination</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r>
      <w:tr>
        <w:trPr>
          <w:trHeight w:val="24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August 25, 2018</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471,427</w:t>
            </w:r>
          </w:p>
        </w:tc>
      </w:tr>
      <w:tr>
        <w:trPr>
          <w:trHeight w:val="20"/>
        </w:trPr>
        <w:tc>
          <w:tcPr>
            <w:tcW w:w="8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goodwill in the fifty-three week period ended August 31, 2019. There were no impairment charges related to goodwill in the period ended August 31, 2019 or since the inception of the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our consolidated balance sheets consist of the following:</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Useful life</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amount</w:t>
            </w: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amortization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Net carrying amount</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Brands and trademarks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 life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relationships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15 years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50,618</w:t>
            </w: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7 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Licensing agreements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14 years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18,652</w:t>
            </w:r>
          </w:p>
        </w:tc>
      </w:tr>
      <w:tr>
        <w:trPr>
          <w:trHeight w:val="33"/>
        </w:trPr>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306,139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53"/>
        </w:trPr>
        <w:tc>
          <w:tcPr>
            <w:tcW w:w="3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25, 2018</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Useful life</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amount</w:t>
            </w: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amortization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Net carrying amount</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Brands and trademarks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 life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232,000</w:t>
            </w: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relationships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15 years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54,552</w:t>
            </w:r>
          </w:p>
        </w:tc>
      </w:tr>
      <w:tr>
        <w:trPr>
          <w:trHeight w:val="33"/>
        </w:trPr>
        <w:tc>
          <w:tcPr>
            <w:tcW w:w="36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7 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r>
      <w:tr>
        <w:trPr>
          <w:trHeight w:val="23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Licensing agreements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14 years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20,222</w:t>
            </w:r>
          </w:p>
        </w:tc>
      </w:tr>
      <w:tr>
        <w:trPr>
          <w:trHeight w:val="33"/>
        </w:trPr>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312,643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changed due to amortization expense. Amortization expense related to intangible assets was $6.5 million for the fifty-three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 period ended August 31, 2019, $6.5 million for the fifty-two week period ended August 25, 2018, $0.9 million for the successor period from July 7, 2017 through August 26, 2017, and $8.5 million for the predecessor period from August 28, 2016 through July 6, 2017.</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232" w:lineRule="exact"/>
        <w:rPr>
          <w:sz w:val="20"/>
          <w:szCs w:val="20"/>
          <w:color w:val="auto"/>
        </w:rPr>
      </w:pPr>
    </w:p>
    <w:tbl>
      <w:tblPr>
        <w:tblLayout w:type="fixed"/>
        <w:tblInd w:w="2840" w:type="dxa"/>
        <w:tblCellMar>
          <w:top w:w="0" w:type="dxa"/>
          <w:left w:w="0" w:type="dxa"/>
          <w:bottom w:w="0" w:type="dxa"/>
          <w:right w:w="0" w:type="dxa"/>
        </w:tblCellMar>
      </w:tblP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41,614</w:t>
            </w:r>
          </w:p>
        </w:tc>
      </w:tr>
      <w:tr>
        <w:trPr>
          <w:trHeight w:val="33"/>
        </w:trPr>
        <w:tc>
          <w:tcPr>
            <w:tcW w:w="4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74,139</w:t>
            </w:r>
          </w:p>
        </w:tc>
      </w:tr>
      <w:tr>
        <w:trPr>
          <w:trHeight w:val="20"/>
        </w:trPr>
        <w:tc>
          <w:tcPr>
            <w:tcW w:w="4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47"/>
        </w:trPr>
        <w:tc>
          <w:tcPr>
            <w:tcW w:w="69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60" w:type="dxa"/>
            <w:vAlign w:val="bottom"/>
          </w:tcPr>
          <w:p>
            <w:pPr>
              <w:spacing w:after="0"/>
              <w:rPr>
                <w:sz w:val="21"/>
                <w:szCs w:val="21"/>
                <w:color w:val="auto"/>
              </w:rPr>
            </w:pP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(Successor)</w:t>
            </w:r>
          </w:p>
        </w:tc>
      </w:tr>
      <w:tr>
        <w:trPr>
          <w:trHeight w:val="25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advertising allowances and claims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Freight accrual</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Payroll-related accruals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VAT payable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4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15,875</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and Line of Credit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The credit agreement provides for a term facility of $200.0 million (“Term Facility”) with a seven year maturity and a revolving credit facility of up to $75.0 million (the “Revolving Credit Facility”) with a five year maturity, under the first lien senior secured loan facilities (the “First Lien”). Substantially concurrent with the consummation of the Business Combination, the full $200.0 million of the First Lien term loan (the “Term Loan”) was drawn. No amounts were drawn on the Revolving Credit Facility. The interest rate per annum is based on either (i) a base rate equaling the higher of (a) the “prime rate”, (b) the federal funds effective rate plus 0.50% and (c) the Euro-currency rate applicable for an interest period of one month plus 1.00% plus (x) 3.00% margin for Term Loan or (y) 2.00% margin for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16, 2018 (the “Amendment Date”), the Company entered into an amendment (the “Repricing Amendment”) to the First Lien. As a result of the Repricing Amendment, the interest rate on the Term Loan was reduced and, as of the Amendment Date, such loans bear interest at a rate equal to, at the Company's option, either LIBOR plus an applicable margin of 3.50% or a base rate plus an applicable margin of 2.50%. The Repricing Amendment did not change the interest rate on the Revolving Credit Facility. The Revolving Credit Facility will continue to bear interest based upon the Company's consolidated First Lien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facilities governing our debt contain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the third anniversary of the closing date of the credit facilities)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31, 2019 and August 25, 2018,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August 31, 2019 and August 25, 2018, there were no amounts drawn against the Revolving Credit Facility. Long-term debt consists of the following:</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August 31, 2019</w:t>
            </w:r>
          </w:p>
        </w:tc>
        <w:tc>
          <w:tcPr>
            <w:tcW w:w="20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47"/>
        </w:trPr>
        <w:tc>
          <w:tcPr>
            <w:tcW w:w="68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1"/>
                <w:szCs w:val="21"/>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(Successor)</w:t>
            </w:r>
          </w:p>
        </w:tc>
        <w:tc>
          <w:tcPr>
            <w:tcW w:w="200" w:type="dxa"/>
            <w:vAlign w:val="bottom"/>
          </w:tcPr>
          <w:p>
            <w:pPr>
              <w:spacing w:after="0"/>
              <w:rPr>
                <w:sz w:val="21"/>
                <w:szCs w:val="21"/>
                <w:color w:val="auto"/>
              </w:rPr>
            </w:pP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(Successor)</w:t>
            </w:r>
          </w:p>
        </w:tc>
      </w:tr>
      <w:tr>
        <w:trPr>
          <w:trHeight w:val="25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198,500</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w:t>
            </w:r>
          </w:p>
        </w:tc>
      </w:tr>
      <w:tr>
        <w:trPr>
          <w:trHeight w:val="33"/>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191,583</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maturities, net of deferred financing fees of $1.3 million at August 31, 2019 and $1.4</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million at August 25, 2018,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33"/>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190,935</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principal maturities of debt are as follows:</w:t>
      </w:r>
    </w:p>
    <w:p>
      <w:pPr>
        <w:spacing w:after="0" w:line="2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24765</wp:posOffset>
            </wp:positionV>
            <wp:extent cx="36449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44900" cy="171450"/>
                    </a:xfrm>
                    <a:prstGeom prst="rect">
                      <a:avLst/>
                    </a:prstGeom>
                    <a:noFill/>
                  </pic:spPr>
                </pic:pic>
              </a:graphicData>
            </a:graphic>
          </wp:anchor>
        </w:drawing>
      </w:r>
    </w:p>
    <w:p>
      <w:pPr>
        <w:spacing w:after="0" w:line="4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Fiscal year ending:</w:t>
      </w:r>
    </w:p>
    <w:p>
      <w:pPr>
        <w:spacing w:after="0" w:line="73" w:lineRule="exact"/>
        <w:rPr>
          <w:sz w:val="20"/>
          <w:szCs w:val="20"/>
          <w:color w:val="auto"/>
        </w:rPr>
      </w:pPr>
    </w:p>
    <w:tbl>
      <w:tblPr>
        <w:tblLayout w:type="fixed"/>
        <w:tblInd w:w="284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33"/>
        </w:trPr>
        <w:tc>
          <w:tcPr>
            <w:tcW w:w="4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4"/>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33"/>
        </w:trPr>
        <w:tc>
          <w:tcPr>
            <w:tcW w:w="4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4"/>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188,500</w:t>
            </w:r>
          </w:p>
        </w:tc>
      </w:tr>
      <w:tr>
        <w:trPr>
          <w:trHeight w:val="33"/>
        </w:trPr>
        <w:tc>
          <w:tcPr>
            <w:tcW w:w="4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196,500</w:t>
            </w:r>
          </w:p>
        </w:tc>
      </w:tr>
      <w:tr>
        <w:trPr>
          <w:trHeight w:val="20"/>
        </w:trPr>
        <w:tc>
          <w:tcPr>
            <w:tcW w:w="4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31, 2019 and August 25, 2018, the book value of the Company’s debt approximated fair value. All term debt is valued based on observable inputs and classified as Level 2 in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paid in full the Income Tax Receivable Agreement (the “TRA”) during the successor fifty-three week period ended August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Company did not have any liabilities measured at fair value as of August 31, 2019.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liabilities measured at fair value as of August 25, 2018 are summarized as follows:</w:t>
      </w:r>
    </w:p>
    <w:p>
      <w:pPr>
        <w:spacing w:after="0" w:line="189" w:lineRule="exact"/>
        <w:rPr>
          <w:sz w:val="20"/>
          <w:szCs w:val="20"/>
          <w:color w:val="auto"/>
        </w:rPr>
      </w:pPr>
    </w:p>
    <w:p>
      <w:pPr>
        <w:ind w:left="2140"/>
        <w:spacing w:after="0"/>
        <w:tabs>
          <w:tab w:leader="none" w:pos="4820" w:val="left"/>
          <w:tab w:leader="none" w:pos="6420" w:val="left"/>
          <w:tab w:leader="none" w:pos="8040" w:val="left"/>
          <w:tab w:leader="none" w:pos="9760" w:val="left"/>
        </w:tabs>
        <w:rPr>
          <w:sz w:val="20"/>
          <w:szCs w:val="20"/>
          <w:color w:val="auto"/>
        </w:rPr>
      </w:pPr>
      <w:r>
        <w:rPr>
          <w:rFonts w:ascii="Times New Roman" w:cs="Times New Roman" w:eastAsia="Times New Roman" w:hAnsi="Times New Roman"/>
          <w:sz w:val="16"/>
          <w:szCs w:val="16"/>
          <w:color w:val="auto"/>
        </w:rPr>
        <w:t>Successor</w:t>
      </w:r>
      <w:r>
        <w:rPr>
          <w:sz w:val="20"/>
          <w:szCs w:val="20"/>
          <w:color w:val="auto"/>
        </w:rPr>
        <w:tab/>
      </w:r>
      <w:r>
        <w:rPr>
          <w:rFonts w:ascii="Times New Roman" w:cs="Times New Roman" w:eastAsia="Times New Roman" w:hAnsi="Times New Roman"/>
          <w:sz w:val="16"/>
          <w:szCs w:val="16"/>
          <w:color w:val="auto"/>
        </w:rPr>
        <w:t>Level 1</w:t>
      </w:r>
      <w:r>
        <w:rPr>
          <w:sz w:val="20"/>
          <w:szCs w:val="20"/>
          <w:color w:val="auto"/>
        </w:rPr>
        <w:tab/>
      </w:r>
      <w:r>
        <w:rPr>
          <w:rFonts w:ascii="Times New Roman" w:cs="Times New Roman" w:eastAsia="Times New Roman" w:hAnsi="Times New Roman"/>
          <w:sz w:val="16"/>
          <w:szCs w:val="16"/>
          <w:color w:val="auto"/>
        </w:rPr>
        <w:t>Level 2</w:t>
      </w:r>
      <w:r>
        <w:rPr>
          <w:sz w:val="20"/>
          <w:szCs w:val="20"/>
          <w:color w:val="auto"/>
        </w:rPr>
        <w:tab/>
      </w:r>
      <w:r>
        <w:rPr>
          <w:rFonts w:ascii="Times New Roman" w:cs="Times New Roman" w:eastAsia="Times New Roman" w:hAnsi="Times New Roman"/>
          <w:sz w:val="16"/>
          <w:szCs w:val="16"/>
          <w:color w:val="auto"/>
        </w:rPr>
        <w:t>Level 3</w:t>
      </w:r>
      <w:r>
        <w:rPr>
          <w:sz w:val="20"/>
          <w:szCs w:val="20"/>
          <w:color w:val="auto"/>
        </w:rPr>
        <w:tab/>
      </w: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37465</wp:posOffset>
            </wp:positionV>
            <wp:extent cx="635444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4445" cy="180340"/>
                    </a:xfrm>
                    <a:prstGeom prst="rect">
                      <a:avLst/>
                    </a:prstGeom>
                    <a:noFill/>
                  </pic:spPr>
                </pic:pic>
              </a:graphicData>
            </a:graphic>
          </wp:anchor>
        </w:drawing>
      </w:r>
    </w:p>
    <w:p>
      <w:pPr>
        <w:spacing w:after="0" w:line="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Liabilities</w:t>
      </w:r>
    </w:p>
    <w:p>
      <w:pPr>
        <w:spacing w:after="0" w:line="86" w:lineRule="exact"/>
        <w:rPr>
          <w:sz w:val="20"/>
          <w:szCs w:val="20"/>
          <w:color w:val="auto"/>
        </w:rPr>
      </w:pPr>
    </w:p>
    <w:p>
      <w:pPr>
        <w:ind w:left="880"/>
        <w:spacing w:after="0"/>
        <w:tabs>
          <w:tab w:leader="none" w:pos="4360" w:val="left"/>
          <w:tab w:leader="none" w:pos="5600" w:val="left"/>
          <w:tab w:leader="none" w:pos="5940" w:val="left"/>
          <w:tab w:leader="none" w:pos="7180" w:val="left"/>
          <w:tab w:leader="none" w:pos="7600" w:val="left"/>
          <w:tab w:leader="none" w:pos="8560" w:val="left"/>
          <w:tab w:leader="none" w:pos="9240" w:val="left"/>
          <w:tab w:leader="none" w:pos="10200" w:val="left"/>
        </w:tabs>
        <w:rPr>
          <w:sz w:val="20"/>
          <w:szCs w:val="20"/>
          <w:color w:val="auto"/>
        </w:rPr>
      </w:pPr>
      <w:r>
        <w:rPr>
          <w:rFonts w:ascii="Times New Roman" w:cs="Times New Roman" w:eastAsia="Times New Roman" w:hAnsi="Times New Roman"/>
          <w:sz w:val="16"/>
          <w:szCs w:val="16"/>
          <w:color w:val="auto"/>
        </w:rPr>
        <w:t>TRA liability</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27,468</w:t>
        <w:tab/>
        <w:t>$</w:t>
      </w:r>
      <w:r>
        <w:rPr>
          <w:sz w:val="20"/>
          <w:szCs w:val="20"/>
          <w:color w:val="auto"/>
        </w:rPr>
        <w:tab/>
      </w:r>
      <w:r>
        <w:rPr>
          <w:rFonts w:ascii="Times New Roman" w:cs="Times New Roman" w:eastAsia="Times New Roman" w:hAnsi="Times New Roman"/>
          <w:sz w:val="16"/>
          <w:szCs w:val="16"/>
          <w:color w:val="auto"/>
        </w:rPr>
        <w:t>27,468</w:t>
      </w:r>
    </w:p>
    <w:p>
      <w:pPr>
        <w:spacing w:after="0" w:line="2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loss of $0.5 million was charged to the </w:t>
      </w:r>
      <w:r>
        <w:rPr>
          <w:rFonts w:ascii="Times New Roman" w:cs="Times New Roman" w:eastAsia="Times New Roman" w:hAnsi="Times New Roman"/>
          <w:sz w:val="18"/>
          <w:szCs w:val="18"/>
          <w:i w:val="1"/>
          <w:iCs w:val="1"/>
          <w:color w:val="auto"/>
        </w:rPr>
        <w:t>Loss (gain) in fair value change of contingent consideration - TRA liability</w:t>
      </w:r>
      <w:r>
        <w:rPr>
          <w:rFonts w:ascii="Times New Roman" w:cs="Times New Roman" w:eastAsia="Times New Roman" w:hAnsi="Times New Roman"/>
          <w:sz w:val="18"/>
          <w:szCs w:val="18"/>
          <w:color w:val="auto"/>
        </w:rPr>
        <w:t xml:space="preserve"> for the successor fifty-three week period ended August 31, 2019. For the successor fifty-two week period ended August 25, 2018, a benefit of $2.8 million was recognized in </w:t>
      </w:r>
      <w:r>
        <w:rPr>
          <w:rFonts w:ascii="Times New Roman" w:cs="Times New Roman" w:eastAsia="Times New Roman" w:hAnsi="Times New Roman"/>
          <w:sz w:val="18"/>
          <w:szCs w:val="18"/>
          <w:i w:val="1"/>
          <w:iCs w:val="1"/>
          <w:color w:val="auto"/>
        </w:rPr>
        <w:t>Loss (gain)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fair value change of contingent consideration - TRA liability</w:t>
      </w:r>
      <w:r>
        <w:rPr>
          <w:rFonts w:ascii="Times New Roman" w:cs="Times New Roman" w:eastAsia="Times New Roman" w:hAnsi="Times New Roman"/>
          <w:sz w:val="18"/>
          <w:szCs w:val="18"/>
          <w:color w:val="auto"/>
        </w:rPr>
        <w:t>. The gain is primarily due to the change in the federal tax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settlement of the TRA liability during the fifty-three week period ended August 31, 2019 resulted in a gain of $1.5 million recognized in </w:t>
      </w:r>
      <w:r>
        <w:rPr>
          <w:rFonts w:ascii="Times New Roman" w:cs="Times New Roman" w:eastAsia="Times New Roman" w:hAnsi="Times New Roman"/>
          <w:sz w:val="18"/>
          <w:szCs w:val="18"/>
          <w:i w:val="1"/>
          <w:iCs w:val="1"/>
          <w:color w:val="auto"/>
        </w:rPr>
        <w:t>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settlement of TRA liability</w:t>
      </w:r>
      <w:r>
        <w:rPr>
          <w:rFonts w:ascii="Times New Roman" w:cs="Times New Roman" w:eastAsia="Times New Roman" w:hAnsi="Times New Roman"/>
          <w:sz w:val="18"/>
          <w:szCs w:val="18"/>
          <w:color w:val="auto"/>
        </w:rPr>
        <w:t>. The settlement of the TRA liability is discussed in Note 10, Income Taxes.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the predecessor entity, </w:t>
      </w:r>
      <w:r>
        <w:rPr>
          <w:rFonts w:ascii="Times New Roman" w:cs="Times New Roman" w:eastAsia="Times New Roman" w:hAnsi="Times New Roman"/>
          <w:sz w:val="18"/>
          <w:szCs w:val="18"/>
          <w:i w:val="1"/>
          <w:iCs w:val="1"/>
          <w:color w:val="auto"/>
        </w:rPr>
        <w:t>Changes in warrant liabilities</w:t>
      </w:r>
      <w:r>
        <w:rPr>
          <w:rFonts w:ascii="Times New Roman" w:cs="Times New Roman" w:eastAsia="Times New Roman" w:hAnsi="Times New Roman"/>
          <w:sz w:val="18"/>
          <w:szCs w:val="18"/>
          <w:color w:val="auto"/>
        </w:rPr>
        <w:t xml:space="preserve"> included other income of $0.7 million for the predecessor period from August 28, 2016 through July 6, 2017. The Company settled warrant liabilities of $15.0 million upon the Business Combination.</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approximated fair value as of August 31, 2019 and August 25, 2018 due to the relatively short maturity of these instruments.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predecessor entity historically carried warrant liabilities on the balance sheet at fair value. These warrant liabilities were settled with the change of control. The successor entity assumed the equity warrants of Conyers Park. The fair value of the warrants were calculated by estimating future cash payments to be made to the former owner, in part based on the probability-weighted present value of various payout scenarios. Key fair value inputs included the discount rate, expected future cash flows under various payout scenarios and a probability analysis of the payout scenarios. The methodology for measuring fair value is sensitive to the volatility of key inputs mentioned above. For additional information, see Note 12,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sources of income (loss) before income taxes are as follows:</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From July 7, 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6"/>
                <w:szCs w:val="6"/>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From August 28, 2016</w:t>
            </w: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31, 2019</w:t>
            </w: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25, 2018</w:t>
            </w:r>
          </w:p>
        </w:tc>
        <w:tc>
          <w:tcPr>
            <w:tcW w:w="120" w:type="dxa"/>
            <w:vAlign w:val="bottom"/>
          </w:tcPr>
          <w:p>
            <w:pPr>
              <w:spacing w:after="0"/>
              <w:rPr>
                <w:sz w:val="18"/>
                <w:szCs w:val="18"/>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2017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through July 6, 2017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2"/>
                <w:szCs w:val="22"/>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(Successor)</w:t>
            </w:r>
          </w:p>
        </w:tc>
        <w:tc>
          <w:tcPr>
            <w:tcW w:w="140" w:type="dxa"/>
            <w:vAlign w:val="bottom"/>
          </w:tcPr>
          <w:p>
            <w:pPr>
              <w:spacing w:after="0"/>
              <w:rPr>
                <w:sz w:val="22"/>
                <w:szCs w:val="22"/>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22"/>
                <w:szCs w:val="22"/>
                <w:color w:val="auto"/>
              </w:rPr>
            </w:pPr>
          </w:p>
        </w:tc>
        <w:tc>
          <w:tcPr>
            <w:tcW w:w="15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(benefit) expense was comprised of the following:</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53-Weeks Ended</w:t>
            </w:r>
          </w:p>
        </w:tc>
        <w:tc>
          <w:tcPr>
            <w:tcW w:w="160" w:type="dxa"/>
            <w:vAlign w:val="bottom"/>
          </w:tcPr>
          <w:p>
            <w:pPr>
              <w:spacing w:after="0"/>
              <w:rPr>
                <w:sz w:val="18"/>
                <w:szCs w:val="1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From July 7, 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From August 28,</w:t>
            </w:r>
          </w:p>
        </w:tc>
        <w:tc>
          <w:tcPr>
            <w:tcW w:w="0" w:type="dxa"/>
            <w:vAlign w:val="bottom"/>
          </w:tcPr>
          <w:p>
            <w:pPr>
              <w:spacing w:after="0"/>
              <w:rPr>
                <w:sz w:val="1"/>
                <w:szCs w:val="1"/>
                <w:color w:val="auto"/>
              </w:rPr>
            </w:pPr>
          </w:p>
        </w:tc>
      </w:tr>
      <w:tr>
        <w:trPr>
          <w:trHeight w:val="75"/>
        </w:trPr>
        <w:tc>
          <w:tcPr>
            <w:tcW w:w="3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through August 26,</w:t>
            </w:r>
          </w:p>
        </w:tc>
        <w:tc>
          <w:tcPr>
            <w:tcW w:w="100" w:type="dxa"/>
            <w:vAlign w:val="bottom"/>
          </w:tcPr>
          <w:p>
            <w:pPr>
              <w:spacing w:after="0"/>
              <w:rPr>
                <w:sz w:val="6"/>
                <w:szCs w:val="6"/>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2016 through July 6,</w:t>
            </w:r>
          </w:p>
        </w:tc>
        <w:tc>
          <w:tcPr>
            <w:tcW w:w="0" w:type="dxa"/>
            <w:vAlign w:val="bottom"/>
          </w:tcPr>
          <w:p>
            <w:pPr>
              <w:spacing w:after="0"/>
              <w:rPr>
                <w:sz w:val="1"/>
                <w:szCs w:val="1"/>
                <w:color w:val="auto"/>
              </w:rPr>
            </w:pPr>
          </w:p>
        </w:tc>
      </w:tr>
      <w:tr>
        <w:trPr>
          <w:trHeight w:val="127"/>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25, 2018</w:t>
            </w: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2017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21"/>
                <w:szCs w:val="21"/>
                <w:color w:val="auto"/>
              </w:rPr>
            </w:pPr>
          </w:p>
        </w:tc>
        <w:tc>
          <w:tcPr>
            <w:tcW w:w="15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expense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(benefit)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tax (benefit)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is as follows:</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53-Weeks Ended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52-Weeks Ended</w:t>
            </w:r>
          </w:p>
        </w:tc>
        <w:tc>
          <w:tcPr>
            <w:tcW w:w="172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From July 7, 2017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2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72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6"/>
                <w:szCs w:val="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From August 28, 2016</w:t>
            </w: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31, 2019</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25, 2018</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through July 6, 2017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(Successor)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(Successor)</w:t>
            </w:r>
          </w:p>
        </w:tc>
        <w:tc>
          <w:tcPr>
            <w:tcW w:w="172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income tax expense: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237"/>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 income tax expense, net of federal</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Valuation allowance</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on foreign income above (below) the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tax</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Cuts and Jobs Act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20"/>
                <w:szCs w:val="20"/>
                <w:color w:val="auto"/>
              </w:rPr>
            </w:pPr>
          </w:p>
        </w:tc>
        <w:tc>
          <w:tcPr>
            <w:tcW w:w="172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tax rate</w:t>
            </w:r>
          </w:p>
        </w:tc>
        <w:tc>
          <w:tcPr>
            <w:tcW w:w="1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7"/>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Non-deductible transaction costs</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 contingent consideration</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permanent items</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comparability of our operating results of fiscal 2019 compared to the corresponding prior years was effected by the U.S. Tax Cuts and Jobs Act of 2017 (the “Tax Act”), which was enacted on December 22, 2017. The Tax Act introduced significant changes to U.S. income tax law including reducing the U.S. federal statutory tax rate from 35% to 21% and imposing new taxes on certain foreign-sourced earnings and certain intercompany payments. Due to the timing of the enactment and the complexity involved in applying the provisions of the Tax Act, we made reasonable estimates of the effects and recorded provisional amounts in our financial statements as of fiscal 2018 in accordance with SEC Staff Accounting Bulletin No. 118 (“SAB 118”). During the period ended February 23, 2019, we completed our accounting for the Tax Act with no material adjustment to our provisional estimates recorded.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Global Intangible Low-Taxed Income (“GILTI”) provisions of the Tax Act, the Company completed its assessment during the second quarter of 2019 and, effective August 26, 2018, elected an accounting policy to record GILTI as period costs if and when incurred. Additionally, the Company concluded that it is has not met the threshold requirements of the base erosion and anti-abuse tax. Although the measurement period has closed, further technical guidance related to the Tax Act, including final regulations on a broad range of topics, is expected to be issued. In accordance with Accounting Standards Codification (ASC) 740, the Company will recognize any effects of the guidance in the period that such guidance is issued.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at August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25, 2018 were as follows:</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47"/>
        </w:trPr>
        <w:tc>
          <w:tcPr>
            <w:tcW w:w="68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(Successor)</w:t>
            </w:r>
          </w:p>
        </w:tc>
        <w:tc>
          <w:tcPr>
            <w:tcW w:w="160" w:type="dxa"/>
            <w:vAlign w:val="bottom"/>
          </w:tcPr>
          <w:p>
            <w:pPr>
              <w:spacing w:after="0"/>
              <w:rPr>
                <w:sz w:val="21"/>
                <w:szCs w:val="21"/>
                <w:color w:val="auto"/>
              </w:rPr>
            </w:pP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(Successor)</w:t>
            </w:r>
          </w:p>
        </w:tc>
      </w:tr>
      <w:tr>
        <w:trPr>
          <w:trHeight w:val="25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 writedowns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w:t>
            </w: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6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6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Excess tax over book depreciation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Website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37"/>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(74,342)</w:t>
            </w: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1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(76,475)</w:t>
            </w: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(54,475)</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available U.S. federal net operating loss carryforwards of $0.0 million and $22.2 million at August 31, 2019 and August 25, 2018, respectively. The Company also had state net operating loss carryforwards of $12.2 million and $33.6 million and foreign net operating losses of $14.2 million and $14.7 million at August 31, 2019 and August 25, 2018, respectively. The federal net operating loss carryforwards will begin to expire in 2034, while state net operating loss carryforwards will begin to expire in 2021.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fifty-three week period ended August 31, 2019, there was a $0.5 million decrease to the tax loss carryforwards in foreign jurisdictions. As the carryforwards were generated in jurisdictions where the Company has historically recognized book losses or does not have strong future earnings projections, the Company concluded it is more likely than not that the operating losses would not be realized, and thus maintained a full valuation allowance against the associated deferred tax assets. As of August 31, 2019, the Company has recorded total valuation allowances of $3.8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31, 2019, the Company has recorded valuation allowances of $3.4 million on deferred tax assets related to foreign net operating loss carryforwards. The majority of this amount represents a full valuation allowance on the deferred tax assets of foreign entities within the United Kingdom, Netherlands, and Spain. Of the valuation allowance on deferred tax assets, $0.4 million relates to state net operating losses.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intention to reinvest the earnings of non-U.S. subsidiaries in those operations. As of August 31, 2019,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31, 2019 and August 25, 2018, the Company has no unrecognized tax benefits.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associated with unrecognized tax benefits as a component of tax expense. As of August 31, 2019 and August 25, 2018, the Company has not accrued interest or penalties on unrecognized tax benefits, as there is no position recorded as of the fiscal years. No changes to the uncertain tax position balance are anticipated within the next 12 months, and are not expected to materially affect the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31, 2019, tax years 2013 to 2018 remain subject to examination in the United States and the tax years 2013 to 2018 remain subject to examination in other major foreign jurisdictions where Atkins conducts business. State income tax returns are generally subject to examination for a period of three to five years after the filing of the respective return.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Business Combination, the Company entered into the TRA with the historical stockholders of Atkins. The TRA was valued based on the future expected payments under the terms of the agreement. As more fully described in the TRA, the TRA provides for the payment by Simply Good Foods to the Atkins’ selling equity holders for certain federal, state, local and non-U.S. tax benefits deemed realized in post-closing taxable periods by Simply Good Foods, Conyers Park, Atkins and Atkins’ eligible subsidiaries from the use of up to $100 million of the following tax attributes: (i) net operating losses available to be carried forward as of the closing of the Business Combination, (ii) certain deductions generated by the consummation of the business transaction and (iii) remaining depreciable tax basis from the 2003 acquisition of Atkins Nutritionals, Inc.</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re-measured the TRA in the second quarter of 2018 due to the Tax Act. The second quarter assessment of these changes resulted in a provisional one-time gain of $4.7 million, recognized in </w:t>
      </w:r>
      <w:r>
        <w:rPr>
          <w:rFonts w:ascii="Times New Roman" w:cs="Times New Roman" w:eastAsia="Times New Roman" w:hAnsi="Times New Roman"/>
          <w:sz w:val="18"/>
          <w:szCs w:val="18"/>
          <w:i w:val="1"/>
          <w:iCs w:val="1"/>
          <w:color w:val="auto"/>
        </w:rPr>
        <w:t>Loss (gain) in fair value change of contingent consideration - TRA liability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2019, the Company entered into a termination agreement (the “Termination Agreement”) with Atkins Holdings, LLC and Roark Capital Acquisition, LLC. Pursuant to the Termination Agreement, the Company paid $26.5 million to settle the TRA in full. Under the Termination Agreement, each of the parties thereto agreed to terminate the TRA and to release any and all obligations and liabilities of the other parties thereunder effective as of the receipt of the termination payment. The Company recorded a $0.5 million loss on the fair value change in the TRA liability through the settlement on November 14, 2018 and recognized a gain of $1.5 million in connection with the execution of the Termination Agreement and final cash payment.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non-cancellable operating leases for six buildings. Rent expenses were $2.2 million for the fifty-three week period ended August 31, 2019, $2.4 million for the fifty-two week period ended August 25, 2018, $0.3 million for the successor period from July 7, 2017 through August 26, 2017, and $1.7 million for the predecessor period from August 28, 2016 through July 6, 2017.</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payments under lease arrangements with a remaining term in excess of one year were as follows as of August 31, 2019:</w:t>
      </w:r>
    </w:p>
    <w:p>
      <w:pPr>
        <w:spacing w:after="0" w:line="189" w:lineRule="exact"/>
        <w:rPr>
          <w:sz w:val="20"/>
          <w:szCs w:val="20"/>
          <w:color w:val="auto"/>
        </w:rPr>
      </w:pPr>
    </w:p>
    <w:tbl>
      <w:tblPr>
        <w:tblLayout w:type="fixed"/>
        <w:tblInd w:w="2820" w:type="dxa"/>
        <w:tblCellMar>
          <w:top w:w="0" w:type="dxa"/>
          <w:left w:w="0" w:type="dxa"/>
          <w:bottom w:w="0" w:type="dxa"/>
          <w:right w:w="0" w:type="dxa"/>
        </w:tblCellMar>
      </w:tblPr>
      <w:tr>
        <w:trPr>
          <w:trHeight w:val="23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Future Payments</w:t>
            </w: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33"/>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33"/>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affect of our business, operating result, financial condition or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fifty-three week period ended August 31, 2019, the Company reserved $3.5 million for the potential settlement of class action litigation concerning certain product label claims. The reserve is included within General and administrative in the Consolidated Statements of Comprehensive Income (Loss) and Accrued expenses and other current liabilities in the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to promote and endorse the Atkins brand and line of products. These contracts contain endorsement fees, which are expensed ratably over the life of the contract, and performance fees, that are recognized at the time of achievement. Based on the terms of the contracts in place and achievement of performance conditions as of August 31, 2019 the Company will be required to make payments of $0.3 million over the next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Equity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Conyers Park issued 13,416,667 public warrants and 6,700,000 private placement warrants. Simply Good Foods assumed the Conyers Park equity warrants upon the change of control event. As a result of the Business Combination, the warrants issued by Conyers Park are no longer exercisable for shares of Conyers Park common stock, but instead are exercisable for common stock of Simply Good Foods. All other features of the warrants remain unchanged.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4, 2018, the Company delivered a notice for the redemption (the “Redemption Notice”) of all of its public warrants that remained unexercised immediately after November 5, 2018. Holders who exercised public warrants following the Redemption Notice were required to do so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private warrants to purchase 6,700,000 shares of the Company’s common stock remain outstanding. The private warrants are owned by Conyers Park, a related party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Warrant Liabilities of Atkins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Atkins, the predecessor company, had outstanding warrants prior to the Business Combination. These warrants were settled as a part of the Business Combination.</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Historically, the value of the predecessor warrants were reflected as a liability and adjusted to fair value each reporting period through </w:t>
      </w:r>
      <w:r>
        <w:rPr>
          <w:rFonts w:ascii="Times New Roman" w:cs="Times New Roman" w:eastAsia="Times New Roman" w:hAnsi="Times New Roman"/>
          <w:sz w:val="18"/>
          <w:szCs w:val="18"/>
          <w:i w:val="1"/>
          <w:iCs w:val="1"/>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The Company recorded a benefit of $0.7 million in the predecessor period from August 28, 2016 through July 6, 2017 in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liabilities. The Company settled $15.0 million of warrant liabilities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fifty-three week period ended August 31, 2019, the Company repurchased 98,234 shares of common stock at an average share price of $21.83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issued and outstanding for the Successor period. Diluted earnings per share is based on the weighted average number of common shares issued and outstanding and the effect of all dilutive common stock equivalents outstanding during each of the successor periods.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reconciles the numerators and denominators used in the computations of both basic and diluted earnings per share: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Basic earnings per share computation:</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Numerator:</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Net income available to common stock stockholders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Denominator:</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Weighted average common shares - basic</w:t>
      </w:r>
    </w:p>
    <w:p>
      <w:pPr>
        <w:spacing w:after="0" w:line="3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Basic earnings per share from net income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From July 7, 2017</w:t>
            </w:r>
          </w:p>
        </w:tc>
      </w:tr>
      <w:tr>
        <w:trPr>
          <w:trHeight w:val="203"/>
        </w:trPr>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through August 26,</w:t>
            </w:r>
          </w:p>
        </w:tc>
      </w:tr>
      <w:tr>
        <w:trPr>
          <w:trHeight w:val="210"/>
        </w:trPr>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2019</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25, 2018</w:t>
            </w:r>
          </w:p>
        </w:tc>
        <w:tc>
          <w:tcPr>
            <w:tcW w:w="120" w:type="dxa"/>
            <w:vAlign w:val="bottom"/>
          </w:tcPr>
          <w:p>
            <w:pPr>
              <w:spacing w:after="0"/>
              <w:rPr>
                <w:sz w:val="18"/>
                <w:szCs w:val="18"/>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771"/>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540"/>
        </w:trPr>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80,734,091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70,582,149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70,562,477</w:t>
            </w:r>
          </w:p>
        </w:tc>
      </w:tr>
      <w:tr>
        <w:trPr>
          <w:trHeight w:val="55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33"/>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-1242695</wp:posOffset>
            </wp:positionV>
            <wp:extent cx="636333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63335" cy="18034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-891540</wp:posOffset>
            </wp:positionV>
            <wp:extent cx="63633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-548005</wp:posOffset>
            </wp:positionV>
            <wp:extent cx="636333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-187960</wp:posOffset>
            </wp:positionV>
            <wp:extent cx="63633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188595</wp:posOffset>
            </wp:positionV>
            <wp:extent cx="63633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440"/>
          </w:cols>
          <w:pgMar w:left="240" w:top="121" w:right="239" w:bottom="1440" w:gutter="0" w:footer="0" w:header="0"/>
          <w:type w:val="continuous"/>
        </w:sectPr>
      </w:pP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Diluted earnings per share computation:</w:t>
      </w:r>
    </w:p>
    <w:p>
      <w:pPr>
        <w:spacing w:after="0" w:line="86"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5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Numerator:</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available to common stock stockholders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37"/>
        </w:trPr>
        <w:tc>
          <w:tcPr>
            <w:tcW w:w="5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Denominator:</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80,734,091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70,582,149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70,562,477</w:t>
            </w:r>
          </w:p>
        </w:tc>
      </w:tr>
      <w:tr>
        <w:trPr>
          <w:trHeight w:val="237"/>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Public and private warrants</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3,006,073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690,248</w:t>
            </w:r>
          </w:p>
        </w:tc>
      </w:tr>
      <w:tr>
        <w:trPr>
          <w:trHeight w:val="33"/>
        </w:trPr>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Employee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Non-vested shares</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33"/>
        </w:trPr>
        <w:tc>
          <w:tcPr>
            <w:tcW w:w="5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85,243,909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73,681,355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71,254,770</w:t>
            </w:r>
          </w:p>
        </w:tc>
      </w:tr>
      <w:tr>
        <w:trPr>
          <w:trHeight w:val="297"/>
        </w:trPr>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
        </w:trPr>
        <w:tc>
          <w:tcPr>
            <w:tcW w:w="5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share calculations for the fifty-three week period ended August 31, 2019, fifty-two week period ended August 25, 2018 and the successor period from July 7, 2017 through August 26, 2017 excluded 0.2 million, 0.2 million and 2.6 million shares of stock options, respectively, that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Option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Share-based compensation is recognized on a straight-line basis over the requisite service period of the award based on their grant-date fair value. The Company recorded stock-based compensation expense of $5.5 million in the fifty-three week successor period ended August 31, 2019, $4.0 million in the fifty-two week successor period ended August 25, 2018 and $0.4 million in the successor period from July 7, 2017 through August 26, 2017</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31, 2019, there were 5.8 million shares available for grant under the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fifty-three week period ended August 31, 2019:</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remaining</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contractual life</w:t>
            </w:r>
          </w:p>
        </w:tc>
        <w:tc>
          <w:tcPr>
            <w:tcW w:w="1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Aggregate intrinsic</w:t>
            </w:r>
          </w:p>
        </w:tc>
      </w:tr>
      <w:tr>
        <w:trPr>
          <w:trHeight w:val="210"/>
        </w:trPr>
        <w:tc>
          <w:tcPr>
            <w:tcW w:w="3740" w:type="dxa"/>
            <w:vAlign w:val="bottom"/>
          </w:tcPr>
          <w:p>
            <w:pPr>
              <w:spacing w:after="0"/>
              <w:rPr>
                <w:sz w:val="18"/>
                <w:szCs w:val="18"/>
                <w:color w:val="auto"/>
              </w:rPr>
            </w:pP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exercise price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160" w:type="dxa"/>
            <w:vAlign w:val="bottom"/>
          </w:tcPr>
          <w:p>
            <w:pPr>
              <w:spacing w:after="0"/>
              <w:rPr>
                <w:sz w:val="18"/>
                <w:szCs w:val="18"/>
                <w:color w:val="auto"/>
              </w:rPr>
            </w:pP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value</w:t>
            </w:r>
          </w:p>
        </w:tc>
      </w:tr>
      <w:tr>
        <w:trPr>
          <w:trHeight w:val="33"/>
        </w:trPr>
        <w:tc>
          <w:tcPr>
            <w:tcW w:w="3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25, 2018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2,506,083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14,293,484</w:t>
            </w:r>
          </w:p>
        </w:tc>
      </w:tr>
      <w:tr>
        <w:trPr>
          <w:trHeight w:val="291"/>
        </w:trPr>
        <w:tc>
          <w:tcPr>
            <w:tcW w:w="37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2019</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2,748,735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91"/>
        </w:trPr>
        <w:tc>
          <w:tcPr>
            <w:tcW w:w="37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31, 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2,748,735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44,743,427</w:t>
            </w:r>
          </w:p>
        </w:tc>
      </w:tr>
      <w:tr>
        <w:trPr>
          <w:trHeight w:val="33"/>
        </w:trPr>
        <w:tc>
          <w:tcPr>
            <w:tcW w:w="3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91"/>
        </w:trPr>
        <w:tc>
          <w:tcPr>
            <w:tcW w:w="37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as of August 31, 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25,829,992</w:t>
            </w:r>
          </w:p>
        </w:tc>
      </w:tr>
      <w:tr>
        <w:trPr>
          <w:trHeight w:val="33"/>
        </w:trPr>
        <w:tc>
          <w:tcPr>
            <w:tcW w:w="3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summarized information about stock options outstanding at August 31, 2019:</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Weighted-Average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Weighted-Average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Remaining Life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Weighted-Average</w:t>
            </w:r>
          </w:p>
        </w:tc>
      </w:tr>
      <w:tr>
        <w:trPr>
          <w:trHeight w:val="210"/>
        </w:trPr>
        <w:tc>
          <w:tcPr>
            <w:tcW w:w="16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Range of Exercise Prices</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Number Outstanding</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Exercise Price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5"/>
              </w:rPr>
              <w:t>(Years)</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Number Exercisable</w:t>
            </w:r>
          </w:p>
        </w:tc>
        <w:tc>
          <w:tcPr>
            <w:tcW w:w="12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20" w:type="dxa"/>
            <w:vAlign w:val="bottom"/>
            <w:shd w:val="clear" w:color="auto" w:fill="CCEEFF"/>
          </w:tcPr>
          <w:p>
            <w:pPr>
              <w:jc w:val="right"/>
              <w:ind w:right="359"/>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color w:val="auto"/>
              </w:rPr>
              <w:t xml:space="preserve">  14.99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2,268,617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70"/>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20" w:type="dxa"/>
            <w:vAlign w:val="bottom"/>
          </w:tcPr>
          <w:p>
            <w:pPr>
              <w:jc w:val="right"/>
              <w:ind w:right="359"/>
              <w:spacing w:after="0" w:line="27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color w:val="auto"/>
              </w:rPr>
              <w:t xml:space="preserve">  17.99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r>
      <w:tr>
        <w:trPr>
          <w:trHeight w:val="270"/>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20" w:type="dxa"/>
            <w:vAlign w:val="bottom"/>
            <w:shd w:val="clear" w:color="auto" w:fill="CCEEFF"/>
          </w:tcPr>
          <w:p>
            <w:pPr>
              <w:jc w:val="right"/>
              <w:ind w:right="359"/>
              <w:spacing w:after="0" w:line="27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color w:val="auto"/>
              </w:rPr>
              <w:t xml:space="preserve">  20.99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20" w:type="dxa"/>
            <w:vAlign w:val="bottom"/>
          </w:tcPr>
          <w:p>
            <w:pPr>
              <w:jc w:val="right"/>
              <w:ind w:right="359"/>
              <w:spacing w:after="0" w:line="27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color w:val="auto"/>
              </w:rPr>
              <w:t xml:space="preserve">  23.99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20" w:type="dxa"/>
            <w:vAlign w:val="bottom"/>
            <w:shd w:val="clear" w:color="auto" w:fill="CCEEFF"/>
          </w:tcPr>
          <w:p>
            <w:pPr>
              <w:jc w:val="right"/>
              <w:ind w:right="359"/>
              <w:spacing w:after="0" w:line="27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color w:val="auto"/>
              </w:rPr>
              <w:t xml:space="preserve">  26.99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2,748,735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1,478,216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fifty-three week period ended August 31, 2019, fifty-two week period ended August 25, 2018 and for the successor period from July 7, 2017 through August 26, 2017 were $7.10, $4.60 and $3.71, respectively. No stock options were granted prior to the Business Combination. As such, there were not any shares vested or exercisable for the successor period from July 7, 2017 through August 26, 2017</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based on the following assumptions: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From July 7, 2017</w:t>
            </w:r>
          </w:p>
        </w:tc>
      </w:tr>
      <w:tr>
        <w:trPr>
          <w:trHeight w:val="203"/>
        </w:trPr>
        <w:tc>
          <w:tcPr>
            <w:tcW w:w="5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through August 26,</w:t>
            </w:r>
          </w:p>
        </w:tc>
      </w:tr>
      <w:tr>
        <w:trPr>
          <w:trHeight w:val="210"/>
        </w:trPr>
        <w:tc>
          <w:tcPr>
            <w:tcW w:w="5360" w:type="dxa"/>
            <w:vAlign w:val="bottom"/>
          </w:tcPr>
          <w:p>
            <w:pPr>
              <w:spacing w:after="0"/>
              <w:rPr>
                <w:sz w:val="18"/>
                <w:szCs w:val="18"/>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August 31, 2019</w:t>
            </w:r>
          </w:p>
        </w:tc>
        <w:tc>
          <w:tcPr>
            <w:tcW w:w="16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August 25, 2018</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5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4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6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option term</w:t>
            </w: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6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1.98%</w:t>
            </w:r>
          </w:p>
        </w:tc>
      </w:tr>
    </w:tbl>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Expected term is estimated using the simplified method, which takes into account vesting and contractual term. The simplified method is being used to calculate expected term instead of historical experience due to a lack of relevant historical data resulting from changes in option vesting schedules and changes in the pool of employees receiving option grants. Due to a lack of sufficient trading history for our common stock, expected stock price volatility is based on a sampling of comparable publicly traded companies. The Company believes a sample of comparable publicly traded companies most closely models the nature of the business and stock price volatility. The risk-free rates are based on the implied yield available on U.S. Treasury zero-coupon issues with an equivalent remaining term. Future annual dividends over the expected term are estimated to be nil.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31, 2019, $5.0 million of total unrecognized compensation cost related to stock option plans that will be recognized over a weighted average period of 1.4 years. During the fifty-three week period ended August 31, 2019 and the fifty-two week period ended August 25, 2018, the Company received $0.7 million and $0.1 million in cash from stock option exercises,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granted under the Incentive Plan are granted at a price equal to closing market price of our common stock on the date of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under the Incentive Plan generally vest over three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summarized Restricted Stock Unit activity for the fifty-three week period ended August 31,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0"/>
        </w:trPr>
        <w:tc>
          <w:tcPr>
            <w:tcW w:w="686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7"/>
              </w:rPr>
              <w:t>Units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25, 2018</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2"/>
              </w:rPr>
              <w:t>111,085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318"/>
        </w:trPr>
        <w:tc>
          <w:tcPr>
            <w:tcW w:w="68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r>
      <w:tr>
        <w:trPr>
          <w:trHeight w:val="237"/>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(87,158)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33"/>
        </w:trPr>
        <w:tc>
          <w:tcPr>
            <w:tcW w:w="6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2019</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33"/>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the Company had $0.7 million of total unrecognized compensation cost related to restricted stock unit awards that will be recognized over a weighted average period of 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fifty-three weeks ended August 31, 2019, the Board of Directors granted performance stock units under the Incentive Plan. Performance stock units vest in a range between 0% and 100% based upon the price of the Company’s common stock at the end of a three-year period. Performance stock units were valued using a Monte-Carlo simulation.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summarized Performance Stock Unit activity for the fifty-three week period ended August 31,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0"/>
        </w:trPr>
        <w:tc>
          <w:tcPr>
            <w:tcW w:w="686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Units</w:t>
            </w:r>
          </w:p>
        </w:tc>
        <w:tc>
          <w:tcPr>
            <w:tcW w:w="100" w:type="dxa"/>
            <w:vAlign w:val="bottom"/>
          </w:tcPr>
          <w:p>
            <w:pPr>
              <w:spacing w:after="0"/>
              <w:rPr>
                <w:sz w:val="18"/>
                <w:szCs w:val="18"/>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25, 2018</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8"/>
        </w:trPr>
        <w:tc>
          <w:tcPr>
            <w:tcW w:w="686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1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2019</w:t>
            </w: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192,389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33"/>
        </w:trPr>
        <w:tc>
          <w:tcPr>
            <w:tcW w:w="6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31, 2019, the Company had $1.7 million of total unrecognized compensation cost related to performance stock unit awards that will be recognized over a weighted average period of 2.2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2011, the predecessor's Board of Directors adopted the NCP-ATK Holdings, Inc. 2010 Stock Option Plan (the “Option Plan”). Under the terms of the Option Plan, nonqualified stock options were granted to employees, directors and consultants of the predecessor Company. An option certificate for each grant set forth the exercise price, vesting period, performance thresholds if applicable and other terms. Options with service conditions generally vested over a period of five years, and the Company recognized share-based compensation expense ratably over the vesting period. Options with performance conditions generally vested over five successive years, based on the achievement of certain annual financial targets. Options typically expired after ten years.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unvested portion of the stock options forfeited as of the Business Combination effective date and the vested portion of the stock options were required to be exercised within five calendar days following receipt by the option holder of written notice of the change in control. If not exercised, these vested stock options were canceled.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predecessor period from August 28, 2016 through July 6, 2017 were $261.80. The fair value of each option grant is estimated on the date of grant using the Black-Scholes Option Pricing Model based on the following assumptions: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From August 28, 2016</w:t>
            </w:r>
          </w:p>
        </w:tc>
      </w:tr>
      <w:tr>
        <w:trPr>
          <w:trHeight w:val="210"/>
        </w:trPr>
        <w:tc>
          <w:tcPr>
            <w:tcW w:w="85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through July 6, 2017</w:t>
            </w:r>
          </w:p>
        </w:tc>
      </w:tr>
      <w:tr>
        <w:trPr>
          <w:trHeight w:val="33"/>
        </w:trPr>
        <w:tc>
          <w:tcPr>
            <w:tcW w:w="85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r>
      <w:tr>
        <w:trPr>
          <w:trHeight w:val="23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option term</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6.5 years</w:t>
            </w:r>
          </w:p>
        </w:tc>
      </w:tr>
      <w:tr>
        <w:trPr>
          <w:trHeight w:val="23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1.74%</w:t>
            </w:r>
          </w:p>
        </w:tc>
      </w:tr>
    </w:tbl>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expected term of the options represented the estimated period of time until exercise and considered vesting schedules and expectations of future employee and director behavior. Expected stock price volatility was based on a sampling of comparable publicly traded companies that the Company believed most closely modeled the nature of its own business. The risk-free rates were based on the implied yield available on U.S. Treasury zero-coupon issued with an equivalent term.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option activity under the plans for the predecessor company is as follows:</w:t>
      </w:r>
    </w:p>
    <w:p>
      <w:pPr>
        <w:spacing w:after="0" w:line="17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6"/>
          <w:szCs w:val="16"/>
          <w:color w:val="auto"/>
        </w:rPr>
        <w:t>From August 28,</w:t>
      </w:r>
    </w:p>
    <w:p>
      <w:pPr>
        <w:spacing w:after="0" w:line="2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6"/>
          <w:szCs w:val="16"/>
          <w:color w:val="auto"/>
        </w:rPr>
        <w:t>2016 through July 6,</w:t>
      </w:r>
    </w:p>
    <w:p>
      <w:pPr>
        <w:spacing w:after="0" w:line="19"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6"/>
          <w:szCs w:val="16"/>
          <w:color w:val="auto"/>
        </w:rPr>
        <w:t>2017</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w:t>
            </w: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shares vested</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related to stock option expense</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33"/>
        </w:trPr>
        <w:tc>
          <w:tcPr>
            <w:tcW w:w="8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right="9040" w:firstLine="8"/>
        <w:spacing w:after="0" w:line="502" w:lineRule="auto"/>
        <w:tabs>
          <w:tab w:leader="none" w:pos="27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Successor</w:t>
      </w: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fifty-three week period ended August 31, 2019, the Company entered into the Termination Agreement, pursuant to which, the Company paid $26.5 million to settle the TRA (the “Termination Payment”), which provided former stockholders of Atkins with payments for federal, state, local and non-U.S. tax benefits deemed realized by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Termination Agreement, each of the parties thereto agreed to terminate the TRA and to release and discharge any and all obligations and liabilities of the other parties thereunder effective as of the exchange agent’s receipt of the Termination Payment. Richard Laube, a former director of the Company, Joseph Scalzo, our President and Chief Executive Officer and a director of the Company, and Scott Parker, our Chief Marketing Officer, were each former stockholders of Atkins and received their respective pro rata share of the Termination Payment as additional consideration for their former stock ownership in accordance with the terms of the Merger Agreement. The TRA liability and subsequent settlement are discussed in Note 10, Income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Working Capital Adjustment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2018, pursuant to the terms of the Merger Agreement, Simply Good Foods paid a working capital adjustment of $1.8 million to the former owners of Atkins, which resulted in an increase to the previously recognized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an arrangement with the former majority stockholder of Atkins, the predecessor company was obligated to pay a management fee of the greater of $0.9 million or an amount equal to 2% of consolidated adjusted earnings before interest, tax, depreciation and amortization (EBITDA), as defined by the First Lien and Second Lien, which could have been prorated upon a fiscal year-end change. Annual reimbursements for out-of-pocket expenses were limited to $0.2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predecessor period from August 28, 2016 through July 6, 2017, the management fee expense was $1.2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Customer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organized its operations into one operating segment that sells its branded nutritional foods and snacking products designed around the nutrition principles of the Atkins eating approach. The results of the operating segment are reviewed by the Company’s chief operating decision maker to make decisions about resource expenditures and assessing financial performance. This operating segment is therefore the Company’s only reportable segment.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Reconciliations of the totals of reported segment revenue, profit or loss measurement, assets and other significant items reported by segment to the corresponding GAAP totals is not applicable to the Company as it only has one reportable segment. The following is a summary of revenue from external customers by geographical location:</w:t>
      </w:r>
    </w:p>
    <w:p>
      <w:pPr>
        <w:spacing w:after="0" w:line="113" w:lineRule="exact"/>
        <w:rPr>
          <w:sz w:val="20"/>
          <w:szCs w:val="20"/>
          <w:color w:val="auto"/>
        </w:rPr>
      </w:pPr>
    </w:p>
    <w:tbl>
      <w:tblPr>
        <w:tblLayout w:type="fixed"/>
        <w:tblInd w:w="720" w:type="dxa"/>
        <w:tblCellMar>
          <w:top w:w="0" w:type="dxa"/>
          <w:left w:w="0" w:type="dxa"/>
          <w:bottom w:w="0" w:type="dxa"/>
          <w:right w:w="0" w:type="dxa"/>
        </w:tblCellMar>
      </w:tblPr>
      <w:tr>
        <w:trPr>
          <w:trHeight w:val="243"/>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53-Weeks Ended</w:t>
            </w:r>
          </w:p>
        </w:tc>
        <w:tc>
          <w:tcPr>
            <w:tcW w:w="16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21"/>
                <w:szCs w:val="21"/>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From July 7, 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From August 28,</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August 25, 2018</w:t>
            </w:r>
          </w:p>
        </w:tc>
        <w:tc>
          <w:tcPr>
            <w:tcW w:w="12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9"/>
              </w:rPr>
              <w:t>through August 26,</w:t>
            </w:r>
          </w:p>
        </w:tc>
        <w:tc>
          <w:tcPr>
            <w:tcW w:w="100" w:type="dxa"/>
            <w:vAlign w:val="bottom"/>
          </w:tcPr>
          <w:p>
            <w:pPr>
              <w:spacing w:after="0"/>
              <w:rPr>
                <w:sz w:val="15"/>
                <w:szCs w:val="15"/>
                <w:color w:val="auto"/>
              </w:rPr>
            </w:pPr>
          </w:p>
        </w:tc>
        <w:tc>
          <w:tcPr>
            <w:tcW w:w="15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rPr>
              <w:t>2016 through July 6,</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2017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(Successor)</w:t>
            </w:r>
          </w:p>
        </w:tc>
        <w:tc>
          <w:tcPr>
            <w:tcW w:w="16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(Successor)</w:t>
            </w:r>
          </w:p>
        </w:tc>
        <w:tc>
          <w:tcPr>
            <w:tcW w:w="120" w:type="dxa"/>
            <w:vAlign w:val="bottom"/>
          </w:tcPr>
          <w:p>
            <w:pPr>
              <w:spacing w:after="0"/>
              <w:rPr>
                <w:sz w:val="21"/>
                <w:szCs w:val="21"/>
                <w:color w:val="auto"/>
              </w:rPr>
            </w:pPr>
          </w:p>
        </w:tc>
        <w:tc>
          <w:tcPr>
            <w:tcW w:w="15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external customers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316,776</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0" w:type="dxa"/>
            <w:vAlign w:val="bottom"/>
          </w:tcPr>
          <w:p>
            <w:pPr>
              <w:spacing w:after="0"/>
              <w:rPr>
                <w:sz w:val="1"/>
                <w:szCs w:val="1"/>
                <w:color w:val="auto"/>
              </w:rPr>
            </w:pPr>
          </w:p>
        </w:tc>
      </w:tr>
      <w:tr>
        <w:trPr>
          <w:trHeight w:val="244"/>
        </w:trPr>
        <w:tc>
          <w:tcPr>
            <w:tcW w:w="3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523,383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431,429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339,837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long lived assets by geographical location:</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2019</w:t>
            </w:r>
          </w:p>
        </w:tc>
        <w:tc>
          <w:tcPr>
            <w:tcW w:w="16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24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lived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33"/>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4"/>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Management does not view its business by product 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Credit risk for the Company was concentrated in the following customer who comprised more than 10% of the Company’s total sales for fifty-three week period ended August 31, 2019, the successor period from July 7, 2017 through August 26, 2017 and the predecessor period from August 28, 2016 through July 6, 2017:</w:t>
      </w:r>
    </w:p>
    <w:p>
      <w:pPr>
        <w:spacing w:after="0" w:line="113"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3480" w:type="dxa"/>
            <w:vAlign w:val="bottom"/>
          </w:tcPr>
          <w:p>
            <w:pPr>
              <w:spacing w:after="0"/>
              <w:rPr>
                <w:sz w:val="23"/>
                <w:szCs w:val="23"/>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53-Weeks Ended</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52-weeks ended</w:t>
            </w:r>
          </w:p>
        </w:tc>
        <w:tc>
          <w:tcPr>
            <w:tcW w:w="100" w:type="dxa"/>
            <w:vAlign w:val="bottom"/>
          </w:tcPr>
          <w:p>
            <w:pPr>
              <w:spacing w:after="0"/>
              <w:rPr>
                <w:sz w:val="23"/>
                <w:szCs w:val="23"/>
                <w:color w:val="auto"/>
              </w:rPr>
            </w:pPr>
          </w:p>
        </w:tc>
        <w:tc>
          <w:tcPr>
            <w:tcW w:w="166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From July 7, 2017</w:t>
            </w:r>
          </w:p>
        </w:tc>
        <w:tc>
          <w:tcPr>
            <w:tcW w:w="10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From August 28, 2016</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August 25, 2018</w:t>
            </w:r>
          </w:p>
        </w:tc>
        <w:tc>
          <w:tcPr>
            <w:tcW w:w="10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120"/>
              <w:spacing w:after="0" w:line="148" w:lineRule="exact"/>
              <w:rPr>
                <w:sz w:val="20"/>
                <w:szCs w:val="20"/>
                <w:color w:val="auto"/>
              </w:rPr>
            </w:pPr>
            <w:r>
              <w:rPr>
                <w:rFonts w:ascii="Times New Roman" w:cs="Times New Roman" w:eastAsia="Times New Roman" w:hAnsi="Times New Roman"/>
                <w:sz w:val="16"/>
                <w:szCs w:val="16"/>
                <w:color w:val="auto"/>
              </w:rPr>
              <w:t>through August 26,</w:t>
            </w:r>
          </w:p>
        </w:tc>
        <w:tc>
          <w:tcPr>
            <w:tcW w:w="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through July 6, 2017</w:t>
            </w:r>
          </w:p>
        </w:tc>
        <w:tc>
          <w:tcPr>
            <w:tcW w:w="0" w:type="dxa"/>
            <w:vAlign w:val="bottom"/>
          </w:tcPr>
          <w:p>
            <w:pPr>
              <w:spacing w:after="0"/>
              <w:rPr>
                <w:sz w:val="1"/>
                <w:szCs w:val="1"/>
                <w:color w:val="auto"/>
              </w:rPr>
            </w:pPr>
          </w:p>
        </w:tc>
      </w:tr>
      <w:tr>
        <w:trPr>
          <w:trHeight w:val="102"/>
        </w:trPr>
        <w:tc>
          <w:tcPr>
            <w:tcW w:w="3480" w:type="dxa"/>
            <w:vAlign w:val="bottom"/>
          </w:tcPr>
          <w:p>
            <w:pPr>
              <w:spacing w:after="0"/>
              <w:rPr>
                <w:sz w:val="8"/>
                <w:szCs w:val="8"/>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August 31, 2019</w:t>
            </w:r>
          </w:p>
        </w:tc>
        <w:tc>
          <w:tcPr>
            <w:tcW w:w="1520" w:type="dxa"/>
            <w:vAlign w:val="bottom"/>
            <w:vMerge w:val="continue"/>
          </w:tcPr>
          <w:p>
            <w:pPr>
              <w:spacing w:after="0"/>
              <w:rPr>
                <w:sz w:val="8"/>
                <w:szCs w:val="8"/>
                <w:color w:val="auto"/>
              </w:rPr>
            </w:pPr>
          </w:p>
        </w:tc>
        <w:tc>
          <w:tcPr>
            <w:tcW w:w="16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2017</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(Successor)</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(Successor)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(Predecessor)</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3"/>
        </w:trPr>
        <w:tc>
          <w:tcPr>
            <w:tcW w:w="3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August 31, 2019 and August 25, 2018, the Company had a single significant customer that accounted for the following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accounts receivable, net:</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August 31, 2019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August 25, 2018</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17,386</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14,519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7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other customers of the Company accounted for more than 10% of sales during these periods. The Company generally does not require collateral from its customers and has not incurred any significant losses on uncollectible accounts receivable.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right="8080" w:hanging="652"/>
        <w:spacing w:after="0" w:line="482" w:lineRule="auto"/>
        <w:tabs>
          <w:tab w:leader="none" w:pos="28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Unaudited Quarterly Financial Data </w:t>
      </w:r>
      <w:r>
        <w:rPr>
          <w:rFonts w:ascii="Times New Roman" w:cs="Times New Roman" w:eastAsia="Times New Roman" w:hAnsi="Times New Roman"/>
          <w:sz w:val="18"/>
          <w:szCs w:val="18"/>
          <w:color w:val="auto"/>
        </w:rPr>
        <w:t>Summarized quarterly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-15875</wp:posOffset>
            </wp:positionV>
            <wp:extent cx="4707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tbl>
      <w:tblPr>
        <w:tblLayout w:type="fixed"/>
        <w:tblInd w:w="72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53-weeks ended</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13-weeks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rPr>
              <w:t>13-weeks ended</w:t>
            </w:r>
          </w:p>
        </w:tc>
        <w:tc>
          <w:tcPr>
            <w:tcW w:w="14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13-weeks ended</w:t>
            </w:r>
          </w:p>
        </w:tc>
        <w:tc>
          <w:tcPr>
            <w:tcW w:w="12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13-weeks ended</w:t>
            </w:r>
          </w:p>
        </w:tc>
      </w:tr>
      <w:tr>
        <w:trPr>
          <w:trHeight w:val="297"/>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August 31, 2019</w:t>
            </w:r>
          </w:p>
        </w:tc>
        <w:tc>
          <w:tcPr>
            <w:tcW w:w="100" w:type="dxa"/>
            <w:vAlign w:val="bottom"/>
            <w:tcBorders>
              <w:bottom w:val="single" w:sz="8" w:color="CCEEFF"/>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August 31, 2019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May 25, 2019</w:t>
            </w:r>
          </w:p>
        </w:tc>
        <w:tc>
          <w:tcPr>
            <w:tcW w:w="100" w:type="dxa"/>
            <w:vAlign w:val="bottom"/>
            <w:tcBorders>
              <w:bottom w:val="single" w:sz="8" w:color="CCEEFF"/>
            </w:tcBorders>
            <w:gridSpan w:val="2"/>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February 23, 2019</w:t>
            </w:r>
          </w:p>
        </w:tc>
        <w:tc>
          <w:tcPr>
            <w:tcW w:w="120" w:type="dxa"/>
            <w:vAlign w:val="bottom"/>
            <w:tcBorders>
              <w:bottom w:val="single" w:sz="8" w:color="CCEEFF"/>
            </w:tcBorders>
            <w:gridSpan w:val="2"/>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24, 2018</w:t>
            </w:r>
          </w:p>
        </w:tc>
      </w:tr>
      <w:tr>
        <w:trPr>
          <w:trHeight w:val="23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523,383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139,184</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139,468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120,931</w:t>
            </w: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217,405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59,173</w:t>
            </w:r>
          </w:p>
        </w:tc>
        <w:tc>
          <w:tcPr>
            <w:tcW w:w="40" w:type="dxa"/>
            <w:vAlign w:val="bottom"/>
          </w:tcPr>
          <w:p>
            <w:pPr>
              <w:spacing w:after="0"/>
              <w:rPr>
                <w:sz w:val="23"/>
                <w:szCs w:val="2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56,657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51,920</w:t>
            </w: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w:t>
            </w:r>
          </w:p>
        </w:tc>
      </w:tr>
      <w:tr>
        <w:trPr>
          <w:trHeight w:val="23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4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r>
      <w:tr>
        <w:trPr>
          <w:trHeight w:val="33"/>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2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37"/>
        </w:trPr>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168"/>
        </w:trPr>
        <w:tc>
          <w:tcPr>
            <w:tcW w:w="2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17"/>
        </w:trPr>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13-weeks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13-weeks ended</w:t>
            </w:r>
          </w:p>
        </w:tc>
        <w:tc>
          <w:tcPr>
            <w:tcW w:w="14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13-weeks ended</w:t>
            </w:r>
          </w:p>
        </w:tc>
        <w:tc>
          <w:tcPr>
            <w:tcW w:w="12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13-weeks ended</w:t>
            </w:r>
          </w:p>
        </w:tc>
      </w:tr>
      <w:tr>
        <w:trPr>
          <w:trHeight w:val="298"/>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August 25,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August 25, 2018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May 26,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February 24, 2018</w:t>
            </w:r>
          </w:p>
        </w:tc>
        <w:tc>
          <w:tcPr>
            <w:tcW w:w="10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25, 2017</w:t>
            </w:r>
          </w:p>
        </w:tc>
      </w:tr>
      <w:tr>
        <w:trPr>
          <w:trHeight w:val="235"/>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431,429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108,262</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106,587</w:t>
            </w:r>
          </w:p>
        </w:tc>
      </w:tr>
      <w:tr>
        <w:trPr>
          <w:trHeight w:val="27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Gross profit </w:t>
            </w:r>
            <w:r>
              <w:rPr>
                <w:rFonts w:ascii="Times New Roman" w:cs="Times New Roman" w:eastAsia="Times New Roman" w:hAnsi="Times New Roman"/>
                <w:sz w:val="21"/>
                <w:szCs w:val="2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180,366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46,275</w:t>
            </w:r>
          </w:p>
        </w:tc>
        <w:tc>
          <w:tcPr>
            <w:tcW w:w="40" w:type="dxa"/>
            <w:vAlign w:val="bottom"/>
          </w:tcPr>
          <w:p>
            <w:pPr>
              <w:spacing w:after="0"/>
              <w:rPr>
                <w:sz w:val="23"/>
                <w:szCs w:val="23"/>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46,357</w:t>
            </w: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19,286</w:t>
            </w:r>
          </w:p>
        </w:tc>
      </w:tr>
      <w:tr>
        <w:trPr>
          <w:trHeight w:val="23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4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w:t>
            </w:r>
          </w:p>
        </w:tc>
      </w:tr>
      <w:tr>
        <w:trPr>
          <w:trHeight w:val="33"/>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2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37"/>
        </w:trPr>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bl>
    <w:p>
      <w:pPr>
        <w:spacing w:after="0" w:line="181" w:lineRule="exact"/>
        <w:rPr>
          <w:sz w:val="20"/>
          <w:szCs w:val="20"/>
          <w:color w:val="auto"/>
        </w:rPr>
      </w:pPr>
    </w:p>
    <w:p>
      <w:pPr>
        <w:jc w:val="both"/>
        <w:ind w:left="500" w:right="20" w:hanging="411"/>
        <w:spacing w:after="0" w:line="272"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fifty-three weeks ended August 31, 2019, certain reclassifications were made to previously reported amounts to conform to the current presentation. On the consolidated statement of operations, inbound freight previously included in Distribution, distribution center expenses previously included in </w:t>
      </w:r>
      <w:r>
        <w:rPr>
          <w:rFonts w:ascii="Times New Roman" w:cs="Times New Roman" w:eastAsia="Times New Roman" w:hAnsi="Times New Roman"/>
          <w:sz w:val="16"/>
          <w:szCs w:val="16"/>
          <w:i w:val="1"/>
          <w:iCs w:val="1"/>
          <w:color w:val="auto"/>
        </w:rPr>
        <w:t>General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administrative</w:t>
      </w:r>
      <w:r>
        <w:rPr>
          <w:rFonts w:ascii="Times New Roman" w:cs="Times New Roman" w:eastAsia="Times New Roman" w:hAnsi="Times New Roman"/>
          <w:sz w:val="16"/>
          <w:szCs w:val="16"/>
          <w:color w:val="auto"/>
        </w:rPr>
        <w:t>, and depreciation for equipment used in warehouse operations were reclassified to</w:t>
      </w:r>
      <w:r>
        <w:rPr>
          <w:rFonts w:ascii="Times New Roman" w:cs="Times New Roman" w:eastAsia="Times New Roman" w:hAnsi="Times New Roman"/>
          <w:sz w:val="16"/>
          <w:szCs w:val="16"/>
          <w:i w:val="1"/>
          <w:iCs w:val="1"/>
          <w:color w:val="auto"/>
        </w:rPr>
        <w:t xml:space="preserve"> Cost of goods sold</w:t>
      </w:r>
      <w:r>
        <w:rPr>
          <w:rFonts w:ascii="Times New Roman" w:cs="Times New Roman" w:eastAsia="Times New Roman" w:hAnsi="Times New Roman"/>
          <w:sz w:val="16"/>
          <w:szCs w:val="16"/>
          <w:color w:val="auto"/>
        </w:rPr>
        <w:t>. Including these expenses in Cost of goods sold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better align costs with the related revenue. As a result, the first three quarters of fiscal 2019 and all quarterly results of 2018 have been adjusted on a retrospective basis to reflect the reclassification. For additional information on the change in accounting principle, see Note 2.</w:t>
      </w:r>
    </w:p>
    <w:p>
      <w:pPr>
        <w:spacing w:after="0" w:line="20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Earnings per common share amounts are computed independently for each of the quarters presented. Therefore, the sum of the quarterly earnings per share amounts may not equal the quarterly earnings per share amounts or the annual earnings per share amounts due to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 Acquisition and Related Financing</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21, 2019, we entered into a stock purchase agreement (the “Purchase Agreement”) to acquire Quest Nutrition, LLC (“Quest”), a healthy lifestyle food company (the “Acquisition”), for approximately $1.0 billion. The Acquisition is expected to close by the end of the 2019 calendar year, subject to satisfaction of customary closing conditions. There is no financing condition for the Acquisition.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2019, we completed an underwritten public offering of 13,379,205 shares of our common stock at a price per share of $26.16 (the “Offering”), resulting in net proceeds to us of approximately $350.0 million, after deducting underwriting discounts and commissions and our estimated fees and expenses for the Offering. We intend to use these net proceeds to pay a portion of the purchase price and related fees and expenses for the Acquisition, or for general corporate purposes if the acquisition is not consummated.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fund the remainder of the Acquisition by using a significant portion of the approximately $265 million of cash on hand and committed financing pursuant to debt commitments from Barclays, Credit Suisse and Goldman Sachs.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President and Chief Executive Officer and our Chief Financial Officer, as appropriate, to allow timely decisions regarding required financial disclosures.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President and Chief Executive Officer and our Chief Financial Officer, conducted an evaluation of the effectiveness of our disclosure controls and procedures as of August 31, 2019, the end of the period covered by this Report. Based on this evaluation, our Chief Executive Officer and Chief Financial Officer concluded that, as of August 31, 2019,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31, 2019.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31, 2019.</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August 31, 2019 was audited by Deloitte &amp; Touche LLP, our independent registered public accounting firm, as stated in their report appearing below, which expressed an unqualified opinion on the effectiveness of our internal control over financial reporting as of August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August 31, 2019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The Simply Good Foods Company and subsidiaries (the “Company”) as of August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August 31, 2019, based on criteria established in Internal Control - Integrated Framework (2013) issued by COSO.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August 31, 2019, of the Company and our report dated October 30, 2019, expressed an unqualified opinion on those consolidated financial statements and included an explanatory paragraph relating to a change in accounting principle to reclassify shipping and handling costs from distribution expense to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October 28, 2019, our board of directors adopted our second amended and restated bylaws to remove obsolete provisions, make immaterial corrections to section references and correct other non-substantive clerical errors. The second amended and restated bylaws is included as Exhibit 3.2 to this Report.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2020 Annual Meeting of Stockholders to be filed no later than 120 days after the end of the fiscal year ended August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2020 Annual Meeting of Stockholders to be filed no later than 120 days after the end of the fiscal year ended August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2020 Annual Meeting of Stockholders to be filed no later than 120 days after the end of the fiscal year ended August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2020 Annual Meeting of Stockholders to be filed no later than 120 days after the end of the fiscal year ended August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2020 Annual Meeting of Stockholders to be filed no later than 120 days after the end of the fiscal year ended August 31, 2019.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40"/>
        </w:trPr>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89"/>
        </w:trPr>
        <w:tc>
          <w:tcPr>
            <w:tcW w:w="11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2.1(a)</w:t>
            </w:r>
          </w:p>
        </w:tc>
        <w:tc>
          <w:tcPr>
            <w:tcW w:w="10240" w:type="dxa"/>
            <w:vAlign w:val="bottom"/>
            <w:tcBorders>
              <w:right w:val="single" w:sz="8" w:color="CCEEFF"/>
            </w:tcBorders>
            <w:gridSpan w:val="7"/>
            <w:shd w:val="clear" w:color="auto" w:fill="CCEEFF"/>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Agreement and Plan of Merger, dated April 10, 2017, by and among Conyers Park Acquisition Corp., The Simply Good Foods Company, Conyers Park</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r>
      <w:tr>
        <w:trPr>
          <w:trHeight w:val="183"/>
        </w:trPr>
        <w:tc>
          <w:tcPr>
            <w:tcW w:w="1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240" w:type="dxa"/>
            <w:vAlign w:val="bottom"/>
            <w:tcBorders>
              <w:bottom w:val="single" w:sz="8" w:color="0000FF"/>
              <w:right w:val="single" w:sz="8" w:color="CCEEFF"/>
            </w:tcBorders>
            <w:gridSpan w:val="7"/>
            <w:shd w:val="clear" w:color="auto" w:fill="CCEEFF"/>
          </w:tcPr>
          <w:p>
            <w:pPr>
              <w:spacing w:after="0" w:line="183"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Parent Merger Sub, Inc., Conyers Park Merger Sub 1, Inc., Conyers Park Merger Sub 2, Inc., Conyers Park Merger Sub 3, Inc., Conyers Park Merger Sub 4,</w:t>
              </w:r>
            </w:hyperlink>
          </w:p>
        </w:tc>
      </w:tr>
      <w:tr>
        <w:trPr>
          <w:trHeight w:val="183"/>
        </w:trPr>
        <w:tc>
          <w:tcPr>
            <w:tcW w:w="10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240" w:type="dxa"/>
            <w:vAlign w:val="bottom"/>
            <w:tcBorders>
              <w:right w:val="single" w:sz="8" w:color="CCEEFF"/>
            </w:tcBorders>
            <w:gridSpan w:val="7"/>
            <w:shd w:val="clear" w:color="auto" w:fill="CCEEFF"/>
          </w:tcPr>
          <w:p>
            <w:pPr>
              <w:spacing w:after="0" w:line="183"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Inc., NCP-ATK HOLDINGS, INC., Atkins Holdings LLC, solely in its capacity as the Majority Stockholder and, solely in its capacity as the Stockholders’</w:t>
              </w:r>
            </w:hyperlink>
          </w:p>
        </w:tc>
      </w:tr>
      <w:tr>
        <w:trPr>
          <w:trHeight w:val="230"/>
        </w:trPr>
        <w:tc>
          <w:tcPr>
            <w:tcW w:w="10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10240" w:type="dxa"/>
            <w:vAlign w:val="bottom"/>
            <w:tcBorders>
              <w:top w:val="single" w:sz="8" w:color="0000FF"/>
              <w:right w:val="single" w:sz="8" w:color="CCEEFF"/>
            </w:tcBorders>
            <w:gridSpan w:val="7"/>
            <w:shd w:val="clear" w:color="auto" w:fill="CCEEFF"/>
          </w:tcPr>
          <w:p>
            <w:pPr>
              <w:spacing w:after="0" w:line="183"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Representative, Roark Capital Acquisition LLC (incorporated by reference to Exhibit 2.1 to Registration Statement on Form S-4, filed on April 11, 2017).</w:t>
              </w:r>
            </w:hyperlink>
          </w:p>
        </w:tc>
      </w:tr>
      <w:tr>
        <w:trPr>
          <w:trHeight w:val="189"/>
        </w:trPr>
        <w:tc>
          <w:tcPr>
            <w:tcW w:w="118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2.2(a)</w:t>
            </w:r>
          </w:p>
        </w:tc>
        <w:tc>
          <w:tcPr>
            <w:tcW w:w="9980" w:type="dxa"/>
            <w:vAlign w:val="bottom"/>
            <w:tcBorders>
              <w:top w:val="single" w:sz="8" w:color="0000FF"/>
            </w:tcBorders>
            <w:gridSpan w:val="3"/>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Stock and Unit Purchase Agreement, dated as of August 21, 2019, by and among Voyage Holdings, LLC, VMG Quest Blocker, Inc., VMG Voyage</w:t>
              </w:r>
            </w:hyperlink>
          </w:p>
        </w:tc>
        <w:tc>
          <w:tcPr>
            <w:tcW w:w="260" w:type="dxa"/>
            <w:vAlign w:val="bottom"/>
            <w:tcBorders>
              <w:top w:val="single" w:sz="8" w:color="CCEEFF"/>
            </w:tcBorders>
            <w:gridSpan w:val="4"/>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gridSpan w:val="7"/>
          </w:tcPr>
          <w:p>
            <w:pPr>
              <w:spacing w:after="0" w:line="183"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Holdings, LLC, VMG Tax-Exempt II, L.P., The Michael K. Osborn and Kaplana P. Osborn Revocable Living Trust, The Ava M. Osborn 2018 Irrevocable</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6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40" w:type="dxa"/>
            <w:vAlign w:val="bottom"/>
            <w:gridSpan w:val="7"/>
          </w:tcPr>
          <w:p>
            <w:pPr>
              <w:spacing w:after="0" w:line="183"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Gift Trust, The Cole M. Osborn 2018 Irrevocable Gift Trust, Ronald Penna and Thomas Bilyeu, Voyage Employee Holdings, LLC, Atkins Nutritionals, Inc.</w:t>
              </w:r>
            </w:hyperlink>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and solely for the purposes of Section 8.10 therein, the Restricted Sellers (incorporated by reference to Exhibit 2.1 to our Current Report on Form 8-K filed</w:t>
              </w:r>
            </w:hyperlink>
          </w:p>
        </w:tc>
        <w:tc>
          <w:tcPr>
            <w:tcW w:w="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on August 22, 2019).</w:t>
              </w:r>
            </w:hyperlink>
          </w:p>
        </w:tc>
        <w:tc>
          <w:tcPr>
            <w:tcW w:w="8860" w:type="dxa"/>
            <w:vAlign w:val="bottom"/>
            <w:gridSpan w:val="6"/>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45">
        <w:r>
          <w:rPr>
            <w:rFonts w:ascii="Times New Roman" w:cs="Times New Roman" w:eastAsia="Times New Roman" w:hAnsi="Times New Roman"/>
            <w:sz w:val="16"/>
            <w:szCs w:val="16"/>
            <w:u w:val="single" w:color="auto"/>
            <w:color w:val="0000FF"/>
          </w:rPr>
          <w:t>Amended and Restated Certificate of Incorporation (incorporated by reference to Exhibit 3.1 to Our Current Report on Form 8-K filed on July 13, 2017).</w:t>
        </w:r>
      </w:hyperlink>
    </w:p>
    <w:p>
      <w:pPr>
        <w:spacing w:after="0" w:line="8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w:anchor="page86">
        <w:r>
          <w:rPr>
            <w:rFonts w:ascii="Times New Roman" w:cs="Times New Roman" w:eastAsia="Times New Roman" w:hAnsi="Times New Roman"/>
            <w:sz w:val="16"/>
            <w:szCs w:val="16"/>
            <w:u w:val="single" w:color="auto"/>
            <w:color w:val="0000FF"/>
          </w:rPr>
          <w:t>Second 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37465</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right="40"/>
        <w:spacing w:after="0" w:line="298" w:lineRule="auto"/>
        <w:rPr>
          <w:rFonts w:ascii="Times New Roman" w:cs="Times New Roman" w:eastAsia="Times New Roman" w:hAnsi="Times New Roman"/>
          <w:sz w:val="16"/>
          <w:szCs w:val="16"/>
          <w:u w:val="single" w:color="auto"/>
          <w:color w:val="0000FF"/>
        </w:rPr>
      </w:pPr>
      <w:hyperlink r:id="rId47">
        <w:r>
          <w:rPr>
            <w:rFonts w:ascii="Times New Roman" w:cs="Times New Roman" w:eastAsia="Times New Roman" w:hAnsi="Times New Roman"/>
            <w:sz w:val="16"/>
            <w:szCs w:val="16"/>
            <w:u w:val="single" w:color="auto"/>
            <w:color w:val="0000FF"/>
          </w:rPr>
          <w:t>Form of Common Stock Certificate (incorporated by reference to Exhibit 4.1 to Amendment No. 3 to our Registration Statement on Form S-4 filed on June</w:t>
        </w:r>
      </w:hyperlink>
      <w:r>
        <w:rPr>
          <w:rFonts w:ascii="Times New Roman" w:cs="Times New Roman" w:eastAsia="Times New Roman" w:hAnsi="Times New Roman"/>
          <w:sz w:val="16"/>
          <w:szCs w:val="16"/>
          <w:u w:val="single" w:color="auto"/>
          <w:color w:val="0000FF"/>
        </w:rPr>
        <w:t xml:space="preserve"> </w:t>
      </w:r>
      <w:hyperlink r:id="rId47">
        <w:r>
          <w:rPr>
            <w:rFonts w:ascii="Times New Roman" w:cs="Times New Roman" w:eastAsia="Times New Roman" w:hAnsi="Times New Roman"/>
            <w:sz w:val="16"/>
            <w:szCs w:val="16"/>
            <w:u w:val="single" w:color="auto"/>
            <w:color w:val="0000FF"/>
          </w:rPr>
          <w:t>12, 2017).</w:t>
        </w:r>
      </w:hyperlink>
    </w:p>
    <w:p>
      <w:pPr>
        <w:spacing w:after="0" w:line="1" w:lineRule="exact"/>
        <w:rPr>
          <w:sz w:val="20"/>
          <w:szCs w:val="20"/>
          <w:color w:val="auto"/>
        </w:rPr>
      </w:pPr>
    </w:p>
    <w:p>
      <w:pPr>
        <w:sectPr>
          <w:pgSz w:w="11900" w:h="16838" w:orient="portrait"/>
          <w:cols w:equalWidth="0" w:num="2">
            <w:col w:w="460" w:space="720"/>
            <w:col w:w="1024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178"/>
        </w:trPr>
        <w:tc>
          <w:tcPr>
            <w:tcW w:w="1140" w:type="dxa"/>
            <w:vAlign w:val="bottom"/>
          </w:tcPr>
          <w:p>
            <w:pPr>
              <w:jc w:val="right"/>
              <w:ind w:right="859"/>
              <w:spacing w:after="0" w:line="178" w:lineRule="exact"/>
              <w:rPr>
                <w:sz w:val="20"/>
                <w:szCs w:val="20"/>
                <w:color w:val="auto"/>
              </w:rPr>
            </w:pPr>
            <w:r>
              <w:rPr>
                <w:rFonts w:ascii="Times New Roman" w:cs="Times New Roman" w:eastAsia="Times New Roman" w:hAnsi="Times New Roman"/>
                <w:sz w:val="16"/>
                <w:szCs w:val="16"/>
                <w:color w:val="auto"/>
                <w:w w:val="89"/>
              </w:rPr>
              <w:t>4.2</w:t>
            </w:r>
          </w:p>
        </w:tc>
        <w:tc>
          <w:tcPr>
            <w:tcW w:w="10200" w:type="dxa"/>
            <w:vAlign w:val="bottom"/>
            <w:tcBorders>
              <w:bottom w:val="single" w:sz="8" w:color="0000FF"/>
            </w:tcBorders>
            <w:gridSpan w:val="2"/>
          </w:tcPr>
          <w:p>
            <w:pPr>
              <w:spacing w:after="0" w:line="178"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Warrant Agreement, dated July 14, 2016, between Conyers Park Acquisition Corp. and Continental Stock Transfer &amp; Trust Company (incorporated by</w:t>
              </w:r>
            </w:hyperlink>
          </w:p>
        </w:tc>
      </w:tr>
      <w:tr>
        <w:trPr>
          <w:trHeight w:val="183"/>
        </w:trPr>
        <w:tc>
          <w:tcPr>
            <w:tcW w:w="1140" w:type="dxa"/>
            <w:vAlign w:val="bottom"/>
          </w:tcPr>
          <w:p>
            <w:pPr>
              <w:spacing w:after="0"/>
              <w:rPr>
                <w:sz w:val="15"/>
                <w:szCs w:val="15"/>
                <w:color w:val="auto"/>
              </w:rPr>
            </w:pPr>
          </w:p>
        </w:tc>
        <w:tc>
          <w:tcPr>
            <w:tcW w:w="534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reference to Form 8-K filed by Conyers Park Acquisition Corp. on July 20, 2016).</w:t>
              </w:r>
            </w:hyperlink>
          </w:p>
        </w:tc>
        <w:tc>
          <w:tcPr>
            <w:tcW w:w="4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4.4</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50">
        <w:r>
          <w:rPr>
            <w:rFonts w:ascii="Times New Roman" w:cs="Times New Roman" w:eastAsia="Times New Roman" w:hAnsi="Times New Roman"/>
            <w:sz w:val="16"/>
            <w:szCs w:val="16"/>
            <w:u w:val="single" w:color="auto"/>
            <w:color w:val="0000FF"/>
          </w:rPr>
          <w:t>Form of Warrant (incorporated by reference to Exhibit 4.1 to our Current Report on Form 8-K filed on July 13, 2017).</w:t>
        </w:r>
      </w:hyperlink>
    </w:p>
    <w:p>
      <w:pPr>
        <w:spacing w:after="0" w:line="8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w:anchor="page105">
        <w:r>
          <w:rPr>
            <w:rFonts w:ascii="Times New Roman" w:cs="Times New Roman" w:eastAsia="Times New Roman" w:hAnsi="Times New Roman"/>
            <w:sz w:val="16"/>
            <w:szCs w:val="16"/>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37465</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right="20"/>
        <w:spacing w:after="0" w:line="298" w:lineRule="auto"/>
        <w:rPr>
          <w:rFonts w:ascii="Times New Roman" w:cs="Times New Roman" w:eastAsia="Times New Roman" w:hAnsi="Times New Roman"/>
          <w:sz w:val="16"/>
          <w:szCs w:val="16"/>
          <w:u w:val="single" w:color="auto"/>
          <w:color w:val="0000FF"/>
        </w:rPr>
      </w:pPr>
      <w:hyperlink r:id="rId52">
        <w:r>
          <w:rPr>
            <w:rFonts w:ascii="Times New Roman" w:cs="Times New Roman" w:eastAsia="Times New Roman" w:hAnsi="Times New Roman"/>
            <w:sz w:val="16"/>
            <w:szCs w:val="16"/>
            <w:u w:val="single" w:color="auto"/>
            <w:color w:val="0000FF"/>
          </w:rPr>
          <w:t>Investor Rights Agreement, dated July 7, 2017, between The Simply Good Foods Company and Conyers Park Sponsor LLC (incorporated by reference to</w:t>
        </w:r>
      </w:hyperlink>
      <w:r>
        <w:rPr>
          <w:rFonts w:ascii="Times New Roman" w:cs="Times New Roman" w:eastAsia="Times New Roman" w:hAnsi="Times New Roman"/>
          <w:sz w:val="16"/>
          <w:szCs w:val="16"/>
          <w:u w:val="single" w:color="auto"/>
          <w:color w:val="0000FF"/>
        </w:rPr>
        <w:t xml:space="preserve"> </w:t>
      </w:r>
      <w:hyperlink r:id="rId52">
        <w:r>
          <w:rPr>
            <w:rFonts w:ascii="Times New Roman" w:cs="Times New Roman" w:eastAsia="Times New Roman" w:hAnsi="Times New Roman"/>
            <w:sz w:val="16"/>
            <w:szCs w:val="16"/>
            <w:u w:val="single" w:color="auto"/>
            <w:color w:val="0000FF"/>
          </w:rPr>
          <w:t>Exhibit 10.3 to our Current Report on Form 8-K filed on July 13, 2017).</w:t>
        </w:r>
      </w:hyperlink>
    </w:p>
    <w:p>
      <w:pPr>
        <w:spacing w:after="0" w:line="1" w:lineRule="exact"/>
        <w:rPr>
          <w:sz w:val="20"/>
          <w:szCs w:val="20"/>
          <w:color w:val="auto"/>
        </w:rPr>
      </w:pPr>
    </w:p>
    <w:p>
      <w:pPr>
        <w:sectPr>
          <w:pgSz w:w="11900" w:h="16838" w:orient="portrait"/>
          <w:cols w:equalWidth="0" w:num="2">
            <w:col w:w="460" w:space="720"/>
            <w:col w:w="102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180" w:type="dxa"/>
            <w:vAlign w:val="bottom"/>
          </w:tcPr>
          <w:p>
            <w:pPr>
              <w:ind w:left="40"/>
              <w:spacing w:after="0" w:line="178" w:lineRule="exact"/>
              <w:rPr>
                <w:sz w:val="20"/>
                <w:szCs w:val="20"/>
                <w:color w:val="auto"/>
              </w:rPr>
            </w:pPr>
            <w:r>
              <w:rPr>
                <w:rFonts w:ascii="Times New Roman" w:cs="Times New Roman" w:eastAsia="Times New Roman" w:hAnsi="Times New Roman"/>
                <w:sz w:val="16"/>
                <w:szCs w:val="16"/>
                <w:color w:val="auto"/>
              </w:rPr>
              <w:t>10.2†</w:t>
            </w:r>
          </w:p>
        </w:tc>
        <w:tc>
          <w:tcPr>
            <w:tcW w:w="10240" w:type="dxa"/>
            <w:vAlign w:val="bottom"/>
            <w:tcBorders>
              <w:bottom w:val="single" w:sz="8" w:color="0000FF"/>
            </w:tcBorders>
            <w:gridSpan w:val="14"/>
          </w:tcPr>
          <w:p>
            <w:pPr>
              <w:spacing w:after="0" w:line="178"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2017 Omnibus Incentive Plan (incorporated by reference to Exhibit 10.3 to Amendment No. 3 to Registration Statement on Form S-4 filed on June 12,</w:t>
              </w:r>
            </w:hyperlink>
          </w:p>
        </w:tc>
      </w:tr>
      <w:tr>
        <w:trPr>
          <w:trHeight w:val="183"/>
        </w:trPr>
        <w:tc>
          <w:tcPr>
            <w:tcW w:w="1180" w:type="dxa"/>
            <w:vAlign w:val="bottom"/>
          </w:tcPr>
          <w:p>
            <w:pPr>
              <w:spacing w:after="0"/>
              <w:rPr>
                <w:sz w:val="15"/>
                <w:szCs w:val="15"/>
                <w:color w:val="auto"/>
              </w:rPr>
            </w:pPr>
          </w:p>
        </w:tc>
        <w:tc>
          <w:tcPr>
            <w:tcW w:w="1520" w:type="dxa"/>
            <w:vAlign w:val="bottom"/>
            <w:gridSpan w:val="2"/>
          </w:tcPr>
          <w:p>
            <w:pPr>
              <w:spacing w:after="0" w:line="183"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2017).</w:t>
              </w:r>
            </w:hyperlink>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10.3†</w:t>
            </w:r>
          </w:p>
        </w:tc>
        <w:tc>
          <w:tcPr>
            <w:tcW w:w="102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Offer Letter, dated December 23, 2010, between Scott Parker and Atkins Nutritionals, Inc. (incorporated by reference to Exhibit 10.7 to Amendment No. 1 to</w:t>
              </w:r>
            </w:hyperlink>
          </w:p>
        </w:tc>
      </w:tr>
      <w:tr>
        <w:trPr>
          <w:trHeight w:val="183"/>
        </w:trPr>
        <w:tc>
          <w:tcPr>
            <w:tcW w:w="1180" w:type="dxa"/>
            <w:vAlign w:val="bottom"/>
            <w:shd w:val="clear" w:color="auto" w:fill="CCEEFF"/>
          </w:tcPr>
          <w:p>
            <w:pPr>
              <w:spacing w:after="0"/>
              <w:rPr>
                <w:sz w:val="15"/>
                <w:szCs w:val="15"/>
                <w:color w:val="auto"/>
              </w:rPr>
            </w:pPr>
          </w:p>
        </w:tc>
        <w:tc>
          <w:tcPr>
            <w:tcW w:w="1024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our Registration Statement on Form S-4 filed on May 15, 2017).</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02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Form of Indemnity Agreement (incorporated by reference to Exhibit 10.8 to Amendment No. 3 to our Registration Statement on Form S-4 filed on June 12,</w:t>
              </w:r>
            </w:hyperlink>
          </w:p>
        </w:tc>
      </w:tr>
      <w:tr>
        <w:trPr>
          <w:trHeight w:val="183"/>
        </w:trPr>
        <w:tc>
          <w:tcPr>
            <w:tcW w:w="1180" w:type="dxa"/>
            <w:vAlign w:val="bottom"/>
          </w:tcPr>
          <w:p>
            <w:pPr>
              <w:spacing w:after="0"/>
              <w:rPr>
                <w:sz w:val="15"/>
                <w:szCs w:val="15"/>
                <w:color w:val="auto"/>
              </w:rPr>
            </w:pPr>
          </w:p>
        </w:tc>
        <w:tc>
          <w:tcPr>
            <w:tcW w:w="1520" w:type="dxa"/>
            <w:vAlign w:val="bottom"/>
            <w:gridSpan w:val="2"/>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2017).</w:t>
              </w:r>
            </w:hyperlink>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10.5</w:t>
            </w:r>
          </w:p>
        </w:tc>
        <w:tc>
          <w:tcPr>
            <w:tcW w:w="10220" w:type="dxa"/>
            <w:vAlign w:val="bottom"/>
            <w:tcBorders>
              <w:bottom w:val="single" w:sz="8" w:color="0000FF"/>
            </w:tcBorders>
            <w:gridSpan w:val="13"/>
            <w:shd w:val="clear" w:color="auto" w:fill="CCEEFF"/>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Credit Agreement, dated July 7, 2017, by and among Atkins Intermediate Holdings, LLC, Conyers Park Parent Merger Sub, Inc., Conyers Park Acquisition</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3"/>
        </w:trPr>
        <w:tc>
          <w:tcPr>
            <w:tcW w:w="1180" w:type="dxa"/>
            <w:vAlign w:val="bottom"/>
            <w:tcBorders>
              <w:bottom w:val="single" w:sz="8" w:color="CCEEFF"/>
            </w:tcBorders>
            <w:shd w:val="clear" w:color="auto" w:fill="CCEEFF"/>
          </w:tcPr>
          <w:p>
            <w:pPr>
              <w:spacing w:after="0"/>
              <w:rPr>
                <w:sz w:val="15"/>
                <w:szCs w:val="15"/>
                <w:color w:val="auto"/>
              </w:rPr>
            </w:pPr>
          </w:p>
        </w:tc>
        <w:tc>
          <w:tcPr>
            <w:tcW w:w="10200" w:type="dxa"/>
            <w:vAlign w:val="bottom"/>
            <w:tcBorders>
              <w:bottom w:val="single" w:sz="8" w:color="0000FF"/>
            </w:tcBorders>
            <w:gridSpan w:val="12"/>
            <w:shd w:val="clear" w:color="auto" w:fill="CCEEFF"/>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Corp., Conyers Park Merger Sub 1, Inc., Conyers Park Merger Sub 2, Inc., Conyers Park Merger Sub 3, Inc., Conyers Park Merger Sub 4, Inc., NCP-ATK</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183"/>
        </w:trPr>
        <w:tc>
          <w:tcPr>
            <w:tcW w:w="11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0000FF"/>
            </w:tcBorders>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Holdings, Inc., Atkins Nutritionals Holdings, Inc., Atkins Nutritionals Holdings II, Inc., Atkins Nutritionals, Inc., the lenders party thereto and Barclays</w:t>
              </w:r>
            </w:hyperlink>
          </w:p>
        </w:tc>
      </w:tr>
      <w:tr>
        <w:trPr>
          <w:trHeight w:val="230"/>
        </w:trPr>
        <w:tc>
          <w:tcPr>
            <w:tcW w:w="1180" w:type="dxa"/>
            <w:vAlign w:val="bottom"/>
            <w:tcBorders>
              <w:bottom w:val="single" w:sz="8" w:color="CCEEFF"/>
            </w:tcBorders>
            <w:shd w:val="clear" w:color="auto" w:fill="CCEEFF"/>
          </w:tcPr>
          <w:p>
            <w:pPr>
              <w:spacing w:after="0"/>
              <w:rPr>
                <w:sz w:val="20"/>
                <w:szCs w:val="20"/>
                <w:color w:val="auto"/>
              </w:rPr>
            </w:pPr>
          </w:p>
        </w:tc>
        <w:tc>
          <w:tcPr>
            <w:tcW w:w="9240" w:type="dxa"/>
            <w:vAlign w:val="bottom"/>
            <w:tcBorders>
              <w:bottom w:val="single" w:sz="8" w:color="0000FF"/>
            </w:tcBorders>
            <w:gridSpan w:val="11"/>
            <w:shd w:val="clear" w:color="auto" w:fill="CCEEFF"/>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Bank PLC, as the Administrative Agent (incorporated by reference to Exhibit 10.1 to our Current Report on Form 8-K filed on July 13, 2017).</w:t>
              </w:r>
            </w:hyperlink>
          </w:p>
        </w:tc>
        <w:tc>
          <w:tcPr>
            <w:tcW w:w="1000" w:type="dxa"/>
            <w:vAlign w:val="bottom"/>
            <w:tcBorders>
              <w:bottom w:val="single" w:sz="8" w:color="CCEEFF"/>
            </w:tcBorders>
            <w:gridSpan w:val="3"/>
            <w:shd w:val="clear" w:color="auto" w:fill="CCEEFF"/>
          </w:tcPr>
          <w:p>
            <w:pPr>
              <w:spacing w:after="0"/>
              <w:rPr>
                <w:sz w:val="20"/>
                <w:szCs w:val="20"/>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10.6</w:t>
            </w:r>
          </w:p>
        </w:tc>
        <w:tc>
          <w:tcPr>
            <w:tcW w:w="102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Assignment, Assumption and Amendment Agreement, dated July 7, 2017, by and among The Simply Good Foods Company, Conyers Park Acquisition</w:t>
              </w:r>
            </w:hyperlink>
          </w:p>
        </w:tc>
      </w:tr>
      <w:tr>
        <w:trPr>
          <w:trHeight w:val="183"/>
        </w:trPr>
        <w:tc>
          <w:tcPr>
            <w:tcW w:w="1180" w:type="dxa"/>
            <w:vAlign w:val="bottom"/>
          </w:tcPr>
          <w:p>
            <w:pPr>
              <w:spacing w:after="0"/>
              <w:rPr>
                <w:sz w:val="15"/>
                <w:szCs w:val="15"/>
                <w:color w:val="auto"/>
              </w:rPr>
            </w:pPr>
          </w:p>
        </w:tc>
        <w:tc>
          <w:tcPr>
            <w:tcW w:w="1024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Corp. and Continental Stock Transfer &amp; Trust Company (incorporated by reference to Exhibit 10.7 to our Current Report on Form 8-K filed on July 13,</w:t>
              </w:r>
            </w:hyperlink>
          </w:p>
        </w:tc>
      </w:tr>
      <w:tr>
        <w:trPr>
          <w:trHeight w:val="183"/>
        </w:trPr>
        <w:tc>
          <w:tcPr>
            <w:tcW w:w="1180" w:type="dxa"/>
            <w:vAlign w:val="bottom"/>
          </w:tcPr>
          <w:p>
            <w:pPr>
              <w:spacing w:after="0"/>
              <w:rPr>
                <w:sz w:val="15"/>
                <w:szCs w:val="15"/>
                <w:color w:val="auto"/>
              </w:rPr>
            </w:pPr>
          </w:p>
        </w:tc>
        <w:tc>
          <w:tcPr>
            <w:tcW w:w="1520" w:type="dxa"/>
            <w:vAlign w:val="bottom"/>
            <w:gridSpan w:val="2"/>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2017).</w:t>
              </w:r>
            </w:hyperlink>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10.7†</w:t>
            </w:r>
          </w:p>
        </w:tc>
        <w:tc>
          <w:tcPr>
            <w:tcW w:w="102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Employment Agreement, dated July 7, 2017, between The Simply Good Foods Company and Joseph E. Scalzo (incorporated by</w:t>
              </w:r>
            </w:hyperlink>
          </w:p>
        </w:tc>
      </w:tr>
      <w:tr>
        <w:trPr>
          <w:trHeight w:val="230"/>
        </w:trPr>
        <w:tc>
          <w:tcPr>
            <w:tcW w:w="118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0000FF"/>
            </w:tcBorders>
            <w:gridSpan w:val="8"/>
            <w:shd w:val="clear" w:color="auto" w:fill="CCEEFF"/>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reference to Exhibit 10.8 to our Current Report on Form 8-K filed on July 13, 2017).</w:t>
              </w:r>
            </w:hyperlink>
          </w:p>
        </w:tc>
        <w:tc>
          <w:tcPr>
            <w:tcW w:w="4740" w:type="dxa"/>
            <w:vAlign w:val="bottom"/>
            <w:tcBorders>
              <w:bottom w:val="single" w:sz="8" w:color="CCEEFF"/>
            </w:tcBorders>
            <w:gridSpan w:val="6"/>
            <w:shd w:val="clear" w:color="auto" w:fill="CCEEFF"/>
          </w:tcPr>
          <w:p>
            <w:pPr>
              <w:spacing w:after="0"/>
              <w:rPr>
                <w:sz w:val="20"/>
                <w:szCs w:val="20"/>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10.8</w:t>
            </w:r>
          </w:p>
        </w:tc>
        <w:tc>
          <w:tcPr>
            <w:tcW w:w="102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Income Tax Receivable Agreement, dated July 7, 2017, by and among The Simply Good Foods Company, Atkins Holdings, LLC and Roark Capital</w:t>
              </w:r>
            </w:hyperlink>
          </w:p>
        </w:tc>
      </w:tr>
      <w:tr>
        <w:trPr>
          <w:trHeight w:val="183"/>
        </w:trPr>
        <w:tc>
          <w:tcPr>
            <w:tcW w:w="1180" w:type="dxa"/>
            <w:vAlign w:val="bottom"/>
          </w:tcPr>
          <w:p>
            <w:pPr>
              <w:spacing w:after="0"/>
              <w:rPr>
                <w:sz w:val="15"/>
                <w:szCs w:val="15"/>
                <w:color w:val="auto"/>
              </w:rPr>
            </w:pPr>
          </w:p>
        </w:tc>
        <w:tc>
          <w:tcPr>
            <w:tcW w:w="1024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Acquisition, LLC (solely in its capacity as the Stockholders’ Representative) (incorporated by reference to Exhibit 10.6 to our Current Report on Form 8-K</w:t>
              </w:r>
            </w:hyperlink>
          </w:p>
        </w:tc>
      </w:tr>
      <w:tr>
        <w:trPr>
          <w:trHeight w:val="183"/>
        </w:trPr>
        <w:tc>
          <w:tcPr>
            <w:tcW w:w="1180" w:type="dxa"/>
            <w:vAlign w:val="bottom"/>
          </w:tcPr>
          <w:p>
            <w:pPr>
              <w:spacing w:after="0"/>
              <w:rPr>
                <w:sz w:val="15"/>
                <w:szCs w:val="15"/>
                <w:color w:val="auto"/>
              </w:rPr>
            </w:pPr>
          </w:p>
        </w:tc>
        <w:tc>
          <w:tcPr>
            <w:tcW w:w="10240" w:type="dxa"/>
            <w:vAlign w:val="bottom"/>
            <w:gridSpan w:val="14"/>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filed on July 13, 2017).</w:t>
              </w:r>
            </w:hyperlink>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10.9</w:t>
            </w:r>
          </w:p>
        </w:tc>
        <w:tc>
          <w:tcPr>
            <w:tcW w:w="102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Termination Agreement, dated November 14, 2018, among The Simply Good Foods Company, Atkins Holdings, LLC and Roark Capital Acquisition, LLC</w:t>
              </w:r>
            </w:hyperlink>
          </w:p>
        </w:tc>
      </w:tr>
      <w:tr>
        <w:trPr>
          <w:trHeight w:val="183"/>
        </w:trPr>
        <w:tc>
          <w:tcPr>
            <w:tcW w:w="1180" w:type="dxa"/>
            <w:vAlign w:val="bottom"/>
            <w:shd w:val="clear" w:color="auto" w:fill="CCEEFF"/>
          </w:tcPr>
          <w:p>
            <w:pPr>
              <w:spacing w:after="0"/>
              <w:rPr>
                <w:sz w:val="15"/>
                <w:szCs w:val="15"/>
                <w:color w:val="auto"/>
              </w:rPr>
            </w:pPr>
          </w:p>
        </w:tc>
        <w:tc>
          <w:tcPr>
            <w:tcW w:w="1024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(incorporated by reference to Exhibit 10.1 to our Current Report on Form 8-K filed on November 16, 2018).</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10.10†</w:t>
            </w:r>
          </w:p>
        </w:tc>
        <w:tc>
          <w:tcPr>
            <w:tcW w:w="102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Offer Letter, dated June 19, 2017, between Atkins Nutritionals, Inc. and Todd Cunfer (incorporated by reference to Exhibit 10.1 to our Current Report on our</w:t>
              </w:r>
            </w:hyperlink>
          </w:p>
        </w:tc>
        <w:tc>
          <w:tcPr>
            <w:tcW w:w="20" w:type="dxa"/>
            <w:vAlign w:val="bottom"/>
          </w:tcPr>
          <w:p>
            <w:pPr>
              <w:spacing w:after="0"/>
              <w:rPr>
                <w:sz w:val="16"/>
                <w:szCs w:val="16"/>
                <w:color w:val="auto"/>
              </w:rPr>
            </w:pPr>
          </w:p>
        </w:tc>
      </w:tr>
      <w:tr>
        <w:trPr>
          <w:trHeight w:val="183"/>
        </w:trPr>
        <w:tc>
          <w:tcPr>
            <w:tcW w:w="1180" w:type="dxa"/>
            <w:vAlign w:val="bottom"/>
          </w:tcPr>
          <w:p>
            <w:pPr>
              <w:spacing w:after="0"/>
              <w:rPr>
                <w:sz w:val="15"/>
                <w:szCs w:val="15"/>
                <w:color w:val="auto"/>
              </w:rPr>
            </w:pPr>
          </w:p>
        </w:tc>
        <w:tc>
          <w:tcPr>
            <w:tcW w:w="10240" w:type="dxa"/>
            <w:vAlign w:val="bottom"/>
            <w:gridSpan w:val="14"/>
          </w:tcPr>
          <w:p>
            <w:pPr>
              <w:spacing w:after="0" w:line="183"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Current Report on Current Report on Form 8-K filed on August 11, 2017).</w:t>
              </w:r>
            </w:hyperlink>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10.11†</w:t>
            </w:r>
          </w:p>
        </w:tc>
        <w:tc>
          <w:tcPr>
            <w:tcW w:w="102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Letter Agreement, dated August 21, 2017, between The Simply Good Foods Company and Todd Cunfer (incorporated by reference to Exhibit 10.2 to</w:t>
              </w:r>
            </w:hyperlink>
          </w:p>
        </w:tc>
      </w:tr>
      <w:tr>
        <w:trPr>
          <w:trHeight w:val="183"/>
        </w:trPr>
        <w:tc>
          <w:tcPr>
            <w:tcW w:w="1180" w:type="dxa"/>
            <w:vAlign w:val="bottom"/>
            <w:shd w:val="clear" w:color="auto" w:fill="CCEEFF"/>
          </w:tcPr>
          <w:p>
            <w:pPr>
              <w:spacing w:after="0"/>
              <w:rPr>
                <w:sz w:val="15"/>
                <w:szCs w:val="15"/>
                <w:color w:val="auto"/>
              </w:rPr>
            </w:pPr>
          </w:p>
        </w:tc>
        <w:tc>
          <w:tcPr>
            <w:tcW w:w="10240" w:type="dxa"/>
            <w:vAlign w:val="bottom"/>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1 to our Current Report on Form 8-K filed on August 25, 2017).</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10.12</w:t>
            </w:r>
          </w:p>
        </w:tc>
        <w:tc>
          <w:tcPr>
            <w:tcW w:w="102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Repricing Amendment, dated March 16, 2018, by and among Atkins Intermediate Holdings, LLC, Conyers Park Acquisition Corp., Atkins Nutritionals, Inc.,</w:t>
              </w:r>
            </w:hyperlink>
          </w:p>
        </w:tc>
      </w:tr>
      <w:tr>
        <w:trPr>
          <w:trHeight w:val="183"/>
        </w:trPr>
        <w:tc>
          <w:tcPr>
            <w:tcW w:w="1180" w:type="dxa"/>
            <w:vAlign w:val="bottom"/>
          </w:tcPr>
          <w:p>
            <w:pPr>
              <w:spacing w:after="0"/>
              <w:rPr>
                <w:sz w:val="15"/>
                <w:szCs w:val="15"/>
                <w:color w:val="auto"/>
              </w:rPr>
            </w:pPr>
          </w:p>
        </w:tc>
        <w:tc>
          <w:tcPr>
            <w:tcW w:w="1024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Atkins Nutritionals Holdings, Inc., Atkins Nutritionals Holdings II, Inc. and NCP-ATK Holdings, Inc. and Barclays Bank PLC (incorporated by reference to</w:t>
              </w:r>
            </w:hyperlink>
          </w:p>
        </w:tc>
      </w:tr>
      <w:tr>
        <w:trPr>
          <w:trHeight w:val="183"/>
        </w:trPr>
        <w:tc>
          <w:tcPr>
            <w:tcW w:w="1180" w:type="dxa"/>
            <w:vAlign w:val="bottom"/>
          </w:tcPr>
          <w:p>
            <w:pPr>
              <w:spacing w:after="0"/>
              <w:rPr>
                <w:sz w:val="15"/>
                <w:szCs w:val="15"/>
                <w:color w:val="auto"/>
              </w:rPr>
            </w:pPr>
          </w:p>
        </w:tc>
        <w:tc>
          <w:tcPr>
            <w:tcW w:w="10240" w:type="dxa"/>
            <w:vAlign w:val="bottom"/>
            <w:gridSpan w:val="14"/>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Exhibit 10.1 to our Current Report on Form 8-K filed on March 20, 2018).</w:t>
              </w:r>
            </w:hyperlink>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10.13†</w:t>
            </w:r>
          </w:p>
        </w:tc>
        <w:tc>
          <w:tcPr>
            <w:tcW w:w="102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The Simply Good Foods Executive Severance Compensation Plan, dated July 23, 2018 (incorporated by reference to Exhibit 10.1 to our Current Report on</w:t>
              </w:r>
            </w:hyperlink>
          </w:p>
        </w:tc>
      </w:tr>
      <w:tr>
        <w:trPr>
          <w:trHeight w:val="230"/>
        </w:trPr>
        <w:tc>
          <w:tcPr>
            <w:tcW w:w="118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0000FF"/>
            </w:tcBorders>
            <w:gridSpan w:val="3"/>
            <w:shd w:val="clear" w:color="auto" w:fill="CCEEFF"/>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8-K filed on July 27, 2018).</w:t>
              </w:r>
            </w:hyperlink>
          </w:p>
        </w:tc>
        <w:tc>
          <w:tcPr>
            <w:tcW w:w="8040" w:type="dxa"/>
            <w:vAlign w:val="bottom"/>
            <w:tcBorders>
              <w:bottom w:val="single" w:sz="8" w:color="CCEEFF"/>
            </w:tcBorders>
            <w:gridSpan w:val="11"/>
            <w:shd w:val="clear" w:color="auto" w:fill="CCEEFF"/>
          </w:tcPr>
          <w:p>
            <w:pPr>
              <w:spacing w:after="0"/>
              <w:rPr>
                <w:sz w:val="20"/>
                <w:szCs w:val="20"/>
                <w:color w:val="auto"/>
              </w:rPr>
            </w:pPr>
          </w:p>
        </w:tc>
      </w:tr>
      <w:tr>
        <w:trPr>
          <w:trHeight w:val="189"/>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10.14†</w:t>
            </w:r>
          </w:p>
        </w:tc>
        <w:tc>
          <w:tcPr>
            <w:tcW w:w="102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Form of Executive Severance Compensation Plan, Tier I Participation Agreement, dated July 23, 2018 (incorporated by reference to Exhibit 10.2 to our</w:t>
              </w:r>
            </w:hyperlink>
          </w:p>
        </w:tc>
        <w:tc>
          <w:tcPr>
            <w:tcW w:w="20" w:type="dxa"/>
            <w:vAlign w:val="bottom"/>
          </w:tcPr>
          <w:p>
            <w:pPr>
              <w:spacing w:after="0"/>
              <w:rPr>
                <w:sz w:val="16"/>
                <w:szCs w:val="16"/>
                <w:color w:val="auto"/>
              </w:rPr>
            </w:pPr>
          </w:p>
        </w:tc>
      </w:tr>
      <w:tr>
        <w:trPr>
          <w:trHeight w:val="183"/>
        </w:trPr>
        <w:tc>
          <w:tcPr>
            <w:tcW w:w="1180" w:type="dxa"/>
            <w:vAlign w:val="bottom"/>
          </w:tcPr>
          <w:p>
            <w:pPr>
              <w:spacing w:after="0"/>
              <w:rPr>
                <w:sz w:val="15"/>
                <w:szCs w:val="15"/>
                <w:color w:val="auto"/>
              </w:rPr>
            </w:pPr>
          </w:p>
        </w:tc>
        <w:tc>
          <w:tcPr>
            <w:tcW w:w="10240" w:type="dxa"/>
            <w:vAlign w:val="bottom"/>
            <w:gridSpan w:val="14"/>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Current Report on Form 8-K filed on July 27, 2018).</w:t>
              </w:r>
            </w:hyperlink>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10.15†</w:t>
            </w:r>
          </w:p>
        </w:tc>
        <w:tc>
          <w:tcPr>
            <w:tcW w:w="10240" w:type="dxa"/>
            <w:vAlign w:val="bottom"/>
            <w:gridSpan w:val="14"/>
            <w:shd w:val="clear" w:color="auto" w:fill="CCEEFF"/>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First Amendment to Amended and Restated Employment Agreement, dated October 16, 2019, between The Simply Good Foods Company and Joseph E.</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0200" w:type="dxa"/>
            <w:vAlign w:val="bottom"/>
            <w:tcBorders>
              <w:top w:val="single" w:sz="8" w:color="0000FF"/>
            </w:tcBorders>
            <w:gridSpan w:val="12"/>
            <w:shd w:val="clear" w:color="auto" w:fill="CCEEFF"/>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Scalzo. (Incorporated by reference to Exhibit 10.1 to our Current Report on Form 8-K filed on October 18,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0000FF"/>
            </w:tcBorders>
            <w:gridSpan w:val="3"/>
            <w:shd w:val="clear" w:color="auto" w:fill="CCEEFF"/>
          </w:tcPr>
          <w:p>
            <w:pPr>
              <w:spacing w:after="0"/>
              <w:rPr>
                <w:rFonts w:ascii="Times New Roman" w:cs="Times New Roman" w:eastAsia="Times New Roman" w:hAnsi="Times New Roman"/>
                <w:sz w:val="16"/>
                <w:szCs w:val="16"/>
                <w:color w:val="0000FF"/>
                <w:w w:val="99"/>
              </w:rPr>
            </w:pPr>
            <w:hyperlink w:anchor="page108">
              <w:r>
                <w:rPr>
                  <w:rFonts w:ascii="Times New Roman" w:cs="Times New Roman" w:eastAsia="Times New Roman" w:hAnsi="Times New Roman"/>
                  <w:sz w:val="16"/>
                  <w:szCs w:val="16"/>
                  <w:color w:val="0000FF"/>
                  <w:w w:val="99"/>
                </w:rPr>
                <w:t>Preferability letter from Deloitte &amp; Touche LLP.</w:t>
              </w:r>
            </w:hyperlink>
          </w:p>
        </w:tc>
        <w:tc>
          <w:tcPr>
            <w:tcW w:w="7100" w:type="dxa"/>
            <w:vAlign w:val="bottom"/>
            <w:tcBorders>
              <w:bottom w:val="single" w:sz="8" w:color="CCEEFF"/>
            </w:tcBorders>
            <w:gridSpan w:val="5"/>
            <w:shd w:val="clear" w:color="auto" w:fill="CCEEFF"/>
          </w:tcPr>
          <w:p>
            <w:pPr>
              <w:spacing w:after="0"/>
              <w:rPr>
                <w:sz w:val="20"/>
                <w:szCs w:val="20"/>
                <w:color w:val="auto"/>
              </w:rPr>
            </w:pPr>
          </w:p>
        </w:tc>
      </w:tr>
      <w:tr>
        <w:trPr>
          <w:trHeight w:val="203"/>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8"/>
          </w:tcPr>
          <w:p>
            <w:pPr>
              <w:spacing w:after="0"/>
              <w:rPr>
                <w:rFonts w:ascii="Times New Roman" w:cs="Times New Roman" w:eastAsia="Times New Roman" w:hAnsi="Times New Roman"/>
                <w:sz w:val="16"/>
                <w:szCs w:val="16"/>
                <w:color w:val="0000FF"/>
              </w:rPr>
            </w:pPr>
            <w:hyperlink w:anchor="page109">
              <w:r>
                <w:rPr>
                  <w:rFonts w:ascii="Times New Roman" w:cs="Times New Roman" w:eastAsia="Times New Roman" w:hAnsi="Times New Roman"/>
                  <w:sz w:val="16"/>
                  <w:szCs w:val="16"/>
                  <w:color w:val="0000FF"/>
                </w:rPr>
                <w:t>Subsidiaries of The Simply Good Foods Company.</w:t>
              </w:r>
            </w:hyperlink>
          </w:p>
        </w:tc>
      </w:tr>
      <w:tr>
        <w:trPr>
          <w:trHeight w:val="48"/>
        </w:trPr>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8"/>
            <w:shd w:val="clear" w:color="auto" w:fill="CCEEFF"/>
          </w:tcPr>
          <w:p>
            <w:pPr>
              <w:spacing w:after="0"/>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Consent of Deloitte &amp; Touche LLP.</w:t>
              </w:r>
            </w:hyperlink>
          </w:p>
        </w:tc>
      </w:tr>
      <w:tr>
        <w:trPr>
          <w:trHeight w:val="203"/>
        </w:trPr>
        <w:tc>
          <w:tcPr>
            <w:tcW w:w="10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300" w:type="dxa"/>
            <w:vAlign w:val="bottom"/>
            <w:tcBorders>
              <w:top w:val="single" w:sz="8" w:color="0000FF"/>
            </w:tcBorders>
            <w:gridSpan w:val="2"/>
          </w:tcPr>
          <w:p>
            <w:pPr>
              <w:spacing w:after="0"/>
              <w:rPr>
                <w:rFonts w:ascii="Times New Roman" w:cs="Times New Roman" w:eastAsia="Times New Roman" w:hAnsi="Times New Roman"/>
                <w:sz w:val="16"/>
                <w:szCs w:val="16"/>
                <w:color w:val="0000FF"/>
              </w:rPr>
            </w:pPr>
            <w:hyperlink w:anchor="page111">
              <w:r>
                <w:rPr>
                  <w:rFonts w:ascii="Times New Roman" w:cs="Times New Roman" w:eastAsia="Times New Roman" w:hAnsi="Times New Roman"/>
                  <w:sz w:val="16"/>
                  <w:szCs w:val="16"/>
                  <w:color w:val="0000FF"/>
                </w:rPr>
                <w:t>Consent of Ernst &amp; Young LLP.</w:t>
              </w:r>
            </w:hyperlink>
          </w:p>
        </w:tc>
        <w:tc>
          <w:tcPr>
            <w:tcW w:w="7940" w:type="dxa"/>
            <w:vAlign w:val="bottom"/>
            <w:tcBorders>
              <w:top w:val="single" w:sz="8" w:color="CCEEFF"/>
            </w:tcBorders>
            <w:gridSpan w:val="6"/>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8"/>
            <w:shd w:val="clear" w:color="auto" w:fill="CCEEFF"/>
          </w:tcPr>
          <w:p>
            <w:pPr>
              <w:spacing w:after="0"/>
              <w:rPr>
                <w:rFonts w:ascii="Times New Roman" w:cs="Times New Roman" w:eastAsia="Times New Roman" w:hAnsi="Times New Roman"/>
                <w:sz w:val="16"/>
                <w:szCs w:val="16"/>
                <w:color w:val="0000FF"/>
              </w:rPr>
            </w:pPr>
            <w:hyperlink w:anchor="page112">
              <w:r>
                <w:rPr>
                  <w:rFonts w:ascii="Times New Roman" w:cs="Times New Roman" w:eastAsia="Times New Roman" w:hAnsi="Times New Roman"/>
                  <w:sz w:val="16"/>
                  <w:szCs w:val="16"/>
                  <w:color w:val="0000FF"/>
                </w:rPr>
                <w:t>Certification of Principal Executive Officer pursuant to Section 302 of the Sarbanes Oxley Act of 2002.</w:t>
              </w:r>
            </w:hyperlink>
          </w:p>
        </w:tc>
      </w:tr>
      <w:tr>
        <w:trPr>
          <w:trHeight w:val="203"/>
        </w:trPr>
        <w:tc>
          <w:tcPr>
            <w:tcW w:w="10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72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hyperlink w:anchor="page113">
              <w:r>
                <w:rPr>
                  <w:rFonts w:ascii="Times New Roman" w:cs="Times New Roman" w:eastAsia="Times New Roman" w:hAnsi="Times New Roman"/>
                  <w:sz w:val="16"/>
                  <w:szCs w:val="16"/>
                  <w:color w:val="0000FF"/>
                </w:rPr>
                <w:t>Certification of Principal Financial Officer pursuant to Section 302 of the Sarbanes Oxley Act of 2002.</w:t>
              </w:r>
            </w:hyperlink>
          </w:p>
        </w:tc>
        <w:tc>
          <w:tcPr>
            <w:tcW w:w="3520" w:type="dxa"/>
            <w:vAlign w:val="bottom"/>
            <w:tcBorders>
              <w:top w:val="single" w:sz="8" w:color="CCEEFF"/>
            </w:tcBorders>
            <w:gridSpan w:val="2"/>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0000FF"/>
            </w:tcBorders>
            <w:gridSpan w:val="7"/>
            <w:shd w:val="clear" w:color="auto" w:fill="CCEEFF"/>
          </w:tcPr>
          <w:p>
            <w:pPr>
              <w:spacing w:after="0"/>
              <w:rPr>
                <w:rFonts w:ascii="Times New Roman" w:cs="Times New Roman" w:eastAsia="Times New Roman" w:hAnsi="Times New Roman"/>
                <w:sz w:val="16"/>
                <w:szCs w:val="16"/>
                <w:color w:val="0000FF"/>
              </w:rPr>
            </w:pPr>
            <w:hyperlink w:anchor="page114">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hyperlink>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0"/>
                <w:szCs w:val="20"/>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10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37"/>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0"/>
                <w:szCs w:val="20"/>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Borders>
              <w:bottom w:val="single" w:sz="8" w:color="CCEEFF"/>
            </w:tcBorders>
            <w:shd w:val="clear" w:color="auto" w:fill="CCEEFF"/>
          </w:tcPr>
          <w:p>
            <w:pPr>
              <w:spacing w:after="0"/>
              <w:rPr>
                <w:sz w:val="21"/>
                <w:szCs w:val="21"/>
                <w:color w:val="auto"/>
              </w:rPr>
            </w:pPr>
          </w:p>
        </w:tc>
        <w:tc>
          <w:tcPr>
            <w:tcW w:w="102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37"/>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0"/>
                <w:szCs w:val="20"/>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20"/>
                <w:szCs w:val="20"/>
                <w:color w:val="auto"/>
              </w:rPr>
            </w:pPr>
          </w:p>
        </w:tc>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33"/>
        </w:trPr>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57" w:lineRule="exact"/>
        <w:rPr>
          <w:sz w:val="20"/>
          <w:szCs w:val="20"/>
          <w:color w:val="auto"/>
        </w:rPr>
      </w:pPr>
    </w:p>
    <w:p>
      <w:pPr>
        <w:ind w:left="380" w:hanging="345"/>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73" w:lineRule="exact"/>
        <w:rPr>
          <w:sz w:val="20"/>
          <w:szCs w:val="20"/>
          <w:color w:val="auto"/>
        </w:rPr>
      </w:pPr>
    </w:p>
    <w:p>
      <w:pPr>
        <w:ind w:left="380" w:right="80" w:hanging="345"/>
        <w:spacing w:after="0" w:line="298"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By: /s/ Joseph E.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37465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3" w:lineRule="exact"/>
        <w:rPr>
          <w:sz w:val="20"/>
          <w:szCs w:val="20"/>
          <w:color w:val="auto"/>
        </w:rPr>
      </w:pPr>
    </w:p>
    <w:p>
      <w:pPr>
        <w:ind w:left="1760"/>
        <w:spacing w:after="0"/>
        <w:tabs>
          <w:tab w:leader="none" w:pos="2300" w:val="left"/>
          <w:tab w:leader="none" w:pos="4660" w:val="left"/>
        </w:tabs>
        <w:rPr>
          <w:sz w:val="20"/>
          <w:szCs w:val="20"/>
          <w:color w:val="auto"/>
        </w:rPr>
      </w:pPr>
      <w:r>
        <w:rPr>
          <w:rFonts w:ascii="Times New Roman" w:cs="Times New Roman" w:eastAsia="Times New Roman" w:hAnsi="Times New Roman"/>
          <w:sz w:val="16"/>
          <w:szCs w:val="16"/>
          <w:color w:val="auto"/>
        </w:rPr>
        <w:t>Date:</w:t>
        <w:tab/>
        <w:t>October 30, 2019</w:t>
      </w:r>
      <w:r>
        <w:rPr>
          <w:sz w:val="20"/>
          <w:szCs w:val="20"/>
          <w:color w:val="auto"/>
        </w:rPr>
        <w:tab/>
      </w:r>
      <w:r>
        <w:rPr>
          <w:rFonts w:ascii="Times New Roman" w:cs="Times New Roman" w:eastAsia="Times New Roman" w:hAnsi="Times New Roman"/>
          <w:sz w:val="16"/>
          <w:szCs w:val="16"/>
          <w:color w:val="auto"/>
        </w:rPr>
        <w:t>Name: Joseph E. Scalzo</w:t>
      </w:r>
    </w:p>
    <w:p>
      <w:pPr>
        <w:spacing w:after="0" w:line="1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60"/>
          </w:cols>
          <w:pgMar w:left="240" w:top="360" w:right="299" w:bottom="1440" w:gutter="0" w:footer="0" w:header="0"/>
        </w:sectPr>
      </w:pPr>
    </w:p>
    <w:bookmarkStart w:id="84" w:name="page85"/>
    <w:bookmarkEnd w:id="84"/>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00"/>
          </w:cols>
          <w:pgMar w:left="240" w:top="364" w:right="259" w:bottom="1440" w:gutter="0" w:footer="0" w:header="0"/>
        </w:sectPr>
      </w:pPr>
    </w:p>
    <w:p>
      <w:pPr>
        <w:spacing w:after="0" w:line="340"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232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78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Timothy A. Matthews</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A. Matthews</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M. Kilts</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Kilts</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David J. West</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J. West</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Clayton C. Daley, Jr.</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Clayton C. Daley, Jr.</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Brian K. Ratzan</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K. Ratzan</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Nomi P. Ghez</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Nomi P. Ghez</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E. Healey</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E. Healey</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Robert G. Montgomery</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G. Montgomery</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Michelle P. Goolsby</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Michelle P. Goolsby</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Arvin Kash</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Arvin Kash</w:t>
            </w:r>
          </w:p>
        </w:tc>
        <w:tc>
          <w:tcPr>
            <w:tcW w:w="3780" w:type="dxa"/>
            <w:vAlign w:val="bottom"/>
          </w:tcPr>
          <w:p>
            <w:pPr>
              <w:spacing w:after="0"/>
              <w:rPr>
                <w:sz w:val="18"/>
                <w:szCs w:val="18"/>
                <w:color w:val="auto"/>
              </w:rPr>
            </w:pPr>
          </w:p>
        </w:tc>
      </w:tr>
      <w:tr>
        <w:trPr>
          <w:trHeight w:val="56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D. White</w:t>
            </w:r>
          </w:p>
        </w:tc>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33"/>
        </w:trPr>
        <w:tc>
          <w:tcPr>
            <w:tcW w:w="23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D. White</w:t>
            </w:r>
          </w:p>
        </w:tc>
        <w:tc>
          <w:tcPr>
            <w:tcW w:w="3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October 30, 2019</w:t>
      </w:r>
    </w:p>
    <w:p>
      <w:pPr>
        <w:spacing w:after="0" w:line="496" w:lineRule="exact"/>
        <w:rPr>
          <w:sz w:val="20"/>
          <w:szCs w:val="20"/>
          <w:color w:val="auto"/>
        </w:rPr>
      </w:pPr>
    </w:p>
    <w:p>
      <w:pPr>
        <w:sectPr>
          <w:pgSz w:w="11900" w:h="16838" w:orient="portrait"/>
          <w:cols w:equalWidth="0" w:num="2">
            <w:col w:w="7820" w:space="680"/>
            <w:col w:w="2900"/>
          </w:cols>
          <w:pgMar w:left="240" w:top="364" w:right="259" w:bottom="1440" w:gutter="0" w:footer="0" w:header="0"/>
          <w:type w:val="continuous"/>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364" w:right="259" w:bottom="1440" w:gutter="0" w:footer="0" w:header="0"/>
          <w:type w:val="continuous"/>
        </w:sectPr>
      </w:pPr>
    </w:p>
    <w:bookmarkStart w:id="85" w:name="page86"/>
    <w:bookmarkEnd w:id="85"/>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SIMPLY GOOD FOODS COMPANY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Delaware corporation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as of October 28,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The Simply Good Foods Company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may have an office or offices other than its registered office at such place or places, either within or outside the State of Delaware, as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the stockholders shall be held at such date, time, and place (within or outside the State of Delaware) as are specified by the Chairman or resolution of the Board of Directors. At the annual meeting, stockholders shall elect directors to succeed those whose terms expire at such annual meeting and transact such other business as properly may be brought before the annual meeting pursuant to Section 10 of this ARTICLE II of these Second Amended and Restated Bylaws (these “Bylaws”). The Board of Directors may postpone, reschedule or cancel any annual meeting of stockholders previously scheduled by the Board of Directors.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Corporation’s certificate of incorporation as then in effect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special meetings of the stockholders shall be held at such date, time, and place (within or outside the State of Delaware) as are specified by the Chairman or resolution of the Board of Directors or as otherwise in the manner provided in Certificate of Incorporation. Business transacted at any special meeting of stockholders shall be limited to the purposes stated in the notice. The Board of Directors may postpone, reschedule or cancel any special meeting of stockholders previously scheduled by the Board of Directors. The Chairman may postpone, reschedule or cancel any special meeting of stockholders previously scheduled by the Chairman.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action at a meeting, notice of the meeting shall be given that shall state the place, if any, date, and time of all meetings of the stockholders, the means of remote communications, if any, by which stockholders and proxyholders not physically present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the Certificate of Incorporation.</w:t>
      </w:r>
    </w:p>
    <w:p>
      <w:pPr>
        <w:spacing w:after="0" w:line="185" w:lineRule="exact"/>
        <w:rPr>
          <w:sz w:val="20"/>
          <w:szCs w:val="20"/>
          <w:color w:val="auto"/>
        </w:rPr>
      </w:pPr>
    </w:p>
    <w:p>
      <w:pPr>
        <w:jc w:val="both"/>
        <w:ind w:firstLine="1305"/>
        <w:spacing w:after="0" w:line="261" w:lineRule="auto"/>
        <w:tabs>
          <w:tab w:leader="none" w:pos="17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All such notices shall be delivered in writing or in any other manner permitted by the DGCL. If mailed, such notice shall be deemed given when deposited in the United States mail, postage prepaid, addressed to the stockholder at his, her or its address as the same appears on the records of the Corporation. If given by facsimile telecommunication, such notice shall be deemed given when directed to a number at which the stockholder has consented to receive notice by facsimile. Subject to the limitations of Section 3(c) of this ARTICLE II, if given by</w:t>
      </w:r>
    </w:p>
    <w:p>
      <w:pPr>
        <w:sectPr>
          <w:pgSz w:w="11900" w:h="16838" w:orient="portrait"/>
          <w:cols w:equalWidth="0" w:num="1">
            <w:col w:w="11420"/>
          </w:cols>
          <w:pgMar w:left="240" w:top="576" w:right="2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electronic transmission, such notice shall be deemed to be delivered: (i) by electronic mail, when directed to an electronic mail address at which the stockholder has consented to receive notice; (ii) if by a posting on an electronic network together with separate notice to the stockholder of such specific posting, upon the later of (x) such posting and (y) the giving of such separate notice; and (iii) if by any other form of electronic transmission, when directed to the stockholder. An affidavit of the secretary or an assistant secretary of the Corporation, the transfer agent of the Corporation or any other agent of the Corporation that the notice has been given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84" w:lineRule="exact"/>
        <w:rPr>
          <w:sz w:val="20"/>
          <w:szCs w:val="20"/>
          <w:color w:val="auto"/>
        </w:rPr>
      </w:pPr>
    </w:p>
    <w:p>
      <w:pPr>
        <w:jc w:val="both"/>
        <w:ind w:firstLine="1305"/>
        <w:spacing w:after="0" w:line="255" w:lineRule="auto"/>
        <w:tabs>
          <w:tab w:leader="none" w:pos="16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provisions of the DGCL, the Certificate of Incorporation or these Bylaws, a written waiver thereof, signed by the stockholder entitled to notice, or a waiver by electronic transmission given by the stockholder entitled to notice, whether before or after the time stated therein, shall be deemed equivalent to notice. Neither the business to be transacted at, nor the purpose of, any meeting of the stockholders of the Corporation need be specified in any waiver of notice of such meeting. Attendance of a stockholder of the Corporation at a meeting of such stockholders shall constitute a waiver of notice of such meeting, except when the stockholder attends for the express purpose of objecting at the beginning of the meeting to the transaction of any business because the meeting is not lawfully called or convened and does not further participate in the meeting.</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Electronic Transmission</w:t>
      </w:r>
      <w:r>
        <w:rPr>
          <w:rFonts w:ascii="Times New Roman" w:cs="Times New Roman" w:eastAsia="Times New Roman" w:hAnsi="Times New Roman"/>
          <w:sz w:val="18"/>
          <w:szCs w:val="18"/>
          <w:color w:val="auto"/>
        </w:rPr>
        <w:t>. Without limiting the manner by which notice otherwise may be given effectively to stockholders of the Corporation pursuant to the DGCL, the Certificate of Incorporation or these Bylaws, any notice to stockholders of the Corporation given by the Corporation under any provision of the DGCL, the Certificate of Incorporation or these Bylaws shall be effective if given by a form of electronic transmission consented to by the stockholder of the Corporation to whom the notice is given.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 For purposes of these Bylaws, except as otherwise limited by applicable law, the term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recipient through an automated process.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xml:space="preserve">. The officer who has charge of the stock ledger of the Corporation shall prepare and make available, at least 10 days before each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10 days before the meeting date, the list shall reflect the stockholders entitled to vote as of the 10th day before the meeting date, arranged in alphabetical order and showing the address of each such stockholder and the number of shares registered in the name of each such stockholder. Nothing contained in this Section 4 of ARTICLE II shall require the Corporation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If the meeting is to be held at a place,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list shall be the only evidence as to who are the stockholders entitled to examine the list of stockholders required by this Section 4 of ARTICLE II or to vote in person or by proxy at any meeting of stockholders.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a majority in voting power of the outstanding capital stock entitled to vote at the meeting, present in person or represented by proxy, shall constitute a quorum at all meetings of the stockholders, except as otherwise provided by law, by the Certificate of Incorporation or these Bylaws. If a quorum is</w:t>
      </w: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0" w:right="23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18"/>
          <w:szCs w:val="18"/>
          <w:color w:val="auto"/>
        </w:rPr>
        <w:t>not present, the chairman of the meeting or the holders of a majority of the voting power present in person or represented by proxy at the meeting and entitled to vote at the meeting may adjourn the meeting to another time and/or place from time to time until a quorum shall be present or represented by proxy. When a specified item of business requires a vote by a class or series (if the Corporation shall then have outstanding shares of more than one class or series) voting as a separate class or series, the holders of a majority in voting power of the outstanding stock of such class or series shall constitute a quorum (as to such class or series) for the transaction of such item of business. A quorum once established at a meeting shall not be broken by the withdrawal of enough votes to leave less than a quorum.</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Adjourned Meetings</w:t>
      </w:r>
      <w:r>
        <w:rPr>
          <w:rFonts w:ascii="Times New Roman" w:cs="Times New Roman" w:eastAsia="Times New Roman" w:hAnsi="Times New Roman"/>
          <w:sz w:val="18"/>
          <w:szCs w:val="18"/>
          <w:color w:val="auto"/>
        </w:rPr>
        <w:t>. Any meeting of stockholders, annual or special, may adjourn from time to time to reconvene at the same or some other place. When a meeting is adjourned to another time and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 adopted by the Board of Directors and, except as otherwise required by law, shall not be more than 60 days nor less than 10 days before the date of such adjourned meeting, and shall give notice of the adjourned meeting to each stockholder of record entitled to vote at such adjourned meeting as of the record date fixed for notice of such adjourned meeting.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Subject to the rights of the holders of any series of preferred stock then outstanding, when a quorum has been established, all matters other than the election of directors shall be determined by the affirmative vote of the majority of voting power of capital stock present in person or represented by proxy at the meeting and entitled to vote on the subject matter, unless by express provisions of an applicable law, the rules of any stock exchange upon which the Corporation’s securities are listed, any regulation applicable to the Corporation or its securities, the Certificate of Incorporation or these Bylaws a minimum or different vote is required, in which case such express provision shall govern and control the vote required on such matter. Directors shall be elected by a plurality of the votes of the shares present and entitled to vote and actually cast on the election of such directors.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Subject to the rights of the holders of any series of preferred stock then outstanding, except as otherwise provided by the DGCL, the Certificate of Incorporation or these Bylaws, each stockholder entitled to vote at any meeting of stockholders shall be entitled to one vote in person or by proxy for each share of capital stock held by such stockholder which has voting power upon the matter in question. Voting at meetings of stockholders need not be by written ballot.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8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u w:val="single" w:color="auto"/>
          <w:color w:val="auto"/>
        </w:rPr>
        <w:t>Advance Notice of Stockholder Business and Director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5"/>
        <w:spacing w:after="0"/>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at 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4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(other than nominations of persons for election to the Board of Directors, which must be made in compliance with and are governed exclusively by Section 10(b) of this ARTICLE II) shall be conducted at an annual meeting of the stockholders as shall have been brought before the meeting (A) as specified in the notice of meeting (or any supplement thereto) given by or at the direction of the Board of Directors or any committee thereof, (B) by or at the direction of the Board of Directors or any committee thereof, or (C) by any stockholder of the</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0" w:right="239" w:bottom="1440" w:gutter="0" w:footer="0" w:header="0"/>
        </w:sectPr>
      </w:pPr>
    </w:p>
    <w:bookmarkStart w:id="88" w:name="page89"/>
    <w:bookmarkEnd w:id="88"/>
    <w:p>
      <w:pPr>
        <w:jc w:val="both"/>
        <w:ind w:left="1080"/>
        <w:spacing w:after="0" w:line="258" w:lineRule="auto"/>
        <w:rPr>
          <w:sz w:val="20"/>
          <w:szCs w:val="20"/>
          <w:color w:val="auto"/>
        </w:rPr>
      </w:pPr>
      <w:r>
        <w:rPr>
          <w:rFonts w:ascii="Times New Roman" w:cs="Times New Roman" w:eastAsia="Times New Roman" w:hAnsi="Times New Roman"/>
          <w:sz w:val="18"/>
          <w:szCs w:val="18"/>
          <w:color w:val="auto"/>
        </w:rPr>
        <w:t>Corporation who (1) was a stockholder of record at the time of giving of notice provided for in Section 10(a)(iii) of this ARTICLE II and at the time of the meeting, (2) is entitled to vote at the meeting and (3) complies with the notice procedures set forth in Section 10(a)(iii) of this ARTICLE II. For the avoidance of doubt, the foregoing clause (C) of this Section 10(a)(i) of ARTICLE II shall be the exclusive means for a stockholder to propose such business (other than business included in the Corporation’s proxy materials pursuant to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before an annual meeting of stockholders.</w:t>
      </w:r>
    </w:p>
    <w:p>
      <w:pPr>
        <w:spacing w:after="0" w:line="184" w:lineRule="exact"/>
        <w:rPr>
          <w:sz w:val="20"/>
          <w:szCs w:val="20"/>
          <w:color w:val="auto"/>
        </w:rPr>
      </w:pPr>
    </w:p>
    <w:p>
      <w:pPr>
        <w:jc w:val="both"/>
        <w:ind w:left="1080" w:firstLine="653"/>
        <w:spacing w:after="0" w:line="252" w:lineRule="auto"/>
        <w:tabs>
          <w:tab w:leader="none" w:pos="22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business (other than nominations of persons for election to the Board of Directors, which must be made in compliance with and are governed exclusively by Section 10(b) of this ARTICLE II) to be properly brought before an annual meeting by a stockholder, the stockholder must have given timely notice thereof in proper written form as described in Section 10(a)(iii) of this ARTICLE II to the Secretary; any such proposed business must be a proper matter for stockholder action and the stockholder and the Stockholder Associated Person (as defined in Section 10(e) of this ARTICLE II) must have acted in accordance with the representations set forth in the Solicitation Statement (as defined in Section 10(a)(iii) of this ARTICLE II) required by these Bylaws. To be timely, a stockholder’s notice for such business must be received by the Secretary at the principal executive offices of the Corporation in proper written form not less than 90 days and not more than 120 days prior to the first anniversary of the preceding year’s annual meeting of stockholders (which date shall, for purposes of the Corporation’s first annual meeting of stockholders after its shares of Common Stock are first publicly traded, be deemed to have occurred on July 5, 2017);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and only if the annual meeting is not scheduled to be held within a period that commences 30 days before such anniversary date and ends 30 days after such anniversary date, or if no annual meeting was held in the preceding year (other than for purposes of the Corporation’s first annual meeting of stockholders after its shares of Common Stock are first publicly traded), such stockholder’s notice must be delivered by the later of (A) the tenth day following the day the Public Announcement (as defined in Section 10(e) of this ARTICLE II) of the date of the annual meeting is first made or (B) the date which is 90 days prior to the date of the annual meeting. In no event shall any adjournment or postponement of an annual meeting or the announcement thereof commence a new time period (or extend any time period) for the giving of a stockholder’s notice as described above. Notices delivered pursuant to Section 10(a) of this ARTICLE II will be deemed received on any given day if received prior to the close of business on such day (and otherwise on the next succeeding day).</w:t>
      </w:r>
    </w:p>
    <w:p>
      <w:pPr>
        <w:spacing w:after="0" w:line="193" w:lineRule="exact"/>
        <w:rPr>
          <w:rFonts w:ascii="Times New Roman" w:cs="Times New Roman" w:eastAsia="Times New Roman" w:hAnsi="Times New Roman"/>
          <w:sz w:val="18"/>
          <w:szCs w:val="18"/>
          <w:color w:val="auto"/>
        </w:rPr>
      </w:pPr>
    </w:p>
    <w:p>
      <w:pPr>
        <w:ind w:left="1080" w:firstLine="653"/>
        <w:spacing w:after="0" w:line="282" w:lineRule="auto"/>
        <w:tabs>
          <w:tab w:leader="none" w:pos="2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as to each matter of business the stockholder proposes to bring before the annual meeting:</w:t>
      </w:r>
    </w:p>
    <w:p>
      <w:pPr>
        <w:spacing w:after="0" w:line="161" w:lineRule="exact"/>
        <w:rPr>
          <w:rFonts w:ascii="Times New Roman" w:cs="Times New Roman" w:eastAsia="Times New Roman" w:hAnsi="Times New Roman"/>
          <w:sz w:val="18"/>
          <w:szCs w:val="18"/>
          <w:color w:val="auto"/>
        </w:rPr>
      </w:pPr>
    </w:p>
    <w:p>
      <w:pPr>
        <w:jc w:val="both"/>
        <w:ind w:left="1740" w:firstLine="641"/>
        <w:spacing w:after="0" w:line="266" w:lineRule="auto"/>
        <w:tabs>
          <w:tab w:leader="none" w:pos="28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 (including the specific text of any resolutions or actions proposed for consideration and if such business includes a proposal to amend these Bylaws, the specific language of the proposed amendment) and the reasons for conducting such business at the annual meeting,</w:t>
      </w:r>
    </w:p>
    <w:p>
      <w:pPr>
        <w:spacing w:after="0" w:line="176" w:lineRule="exact"/>
        <w:rPr>
          <w:rFonts w:ascii="Times New Roman" w:cs="Times New Roman" w:eastAsia="Times New Roman" w:hAnsi="Times New Roman"/>
          <w:sz w:val="18"/>
          <w:szCs w:val="18"/>
          <w:color w:val="auto"/>
        </w:rPr>
      </w:pPr>
    </w:p>
    <w:p>
      <w:pPr>
        <w:jc w:val="both"/>
        <w:ind w:left="1740" w:firstLine="641"/>
        <w:spacing w:after="0" w:line="266" w:lineRule="auto"/>
        <w:tabs>
          <w:tab w:leader="none" w:pos="28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proposing such business, as they appear on the Corporation’s books, the name and address (if different from the Corporation’s books) of such proposing stockholder, and the name and address of any Stockholder Associated Person,</w:t>
      </w:r>
    </w:p>
    <w:p>
      <w:pPr>
        <w:spacing w:after="0" w:line="176" w:lineRule="exact"/>
        <w:rPr>
          <w:rFonts w:ascii="Times New Roman" w:cs="Times New Roman" w:eastAsia="Times New Roman" w:hAnsi="Times New Roman"/>
          <w:sz w:val="18"/>
          <w:szCs w:val="18"/>
          <w:color w:val="auto"/>
        </w:rPr>
      </w:pPr>
    </w:p>
    <w:p>
      <w:pPr>
        <w:jc w:val="both"/>
        <w:ind w:left="1740" w:firstLine="641"/>
        <w:spacing w:after="0" w:line="261" w:lineRule="auto"/>
        <w:tabs>
          <w:tab w:leader="none" w:pos="28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directly or indirectly held of record or beneficially owned by such stockholder or by any Stockholder Associated Person, a description of any Derivative Positions (as defined in Section 10(e) of this ARTICLE II) directly or indirectly held or beneficially held by the stockholder or any Stockholder Associated Person, and whether and to the extent to which</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460" w:top="580" w:right="239" w:bottom="1440" w:gutter="0" w:footer="0" w:header="0"/>
        </w:sectPr>
      </w:pPr>
    </w:p>
    <w:bookmarkStart w:id="89" w:name="page90"/>
    <w:bookmarkEnd w:id="89"/>
    <w:p>
      <w:pPr>
        <w:ind w:left="1740"/>
        <w:spacing w:after="0" w:line="282" w:lineRule="auto"/>
        <w:rPr>
          <w:sz w:val="20"/>
          <w:szCs w:val="20"/>
          <w:color w:val="auto"/>
        </w:rPr>
      </w:pPr>
      <w:r>
        <w:rPr>
          <w:rFonts w:ascii="Times New Roman" w:cs="Times New Roman" w:eastAsia="Times New Roman" w:hAnsi="Times New Roman"/>
          <w:sz w:val="18"/>
          <w:szCs w:val="18"/>
          <w:color w:val="auto"/>
        </w:rPr>
        <w:t>a Hedging Transaction (as defined in Section 10(e) of this ARTICLE II) has been entered into by or on behalf of such stockholder or any Stockholder Associated Person,</w:t>
      </w:r>
    </w:p>
    <w:p>
      <w:pPr>
        <w:spacing w:after="0" w:line="162" w:lineRule="exact"/>
        <w:rPr>
          <w:sz w:val="20"/>
          <w:szCs w:val="20"/>
          <w:color w:val="auto"/>
        </w:rPr>
      </w:pPr>
    </w:p>
    <w:p>
      <w:pPr>
        <w:jc w:val="both"/>
        <w:ind w:left="1740" w:firstLine="641"/>
        <w:spacing w:after="0" w:line="261" w:lineRule="auto"/>
        <w:tabs>
          <w:tab w:leader="none" w:pos="29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or among such stockholder or any Stockholder Associated Person and any other person or entity (including their names) in connection with the proposal of such business by such stockholder and any material interest of such stockholder, any Stockholder Associated Person or such other person or entity in such business,</w:t>
      </w:r>
    </w:p>
    <w:p>
      <w:pPr>
        <w:spacing w:after="0" w:line="180" w:lineRule="exact"/>
        <w:rPr>
          <w:rFonts w:ascii="Times New Roman" w:cs="Times New Roman" w:eastAsia="Times New Roman" w:hAnsi="Times New Roman"/>
          <w:sz w:val="18"/>
          <w:szCs w:val="18"/>
          <w:color w:val="auto"/>
        </w:rPr>
      </w:pPr>
    </w:p>
    <w:p>
      <w:pPr>
        <w:ind w:left="1740" w:firstLine="641"/>
        <w:spacing w:after="0" w:line="282" w:lineRule="auto"/>
        <w:tabs>
          <w:tab w:leader="none" w:pos="28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stockholder is a stockholder of record of the Corporation entitled to vote at such meeting and intends to appear in person or by proxy at the annual meeting to bring such business before the meeting,</w:t>
      </w:r>
    </w:p>
    <w:p>
      <w:pPr>
        <w:spacing w:after="0" w:line="161" w:lineRule="exact"/>
        <w:rPr>
          <w:rFonts w:ascii="Times New Roman" w:cs="Times New Roman" w:eastAsia="Times New Roman" w:hAnsi="Times New Roman"/>
          <w:sz w:val="18"/>
          <w:szCs w:val="18"/>
          <w:color w:val="auto"/>
        </w:rPr>
      </w:pPr>
    </w:p>
    <w:p>
      <w:pPr>
        <w:jc w:val="both"/>
        <w:ind w:left="1740" w:firstLine="641"/>
        <w:spacing w:after="0" w:line="258" w:lineRule="auto"/>
        <w:tabs>
          <w:tab w:leader="none" w:pos="27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related to such stockholder or any Stockholder Associated Person that would be required to be disclosed in a proxy statement or other filing required to be made in connection with the solicitation of proxies or consents (even if a solicitation is not involved) by such stockholder or Stockholder Associated Person in support of the business proposed to be brought before the meeting pursuant to Section 14 of the Exchange Act, and the rules, regulations and schedules promulgated thereunder, and</w:t>
      </w:r>
    </w:p>
    <w:p>
      <w:pPr>
        <w:spacing w:after="0" w:line="183" w:lineRule="exact"/>
        <w:rPr>
          <w:rFonts w:ascii="Times New Roman" w:cs="Times New Roman" w:eastAsia="Times New Roman" w:hAnsi="Times New Roman"/>
          <w:sz w:val="18"/>
          <w:szCs w:val="18"/>
          <w:color w:val="auto"/>
        </w:rPr>
      </w:pPr>
    </w:p>
    <w:p>
      <w:pPr>
        <w:jc w:val="both"/>
        <w:ind w:left="1740" w:firstLine="641"/>
        <w:spacing w:after="0" w:line="261" w:lineRule="auto"/>
        <w:tabs>
          <w:tab w:leader="none" w:pos="28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such stockholder or any Stockholder Associated Person intends or is part of a group which intends to deliver a proxy statement and/or form of proxy to the holders of at least the percentage of the Corporation’s outstanding capital stock required to approve the proposal or otherwise to solicit proxies or votes from stockholders in support of the proposal (such representation, a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080" w:firstLine="648"/>
        <w:spacing w:after="0" w:line="282" w:lineRule="auto"/>
        <w:rPr>
          <w:sz w:val="20"/>
          <w:szCs w:val="20"/>
          <w:color w:val="auto"/>
        </w:rPr>
      </w:pPr>
      <w:r>
        <w:rPr>
          <w:rFonts w:ascii="Times New Roman" w:cs="Times New Roman" w:eastAsia="Times New Roman" w:hAnsi="Times New Roman"/>
          <w:sz w:val="18"/>
          <w:szCs w:val="18"/>
          <w:color w:val="auto"/>
        </w:rPr>
        <w:t>In addition, any stockholder who submits a notice pursuant to Section 10(a) of this ARTICLE II is required to update and supplement the information disclosed in such notice, if necessary, in accordance with Section 10(d) of this ARTICLE II.</w:t>
      </w:r>
    </w:p>
    <w:p>
      <w:pPr>
        <w:spacing w:after="0" w:line="162" w:lineRule="exact"/>
        <w:rPr>
          <w:sz w:val="20"/>
          <w:szCs w:val="20"/>
          <w:color w:val="auto"/>
        </w:rPr>
      </w:pPr>
    </w:p>
    <w:p>
      <w:pPr>
        <w:jc w:val="both"/>
        <w:ind w:left="1080" w:firstLine="653"/>
        <w:spacing w:after="0" w:line="266" w:lineRule="auto"/>
        <w:tabs>
          <w:tab w:leader="none" w:pos="21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(other than nominations of persons for election to the Board of Directors, which must be made in compliance with and are governed exclusively by Section 10(b) of this ARTICLE II) shall be conducted at an annual meeting except in accordance with the procedures set forth in Section 10(a) of this ARTICLE II.</w:t>
      </w:r>
    </w:p>
    <w:p>
      <w:pPr>
        <w:spacing w:after="0" w:line="176" w:lineRule="exact"/>
        <w:rPr>
          <w:rFonts w:ascii="Times New Roman" w:cs="Times New Roman" w:eastAsia="Times New Roman" w:hAnsi="Times New Roman"/>
          <w:sz w:val="18"/>
          <w:szCs w:val="18"/>
          <w:color w:val="auto"/>
        </w:rPr>
      </w:pPr>
    </w:p>
    <w:p>
      <w:pPr>
        <w:ind w:left="1480" w:hanging="395"/>
        <w:spacing w:after="0"/>
        <w:tabs>
          <w:tab w:leader="none" w:pos="1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Nominations at 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80" w:firstLine="653"/>
        <w:spacing w:after="0" w:line="266" w:lineRule="auto"/>
        <w:tabs>
          <w:tab w:leader="none" w:pos="21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Investor Rights Agreement between the Corporation and Conyers Park Sponsor LLC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only persons who are nominated in accordance and compliance with the procedures set forth in this Section 10(b) of ARTICLE II shall be eligible for election to the Board of Directors at an annual meeting of stockholders.</w:t>
      </w:r>
    </w:p>
    <w:p>
      <w:pPr>
        <w:spacing w:after="0" w:line="176" w:lineRule="exact"/>
        <w:rPr>
          <w:rFonts w:ascii="Times New Roman" w:cs="Times New Roman" w:eastAsia="Times New Roman" w:hAnsi="Times New Roman"/>
          <w:sz w:val="18"/>
          <w:szCs w:val="18"/>
          <w:color w:val="auto"/>
        </w:rPr>
      </w:pPr>
    </w:p>
    <w:p>
      <w:pPr>
        <w:jc w:val="both"/>
        <w:ind w:left="1080" w:firstLine="653"/>
        <w:spacing w:after="0" w:line="255" w:lineRule="auto"/>
        <w:tabs>
          <w:tab w:leader="none" w:pos="22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of the Corporation may be made at an annual meeting of stockholders only (A) by or at the direction of the Board of Directors or any committee thereof or (B) by any stockholder of the Corporation who (1) was a stockholder of record at the time of giving of notice provided for in this Section 10(b) of ARTICLE II and at the time of the annual meeting, (2) is entitled to vote at the meeting and (3) complies with the notice procedures set forth in this Section 10(b) of ARTICLE II. For the avoidance of doubt, clause (B) of this Section 10(b)(ii) of ARTICLE II shall be the exclusive means for a stockholder to make nominations of persons for election to the Board of Directors at an annual meeting of stockholders, other than pursuant to the Investor Rights Agreement. For nominations to be properly brought by a stockholder at an annual meeting of stockholders, the stockholder must have given timely notice thereof in proper written form as described in Section 10(b)(iii) of this ARTICLE II to</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460" w:top="580" w:right="239" w:bottom="1440" w:gutter="0" w:footer="0" w:header="0"/>
        </w:sectPr>
      </w:pPr>
    </w:p>
    <w:bookmarkStart w:id="90" w:name="page91"/>
    <w:bookmarkEnd w:id="90"/>
    <w:p>
      <w:pPr>
        <w:jc w:val="both"/>
        <w:ind w:left="1080"/>
        <w:spacing w:after="0" w:line="252" w:lineRule="auto"/>
        <w:rPr>
          <w:sz w:val="20"/>
          <w:szCs w:val="20"/>
          <w:color w:val="auto"/>
        </w:rPr>
      </w:pPr>
      <w:r>
        <w:rPr>
          <w:rFonts w:ascii="Times New Roman" w:cs="Times New Roman" w:eastAsia="Times New Roman" w:hAnsi="Times New Roman"/>
          <w:sz w:val="18"/>
          <w:szCs w:val="18"/>
          <w:color w:val="auto"/>
        </w:rPr>
        <w:t>the Secretary and the stockholder and the Stockholder Associated Person must have acted in accordance with the representations set forth in the Nomination Solicitation Statement required by these Bylaws. To be timely, a stockholder’s notice for the nomination of persons for election to the Board of Directors must be delivered to the Secretary at the principal executive offices of the Corporation in proper written form not less than 90 days and not more than 120 days prior to the first anniversary of the preceding year’s annual meeting of stockholders (which date shall, for purposes of the Corporation’s first annual meeting of stockholders after its shares of Common Stock are first publicly traded, be deemed to have occurred on July 5, 2017); provided, however, that if and only if the annual meeting is not scheduled to be held within a period that commences 30 days before such anniversary date and ends 30 days after such anniversary date, or if no annual meeting was held in the preceding year (other than for purposes of the Corporation’s first annual meeting of stockholders after its shares of Common Stock are first publicly traded), such stockholder’s notice must be delivered by the later of the 10th day following the day the Public Announcement of the date of the annual meeting is first made and the date which is 90 days prior to the date of the annual meeting. In no event shall any adjournment or postponement of an annual meeting or the announcement thereof commence a new time period (or extend any time period) for the giving of a stockholder’s notice as described above. Notices delivered pursuant to this Section 10(b) of ARTICLE</w:t>
      </w:r>
    </w:p>
    <w:p>
      <w:pPr>
        <w:spacing w:after="0" w:line="3" w:lineRule="exact"/>
        <w:rPr>
          <w:sz w:val="20"/>
          <w:szCs w:val="20"/>
          <w:color w:val="auto"/>
        </w:rPr>
      </w:pPr>
    </w:p>
    <w:p>
      <w:pPr>
        <w:ind w:left="1080" w:right="20" w:firstLine="5"/>
        <w:spacing w:after="0" w:line="261" w:lineRule="auto"/>
        <w:tabs>
          <w:tab w:leader="none" w:pos="1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received on any given day if received prior to the close of business on such day (and otherwise on the next succeeding day).</w:t>
      </w:r>
    </w:p>
    <w:p>
      <w:pPr>
        <w:spacing w:after="0" w:line="179" w:lineRule="exact"/>
        <w:rPr>
          <w:rFonts w:ascii="Times New Roman" w:cs="Times New Roman" w:eastAsia="Times New Roman" w:hAnsi="Times New Roman"/>
          <w:sz w:val="18"/>
          <w:szCs w:val="18"/>
          <w:color w:val="auto"/>
        </w:rPr>
      </w:pPr>
    </w:p>
    <w:p>
      <w:pPr>
        <w:jc w:val="both"/>
        <w:ind w:left="1080" w:firstLine="653"/>
        <w:spacing w:after="0" w:line="251" w:lineRule="auto"/>
        <w:tabs>
          <w:tab w:leader="none" w:pos="218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shall set forth (A) as to each person that the stockholder proposes to nominate for election or re-election as a director of the Corporation, (1) the name, age, business address and residence address of the person, (2) the principal occupation or employment of the person, (3) the class or series and number of shares of capital stock of the Corporation which are directly or indirectly owned beneficially or of record by the person, (4) the date such shares were acquired and the investment intent of such acquisition and (5) any other information relating to the person that would be required to be disclosed in a proxy statement or other filings required to be made in connection with the solicitation of proxies or consents for a contested election of directors (even if an election contest or proxy solicitation is not involved), or is otherwise required, pursuant to Section 14 of the Exchange Act, and the rules, regulations and schedules promulgated thereunder (including such person’s written consent to being named in the proxy statement as a nominee, if applicable, and to serving as a director if elected), (B) as to the stockholder giving the notice, the name and address of such stockholder, as they appear on the Corporation’s books, the name and address (if different from the Corporation’s books) of such proposing stockholder, and the name and address of any Stockholder Associated Person, (C) the class or series and number of shares of stock of the Corporation which are directly or indirectly held of record or beneficially owned by such stockholder or by any Stockholder Associated Person with respect to the Corporation’s securities, a description of any Derivative Positions directly or indirectly held or beneficially held by the stockholder or any Stockholder Associated Person, and whether and the extent to which a Hedging Transaction has been entered into by or on behalf of such stockholder or any Stockholder Associated Person, (D) a description of all arrangements or understandings (including financial transactions and direct or indirect compensation) between or among such stockholder or any Stockholder Associated Person and each proposed nominee and any other person or entity (including their names) pursuant to which the nomination(s) are to be made by such stockholder, (E) a representation that such stockholder is a holder of record of the Corporation entitled to vote at such meeting and intends to appear in person or by proxy at the meeting to nominate the persons named in its notice, (F) any other information relating to such stockholder or any Stockholder Associated Person that would be required to be disclosed in a proxy statement or other filings required to be made in connection with the solicitation of proxies or consents for a contested election of directors (even if an election contest or proxy solicitation is not involved), or otherwise required, pursuant to Section 14 of the Exchange Act, and the rules, regulations and schedules promulgated thereunder, and (G) a representation as to whether such stockholder or any Stockholder Associated Person intends or is part of a group which intends to deliver a proxy statement and/or form of proxy to the holders of a sufficient number of the Corporation’s outstanding shares reasonably believed by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460" w:top="580" w:right="239" w:bottom="1440" w:gutter="0" w:footer="0" w:header="0"/>
        </w:sectPr>
      </w:pPr>
    </w:p>
    <w:bookmarkStart w:id="91" w:name="page92"/>
    <w:bookmarkEnd w:id="91"/>
    <w:p>
      <w:pPr>
        <w:jc w:val="both"/>
        <w:ind w:left="1080"/>
        <w:spacing w:after="0" w:line="258" w:lineRule="auto"/>
        <w:rPr>
          <w:sz w:val="20"/>
          <w:szCs w:val="20"/>
          <w:color w:val="auto"/>
        </w:rPr>
      </w:pPr>
      <w:r>
        <w:rPr>
          <w:rFonts w:ascii="Times New Roman" w:cs="Times New Roman" w:eastAsia="Times New Roman" w:hAnsi="Times New Roman"/>
          <w:sz w:val="18"/>
          <w:szCs w:val="18"/>
          <w:color w:val="auto"/>
        </w:rPr>
        <w:t>the stockholder or any Stockholder Associated Person, as the case may be, to elect each proposed nominee or otherwise to solicit proxies or votes from stockholders in support of the nomination (such representation, a “</w:t>
      </w:r>
      <w:r>
        <w:rPr>
          <w:rFonts w:ascii="Times New Roman" w:cs="Times New Roman" w:eastAsia="Times New Roman" w:hAnsi="Times New Roman"/>
          <w:sz w:val="18"/>
          <w:szCs w:val="18"/>
          <w:u w:val="single" w:color="auto"/>
          <w:color w:val="auto"/>
        </w:rPr>
        <w:t>Nomination Solicitation Statement</w:t>
      </w:r>
      <w:r>
        <w:rPr>
          <w:rFonts w:ascii="Times New Roman" w:cs="Times New Roman" w:eastAsia="Times New Roman" w:hAnsi="Times New Roman"/>
          <w:sz w:val="18"/>
          <w:szCs w:val="18"/>
          <w:color w:val="auto"/>
        </w:rPr>
        <w:t>”). In addition, any stockholder who submits a notice pursuant to this Section 10(b) of ARTICLE II is required to update and supplement the information disclosed in such notice, if necessary, in accordance with Section 10(d) of this ARTICLE II and shall comply with Section 10(f) of this ARTICLE II.</w:t>
      </w:r>
    </w:p>
    <w:p>
      <w:pPr>
        <w:spacing w:after="0" w:line="184" w:lineRule="exact"/>
        <w:rPr>
          <w:sz w:val="20"/>
          <w:szCs w:val="20"/>
          <w:color w:val="auto"/>
        </w:rPr>
      </w:pPr>
    </w:p>
    <w:p>
      <w:pPr>
        <w:jc w:val="both"/>
        <w:ind w:left="1080" w:firstLine="653"/>
        <w:spacing w:after="0" w:line="255" w:lineRule="auto"/>
        <w:tabs>
          <w:tab w:leader="none" w:pos="218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10(b)(ii) of this ARTICLE II to the contrary, if the number of directors to be elected to the Board of Directors is increased effective after the time period for which nominations would otherwise be due under paragraph 10(b)(ii) of this ARTICLE II and there is no Public Announcement naming the nominees for additional directorships at least 10 days prior to the last day a stockholder may deliver a notice of nomination in accordance with Section 10(b)(ii), a stockholder’s notice required by Section 10(b)</w:t>
      </w:r>
    </w:p>
    <w:p>
      <w:pPr>
        <w:spacing w:after="0" w:line="2" w:lineRule="exact"/>
        <w:rPr>
          <w:rFonts w:ascii="Times New Roman" w:cs="Times New Roman" w:eastAsia="Times New Roman" w:hAnsi="Times New Roman"/>
          <w:sz w:val="18"/>
          <w:szCs w:val="18"/>
          <w:color w:val="auto"/>
        </w:rPr>
      </w:pPr>
    </w:p>
    <w:p>
      <w:pPr>
        <w:jc w:val="both"/>
        <w:ind w:left="1080" w:firstLine="5"/>
        <w:spacing w:after="0" w:line="255" w:lineRule="auto"/>
        <w:tabs>
          <w:tab w:leader="none" w:pos="13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II shall also be considered timely, but only with respect to nominees for the additional directorships, if it shall be received by the Secretary at the principal executive offices of the Corporation not later than the close of business on the 10th day following the day on which such Public Announcement is first made by the Corporation.</w:t>
      </w:r>
    </w:p>
    <w:p>
      <w:pPr>
        <w:spacing w:after="0" w:line="186" w:lineRule="exact"/>
        <w:rPr>
          <w:sz w:val="20"/>
          <w:szCs w:val="20"/>
          <w:color w:val="auto"/>
        </w:rPr>
      </w:pPr>
    </w:p>
    <w:p>
      <w:pPr>
        <w:jc w:val="both"/>
        <w:ind w:left="-220" w:firstLine="1305"/>
        <w:spacing w:after="0" w:line="252" w:lineRule="auto"/>
        <w:tabs>
          <w:tab w:leader="none" w:pos="15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notice of meeting. Subject to the provisions of the Investor Rights Agreement, only persons who are nominated in accordance and compliance with the procedures set forth in this Section 10(c) of ARTICLE II shall be eligible for election to the Board of Directors at a special meeting of stockholders at which directors are to be elected. Nominations of persons for election to the Board of Directors may be made at a special meeting of stockholders at which directors are to be elected pursuant to the notice of meeting only (i) by or at the direction of the Board of Directors, any committee thereof or (ii) provided that the Board of Directors has determined that directors are to be elected at such special meeting, by any stockholder of the Corporation who (A) was a stockholder of record at the time of giving of notice provided for in this Section 10(c) of ARTICLE II and at the time of the special meeting, (B) is entitled to vote at the meeting and (C) complies with the notice procedures provided for in this Section 10(c) of ARTICLE II. For the avoidance of doubt, the foregoing clause (ii) of this Section 10(c) of ARTICLE II shall be the exclusive means for a stockholder to propose nominations of persons for election to the Board of Directors at a special meeting of stockholders at which directors are to be elected, other than pursuant to the Investor Rights Agreement. For nominations to be properly brought by a stockholder at a special meeting of stockholders, the stockholder must have given timely notice thereof in proper written form as described in this Section 10(c) of ARTICLE II to the Secretary. To be timely, a stockholder’s notice for the nomination of persons for election to the Board of Directors must be received by the Secretary at the principal executive offices of the Corporation not earlier than the 120th day prior to such special meeting and not later than the close of business on the later of the 90th day prior to such special meeting or the 10th day following the day on which a Public Announcement is first made of the date of the special meeting and of the nominees proposed by the Board of Directors to be elected at such meeting. In no event shall any adjournment or postponement of a special meeting or the announcement thereof commence a new time period (or extend any time period) for the giving of a stockholder’s notice as described above. Notices delivered pursuant to this Section 10(c) of ARTICLE II will be deemed received on any given day if received prior to the close of business on such day (and otherwise on the next succeeding day). To be in proper written form, such stockholder’s notice shall set forth all of the information required by, and otherwise be in compliance with, Section 10(b)(iii) of this ARTICLE II. In addition, any stockholder who submits a notice pursuant to this Section 10(c) of ARTICLE II is required to update and supplement the information disclosed in such notice, if necessary, in accordance with Section 10(d) of this ARTICLE II and shall comply with Section 10(f) of this ARTICLE II.</w:t>
      </w:r>
    </w:p>
    <w:p>
      <w:pPr>
        <w:spacing w:after="0" w:line="188" w:lineRule="exact"/>
        <w:rPr>
          <w:rFonts w:ascii="Times New Roman" w:cs="Times New Roman" w:eastAsia="Times New Roman" w:hAnsi="Times New Roman"/>
          <w:sz w:val="18"/>
          <w:szCs w:val="18"/>
          <w:color w:val="auto"/>
        </w:rPr>
      </w:pPr>
    </w:p>
    <w:p>
      <w:pPr>
        <w:jc w:val="both"/>
        <w:ind w:left="-220" w:firstLine="1305"/>
        <w:spacing w:after="0" w:line="256" w:lineRule="auto"/>
        <w:tabs>
          <w:tab w:leader="none" w:pos="15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Update and Supplement of Stockholder’s Notice</w:t>
      </w:r>
      <w:r>
        <w:rPr>
          <w:rFonts w:ascii="Times New Roman" w:cs="Times New Roman" w:eastAsia="Times New Roman" w:hAnsi="Times New Roman"/>
          <w:sz w:val="18"/>
          <w:szCs w:val="18"/>
          <w:color w:val="auto"/>
        </w:rPr>
        <w:t>. Any stockholder who submits a notice of proposal for business or nomination for election pursuant to this Section 10 of ARTICLE II is required to update and supplement the information disclosed in such notice, if necessary, so that the information provided or required to be provided in such notice shall be true and correct as of the record date for determining the stockholders entitled to notice of the meeting of stockholders and as of the date that is 10 business days prior to such meeting of the stockholders or any adjournment or postponement thereof, and such update and supplement shall be received by the Secretary at the principal executive offices of the Corporation not later than the close of business on the 5th business day after the record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460" w:top="580" w:right="2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date for the meeting of stockholders (in the case of the update and supplement required to be made as of the record date), and not later than the close of business on the 8th business day prior to the date for the meeting of stockholders or any adjournment or postponement thereof (in the case of the update and supplement required to be made as of 10 business days prior to the meeting of stockholders or any adjournment or postponement thereof).</w:t>
      </w:r>
    </w:p>
    <w:p>
      <w:pPr>
        <w:spacing w:after="0" w:line="176" w:lineRule="exact"/>
        <w:rPr>
          <w:sz w:val="20"/>
          <w:szCs w:val="20"/>
          <w:color w:val="auto"/>
        </w:rPr>
      </w:pPr>
    </w:p>
    <w:p>
      <w:pPr>
        <w:ind w:left="1680" w:hanging="375"/>
        <w:spacing w:after="0"/>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Section 10 of ARTICLE II, the term:</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5" w:lineRule="auto"/>
        <w:tabs>
          <w:tab w:leader="none" w:pos="23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Positions</w:t>
      </w:r>
      <w:r>
        <w:rPr>
          <w:rFonts w:ascii="Times New Roman" w:cs="Times New Roman" w:eastAsia="Times New Roman" w:hAnsi="Times New Roman"/>
          <w:sz w:val="18"/>
          <w:szCs w:val="18"/>
          <w:color w:val="auto"/>
        </w:rPr>
        <w:t>” means, with respect to a stockholder or any Stockholder Associated Person, any derivative positions including, without limitation,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performance- related fees to which such stockholder or any Stockholder Associated Person is entitled based, directly or indirectly, on any increase or decrease in the value of shares of capital stock of the Corporation;</w:t>
      </w:r>
    </w:p>
    <w:p>
      <w:pPr>
        <w:spacing w:after="0" w:line="189"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41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Transaction</w:t>
      </w:r>
      <w:r>
        <w:rPr>
          <w:rFonts w:ascii="Times New Roman" w:cs="Times New Roman" w:eastAsia="Times New Roman" w:hAnsi="Times New Roman"/>
          <w:sz w:val="18"/>
          <w:szCs w:val="18"/>
          <w:color w:val="auto"/>
        </w:rPr>
        <w:t>” means, with respect to a stockholder or any Stockholder Associated Person, any hedging or other transaction (such as borrowed or loaned shares) or series of transactions, or any other agreement, arrangement or understanding, the effect or intent of which is to increase or decrease the voting power or economic or pecuniary interest of such stockholder or any Stockholder Associated Person with respect to the Corporation’s securities;</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6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means disclosure in a press release reported by the Dow Jones News Service, Associated Press, Business Wire, PR Newswire or comparable news service or in a document publicly filed by the Corporation with the Securities and Exchange Commission pursuant to Sections 13, 14 or 15(d) of the Exchange Act; and</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4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Associated Person</w:t>
      </w:r>
      <w:r>
        <w:rPr>
          <w:rFonts w:ascii="Times New Roman" w:cs="Times New Roman" w:eastAsia="Times New Roman" w:hAnsi="Times New Roman"/>
          <w:sz w:val="18"/>
          <w:szCs w:val="18"/>
          <w:color w:val="auto"/>
        </w:rPr>
        <w:t>” of any stockholder means (A) any person controlling, directly or indirectly, or acting in concert with, such stockholder, (B) any beneficial owner of shares of stock of the Corporation owned of record or beneficially by such stockholder or (C) any person directly or indirectly controlling, controlled by or under common control with such Stockholder Associated Person.</w:t>
      </w:r>
    </w:p>
    <w:p>
      <w:pPr>
        <w:spacing w:after="0" w:line="180" w:lineRule="exact"/>
        <w:rPr>
          <w:rFonts w:ascii="Times New Roman" w:cs="Times New Roman" w:eastAsia="Times New Roman" w:hAnsi="Times New Roman"/>
          <w:sz w:val="18"/>
          <w:szCs w:val="18"/>
          <w:color w:val="auto"/>
        </w:rPr>
      </w:pPr>
    </w:p>
    <w:p>
      <w:pPr>
        <w:jc w:val="both"/>
        <w:ind w:firstLine="1305"/>
        <w:spacing w:after="0" w:line="252" w:lineRule="auto"/>
        <w:tabs>
          <w:tab w:leader="none" w:pos="17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Subject to the provisions of the Investor Rights Agreement, to be qualified to be a nominee for election or reelection as a director of the Corporation, a person must deliver (in the case of a person nominated by a stockholder in accordance with Sections 10(b) or 10(c) of this ARTICLE II, in accordance with the time periods prescribed for delivery of notice under such sections)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would be in compliance, and if elected as a director of the Corporation will comply, with all applicable publicly disclosed corporate governance, conflict of interest, confidentiality and stock ownership and trading policies and guidelines of the Corporation. The Corporation may also require any proposed nominee to furnish such other information as may reasonably be required by the Corporation to determine the eligibility of such proposed</w:t>
      </w: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nominee to serve either as a director of the Corporation or as an independent director of the Corporation under applicable Securities and Exchange Commission and stock exchange rules and the Corporation’s publicly disclosed corporate governance guidelines, or that could be material to a reasonable stockholder’s understanding of the qualifications and/or independence, or lack thereof, of such nominee, as determined in the Board of Directors’ sole discretion.</w:t>
      </w:r>
    </w:p>
    <w:p>
      <w:pPr>
        <w:spacing w:after="0" w:line="180" w:lineRule="exact"/>
        <w:rPr>
          <w:sz w:val="20"/>
          <w:szCs w:val="20"/>
          <w:color w:val="auto"/>
        </w:rPr>
      </w:pPr>
    </w:p>
    <w:p>
      <w:pPr>
        <w:jc w:val="both"/>
        <w:ind w:firstLine="1305"/>
        <w:spacing w:after="0" w:line="254" w:lineRule="auto"/>
        <w:tabs>
          <w:tab w:leader="none" w:pos="171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Chairman; General Provisions</w:t>
      </w:r>
      <w:r>
        <w:rPr>
          <w:rFonts w:ascii="Times New Roman" w:cs="Times New Roman" w:eastAsia="Times New Roman" w:hAnsi="Times New Roman"/>
          <w:sz w:val="18"/>
          <w:szCs w:val="18"/>
          <w:color w:val="auto"/>
        </w:rPr>
        <w:t>. Except as otherwise provided by applicable law, the Certificate of Incorporation or these Bylaws, the chairman of the meeting shall have the power and duty to determine whether any nomination or other business proposed to be brought before the meeting was made or brought in accordance with the procedures set forth in these Bylaws (including whether the stockholder or Stockholder Associated Person,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Section 10(a)(iii)</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10(b)(iii)(G), as applicable, of these Bylaws) and, if any nomination or other business is not made or brought in compliance with these Bylaws, to declare that such nomination or proposal of other business be disregarded and not acted upon. Notwithstanding the foregoing provisions of this Section 10 of ARTICLE II, unless otherwise required by law and except for nominations made pursuant to the Investor Rights Agreement,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10 of ARTICLE II,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4"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Exchange Act</w:t>
      </w:r>
      <w:r>
        <w:rPr>
          <w:rFonts w:ascii="Times New Roman" w:cs="Times New Roman" w:eastAsia="Times New Roman" w:hAnsi="Times New Roman"/>
          <w:sz w:val="18"/>
          <w:szCs w:val="18"/>
          <w:color w:val="auto"/>
        </w:rPr>
        <w:t>. Notwithstanding the foregoing provisions of these Bylaws, a stockholder shall also comply with all applicable requirements of the Exchange Act and the rules, regulations and schedules promulgated thereunder with respect to the matters set forth in these Bylaws; provided, however, that any references in these Bylaws to the Exchange Act or the rules, regulations and schedules promulgated thereunder are not intended to and shall not limit the requirements applicable to any nomination or other business to be considered pursuant to this Section 10 of ARTICLE II.</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8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Rights</w:t>
      </w:r>
      <w:r>
        <w:rPr>
          <w:rFonts w:ascii="Times New Roman" w:cs="Times New Roman" w:eastAsia="Times New Roman" w:hAnsi="Times New Roman"/>
          <w:sz w:val="18"/>
          <w:szCs w:val="18"/>
          <w:color w:val="auto"/>
        </w:rPr>
        <w:t>. Nothing in these Bylaws shall be deemed to (A) affect any rights of the stockholders to request inclusion of proposals in the Corporation’s proxy statement pursuant to Rule 14a-8 under the Exchange Act, (B) confer upon any stockholder a right to have a nominee or any proposed business included in the Corporation’s proxy statement, except as set forth in the Certificate of Incorporation or these Bylaws, (C) affect any rights of the holders of any series of preferred stock to elect directors pursuant to any applicable provisions of the Certificate of Incorporation or (D) limit the exercise, the method or timing of the exercise of, the rights granted by the Corporation pursuant to the Investor Rights Agreement, which rights may be exercised without compliance with the provisions of this Section 10 of ARTICLE II.</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Fixing a Record Date for Stockholder Meetings</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the Board of Directors may fix, except as otherwise required by law, in advance, a record date, which record date shall not precede the date upon which the resolution fixing the record date is adopted by the Board of Directors, and which record date shall not be more than 60 days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in conformity herewith; and in such</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case shall also fix as the record date for stockholders entitled to notice of such adjourned meeting the same or an earlier date as that fixed for determination of stockholders entitled to vote in accordance with the foregoing provisions of this Section 11 of ARTICLE II at the adjourned meeting.</w:t>
      </w:r>
    </w:p>
    <w:p>
      <w:pPr>
        <w:spacing w:after="0" w:line="16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8" w:lineRule="auto"/>
        <w:tabs>
          <w:tab w:leader="none" w:pos="17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Meetings of stockholders shall be presided over by the Chairman of the Board, if any, or in the Chairman’s absence or disability, by the Chief Executive Officer, or in the Chief Executive Officer’s absence or disability, by the President, or in the President’s absence or disability, by a Vice President (in the order as determined by the Board of Directors), or in the absence or disability of the foregoing persons by a chairman designated by the Board of Directors, or in the absence or disability of such person, by a chairman chosen at the meeting. The Secretary shall act as secretary of the meeting, but in the Secretary’s absence or disability the chairman of the meeting may appoint any person to act as secretary of the meeting.</w:t>
      </w:r>
    </w:p>
    <w:p>
      <w:pPr>
        <w:spacing w:after="0" w:line="183" w:lineRule="exact"/>
        <w:rPr>
          <w:rFonts w:ascii="Times New Roman" w:cs="Times New Roman" w:eastAsia="Times New Roman" w:hAnsi="Times New Roman"/>
          <w:sz w:val="18"/>
          <w:szCs w:val="18"/>
          <w:color w:val="auto"/>
        </w:rPr>
      </w:pPr>
    </w:p>
    <w:p>
      <w:pPr>
        <w:jc w:val="both"/>
        <w:ind w:firstLine="1305"/>
        <w:spacing w:after="0" w:line="252" w:lineRule="auto"/>
        <w:tabs>
          <w:tab w:leader="none" w:pos="17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Regulations and Procedures</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w:t>
      </w:r>
    </w:p>
    <w:p>
      <w:pPr>
        <w:spacing w:after="0" w:line="7"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chairman of the meeting of stockholders, in addition to making any other determinations that may be appropriate to the conduct of the meeting, shall, if the facts warrant, determine and declare to the meeting that a nomination or matter or business was not properly brought before the meeting and if such chairman should so determine, such chairman shall so declare to the meeting and any such matter or business not properly brought before the meeting shall not be transacted or considered. Unless and to the extent determined by the Board of Directors or the chairman of the meeting, meetings of stockholders shall not be required to be held in accordance with the rules of parliamentary procedure. The chairman of the meeting shall announce at the meeting when the polls for each matter to be voted upon at the meeting will be opened and closed. After the polls close, no ballots, proxies or votes or any revocations or changes thereto may be accepted. The chairman of the meeting shall have the power, right and authority, for any or no reason, to convene, recess and/or adjourn any meeting of stockholders.</w:t>
      </w:r>
    </w:p>
    <w:p>
      <w:pPr>
        <w:spacing w:after="0" w:line="194"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may, and to the extent required by law shall, in advance of any meeting of stockholders, appoint one or more inspectors of election to act at the meeting and make a written report thereof. One or more other persons may be designated as alternate inspectors to replace any inspector who fails to act. If no inspector or alternate is able to act at a meeting of stockholders, the chairman of the meeting shall appoint one or more inspectors to act at the meeting. Unless otherwise required by law, inspectors may be officers, employees or agents of the Corporation. No person who is a candidate for an office at an election may serve as an inspector at such election.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 shall be counted by a duly appointed inspector or duly appointed inspectors.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In addition to the powers and authority expressly conferred upon them by statute or by the Certificate of Incorporation or these Bylaws, the directors are hereby empowered to exercise all such powers and do all such acts and things as may be exercised or done by the Corporation except for such powers, acts and things that are by the DGCL, the Certificate of Incorporation or these Bylaws required to be exercised or done by the stockholders. The number of directors shall be established by the Board of Directors from time to time and the Board of Directors shall have at least one member.</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the Board of Directors shall be held without other notice than this Bylaw immediately after, and at the same place as, the annual meeting of stockholders. In the event that the annual meeting of stockholders takes place telephonically or through any other means by which the stockholders do not convene in any one location, the annual meeting of the Board of Directors shall be held at the principal offices of the Corporation immediately after the annual meeting of the stockholders.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Regular Meetings and Special Meetings</w:t>
      </w:r>
      <w:r>
        <w:rPr>
          <w:rFonts w:ascii="Times New Roman" w:cs="Times New Roman" w:eastAsia="Times New Roman" w:hAnsi="Times New Roman"/>
          <w:sz w:val="18"/>
          <w:szCs w:val="18"/>
          <w:color w:val="auto"/>
        </w:rPr>
        <w:t>. Regular meetings, other than the annual meeting, of the Board of Directors may be held without notice at such time and at such place as shall from time to time be determined by resolution of the Board of Directors and publicized among all directors. Special meetings of the Board of Directors may be called by (i) the Chairman of the Board, if any, or (ii) by the Secretary upon the written request of a majority of the directors then in office, and in each case shall be held at the place, if any, on the date and at the time as he or she shall fix. Any and all business may be transacted at a special meeting of the Board of Directors.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regular meetings of the Board of Directors need not be given except as otherwise required by law or these Bylaws. Notice of each special meeting of the Board of Directors, and of each regular and annual meeting of the Board of Directors for which notice is required, shall be given by the Secretary as hereinafter provided in this Section 4 of ARTICLE III. Such notice shall be state the date, time and place, if any, of the meeting. Notice of any special meeting, and of any regular or annual meeting for which notice is required, shall be given to each director at least (a) 24 hours before the meeting if by telephone or by being personally delivered or sent by telex, telecopy, electronic transmission, email or similar means or (b) 5 days before the meeting if delivered by mail to the director’s residence or usual place of business. Such notice shall be deemed to be delivered when deposited in the United States mail so addressed, with postage prepaid, or when transmitted if sent by electronic transmission, email or similar means. Neither the business to be transacted at, nor the purpose of, any special meeting of the Board of Directors need be specified in the notice or waiver of notice of such meeting.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Any director may waive notice of any meeting of directors by a writing signed by the director or by electronic transmission.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and does not further participate in the meeting.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Chairman of the Board, Quorum, Required Vote and Adjournment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elect, by the affirmative vote of a majority of the directors then in office, a Chairman of the Board. The Chairman of the Board must be a director and may be an officer of the Corporation. Subject to the provisions of these Bylaws and the direction of the Board of Directors, he or she shall perform all duties and have all powers which are commonly incident to the position of Chairman of the Board or which are delegated to him or her by the Board of Directors, preside at all meetings of the stockholders and Board of Directors at which he or she is present and have such powers and perform such duties as the Board of Directors may from time to time prescribe. If the Chairman of the Board is not present at a meeting of the Board of Directors, the Chief Executive Officer (if the Chief Executive Officer is a director and is not also the Chairman of the Board) shall preside at such meeting, and, if</w:t>
      </w: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96" w:name="page97"/>
    <w:bookmarkEnd w:id="96"/>
    <w:p>
      <w:pPr>
        <w:jc w:val="both"/>
        <w:spacing w:after="0" w:line="255" w:lineRule="auto"/>
        <w:rPr>
          <w:sz w:val="20"/>
          <w:szCs w:val="20"/>
          <w:color w:val="auto"/>
        </w:rPr>
      </w:pPr>
      <w:r>
        <w:rPr>
          <w:rFonts w:ascii="Times New Roman" w:cs="Times New Roman" w:eastAsia="Times New Roman" w:hAnsi="Times New Roman"/>
          <w:sz w:val="18"/>
          <w:szCs w:val="18"/>
          <w:color w:val="auto"/>
        </w:rPr>
        <w:t>the Chief Executive Officer is not present at such meeting, a majority of the directors present at such meeting shall elect one of the directors present at the meeting to so preside. At all meetings of the Board of Directors, a majority of the directors then in office shall constitute a quorum for the transaction of business. Unless by express provision of an applicable law, the Certificate of Incorporation or these Bylaws a different vote is required, the vote of a majority of directors present at a meeting at which a quorum is present shall be the act of the Board of Directors. At any meeting of the Board of Directors, business shall be transacted in such order and manner as the Board of Directors may from time to time determine. If a quorum shall not be present at any meeting of the Board of Directors, the directors present thereat may, to the fullest extent permitted by law, adjourn the meeting from time to time, without notice other than announcement at the meeting, until a quorum shall be present.</w:t>
      </w:r>
    </w:p>
    <w:p>
      <w:pPr>
        <w:spacing w:after="0" w:line="189" w:lineRule="exact"/>
        <w:rPr>
          <w:sz w:val="20"/>
          <w:szCs w:val="20"/>
          <w:color w:val="auto"/>
        </w:rPr>
      </w:pPr>
    </w:p>
    <w:p>
      <w:pPr>
        <w:jc w:val="both"/>
        <w:ind w:firstLine="1305"/>
        <w:spacing w:after="0" w:line="258" w:lineRule="auto"/>
        <w:tabs>
          <w:tab w:leader="none" w:pos="17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elect from their own number one or more Vice Chairmen. Each Vice Chairman shall assist the Chairman and perform such other duties as may be assigned by the Board of Directors, these Bylaws, or, in the case of any Vice Chairman with executive responsibilities, the Chairman. If the Chairman is not present at any meeting of the Directors, the Vice Chairman (or, if there are more than one, the Vice Chairman selected by a majority of the Directors present at such meeting) will preside at such meeting. Any Vice Chairman with executive responsibilities may be designated an Executive Vice Chairman.</w:t>
      </w:r>
    </w:p>
    <w:p>
      <w:pPr>
        <w:spacing w:after="0" w:line="18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5" w:lineRule="auto"/>
        <w:tabs>
          <w:tab w:leader="none" w:pos="17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designate one or more committees, including an executive committee, consisting of one or more of the directors of the Corporation, and any committees required by the rules and regulations of such exchange on which any securities of the Corporation are listed. The Board of Directors may designate one or more directors as alternate members of any committee, who may replace any absent or disqualified member at any meeting of the committee. Except to the extent restricted by applicable law or the Certificate of Incorporation, each such committee, to the extent provided by the DGCL and in the resolution creating it, shall have and may exercise all the powers and authority of the Board of Directors. Each such committee shall serve at the pleasure of the Board of Directors. Each committee shall keep regular minutes of its meetings and report the same to the Board of Directors upon request.</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All matters shall be determined by a majority vote of the members present at a meeting at which a quorum is present.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 or transmissions are filed with the minutes of proceedings of the board or committee.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of Directors shall have the authority to fix the compensation, including fees, reimbursement of expenses and equity compensation, of directors for services to the Corporation in any capacity, including for attendance of meetings of the Board of Directors or participation on any committees. No such payment shall preclude any director from serving the Corporation in any other capacity and receiving compensation therefor.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A member of the Board of Directors, or a member of any committee designated by the Board of Directors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and Election</w:t>
      </w:r>
      <w:r>
        <w:rPr>
          <w:rFonts w:ascii="Times New Roman" w:cs="Times New Roman" w:eastAsia="Times New Roman" w:hAnsi="Times New Roman"/>
          <w:sz w:val="18"/>
          <w:szCs w:val="18"/>
          <w:color w:val="auto"/>
        </w:rPr>
        <w:t>. Subject to the authority of Chief Executive Officer to appoint officers as set forth in Section 11 of this ARTICLE IV, the officers of the Corporation shall be elected by the Board of Directors and shall consist of a Chief Executive Officer, a President, one or more Vice Presidents, a Secretary, a Chief Financial Officer, a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until a successor is duly elected and qualified or until his or her earlier death, resignation or removal as hereinafter provided.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or agent of the Corporation may be removed with or without cause by the Board of Directors, a duly authorized committee thereof or by such officers as may be designated by a resolution of the Board of Directors, but such removal shall be without prejudice to the contract rights, if any, of the person so removed. Any officer appointed by the Chief Executive Officer in accordance with Section 11 of this ARTICLE IV may also be removed by the Chief Executive Officer in his or her sole discretion.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in any office because of death, resignation, removal, disqualification or otherwise may be filled by the Board of Directors or the Chief Executive Officer in accordance with Section 11 of this ARTICLE IV.</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Compensation of all executive officers shall be approved by the Board of Directors or a duly authorized committee thereof, and no officer shall be prevented from receiving such compensation by virtue of his or her also being a director of the Corporation.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the powers and perform the duties incident to that position. The Chief Executive Officer shall, in the absence of the Chairman of the Board, or if a Chairman of the Board shall not have been elected, preside at each meeting of (a) the Board of Directors if the Chief Executive Officer is a director and (b) the stockholders. Subject to the powers of the Board of Directors and the Chairman of the Board, the Chief Executive Officer shall be in general and active charge of the entire business and affairs of the Corporation, and shall be its chief policy making officer. The Chief Executive Officer shall have such other powers and perform such other duties as may be prescribed by the Board of Directors or provided in these Bylaws. The Chief Executive Officer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Whenever the President is unable to serve, by reason of sickness, absence or otherwise, the Chief Executive Officer shall perform all the duties and responsibilities and exercise all the powers of the President.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The President of the Corporation shall, subject to the powers of the Board of Directors, the Chairman of the Board and the Chief Executive Officer, have general charge of the business, affairs and property of the Corporation, and control over its officers, agents and employees. The President shall see that all orders and resolutions of the Board of Directors are carried into effect. The President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in the absence of the Chief Executive Officer, act with all of the powers and be subject to all of the restrictions of the Chief Executive Officer. The President shall have such other powers and perform such other duties as may be prescribed by the Chairman of the Board, the Chief Executive Officer, the Board of Directors or as may be provided in these Bylaws.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Vice President, or if there shall be more than one, the Vice Presidents, in the order determined by the Board of Directors or the Chairman of the Board, shall, perform such duties and have</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such powers as the Board of Directors, the Chairman of the Board, the Chief Executive Officer, the President or these Bylaws may, from time to time, prescribe. The Vice Presidents may also be designated as Executive Vice Presidents or Senior Vice Presidents, as the Board of Directors may from time to time prescribe.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The Secretary and Assistant Secretaries</w:t>
      </w:r>
      <w:r>
        <w:rPr>
          <w:rFonts w:ascii="Times New Roman" w:cs="Times New Roman" w:eastAsia="Times New Roman" w:hAnsi="Times New Roman"/>
          <w:sz w:val="18"/>
          <w:szCs w:val="18"/>
          <w:color w:val="auto"/>
        </w:rPr>
        <w:t>. The Secretary shall attend all meetings of the Board of Directors (other than executive sessions thereof) and all meetings of the stockholders and record all the proceedings of the meetings in a book or books to be kept for that purpose or shall ensure that his or her designee attends each such meeting to act in such capacity. Under the Board of Directors’ supervision, the Secretary shall give, or cause to be given, all notices required to be given by these Bylaws or by law; shall have such powers and perform such duties as the Board of Directors, the Chairman of the Board, the Chief Executive Officer, the President or these Bylaws may, from time to time, prescribe;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Assistant Secretary, or if there be more than one, any of the assistant secretaries, shall in the absence or disability of the Secretary, perform the duties and exercise the powers of the Secretary and shall perform such other duties and have such other powers as the Board of Directors, the Chairman of the Board, the Chief Executive Officer, the President, or Secretary may, from time to time, prescribe.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The Chief Financial Officer and the Treasurer</w:t>
      </w:r>
      <w:r>
        <w:rPr>
          <w:rFonts w:ascii="Times New Roman" w:cs="Times New Roman" w:eastAsia="Times New Roman" w:hAnsi="Times New Roman"/>
          <w:sz w:val="18"/>
          <w:szCs w:val="18"/>
          <w:color w:val="auto"/>
        </w:rPr>
        <w:t>. The Chief Financial Officer shall have the custody of the corporate funds and securities; shall deposit all monies and other valuable effects in the name and to the credit of the Corporation as may be ordered by the Chairman of the Board or the Board of Directors; and shall render to the Board of Directors, at its regular meeting or when the Board of Directors so requires, an account of the financial condition and operations of the Corporation; shall have such powers and perform such duties as the Board of Directors, the Chairman of the Board, the Chief Executive Officer, the President or these Bylaws may, from time to time, prescribe. The Treasurer, if any, shall in the absence or disability of the chief financial officer, perform the duties and exercise the powers of the chief financial officer, subject to the power of the board of directors. The Treasurer, if any, shall perform such other duties and have such other powers as the board of directors may, from time to time, prescribe.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Appointed Officers</w:t>
      </w:r>
      <w:r>
        <w:rPr>
          <w:rFonts w:ascii="Times New Roman" w:cs="Times New Roman" w:eastAsia="Times New Roman" w:hAnsi="Times New Roman"/>
          <w:sz w:val="18"/>
          <w:szCs w:val="18"/>
          <w:color w:val="auto"/>
        </w:rPr>
        <w:t>. In addition to officers designated by the Board in accordance with this ARTICLE IV, the Chief Executive Officer shall have the authority to appoint other officers below the level of Board-appointed Vice President as the Chief Executive Officer may from time to time deem expedient and may designate for such officers titles that appropriately reflect their positions and responsibilities. Such appointed officers shall have such powers and shall perform such duties as may be assigned to them by the Chief Executive Officer or the senior officer to whom they report, consistent with corporate policies. An appointed officer shall serve until the earlier of such officer’s resignation or such officer’s removal by the Chief Executive Officer at any time, either with or without cause.</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Officers, Assistant Officers and Agents</w:t>
      </w:r>
      <w:r>
        <w:rPr>
          <w:rFonts w:ascii="Times New Roman" w:cs="Times New Roman" w:eastAsia="Times New Roman" w:hAnsi="Times New Roman"/>
          <w:sz w:val="18"/>
          <w:szCs w:val="18"/>
          <w:color w:val="auto"/>
        </w:rPr>
        <w:t>. Officers, assistant officers and agents, if any, other than those whose duties are provided for in these Bylaws, shall have such authority and perform such duties as may from time to time be prescribed by resolution of the Board of Directors and, to the extent not so provided, as generally pertain to their respective offices, subject to the control of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of Directors may by resolution delegate the powers and duties of such officer to any other officer or to any director, or to any other person whom it may select.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CERTIFICATES OF STOCK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Form and Transfer</w:t>
      </w:r>
      <w:r>
        <w:rPr>
          <w:rFonts w:ascii="Times New Roman" w:cs="Times New Roman" w:eastAsia="Times New Roman" w:hAnsi="Times New Roman"/>
          <w:sz w:val="18"/>
          <w:szCs w:val="18"/>
          <w:color w:val="auto"/>
        </w:rPr>
        <w:t>. The shares of stock of the Corporation shall be represented by certificates, provided that the Board of Directors may provide by resolution that some or all of any or all classes or series of its stock shall be uncertificated shares. If shares are represented by certificates, the certificates shall be in such form as required by applicable law and as determined by the Board of Directors. Each certificate shall certify the number of shares owned by such holder in the Corporation and shall be signed by, or in the name of the Corporation by (i) the Chairman of the Board, the President, or a Vice President and (ii) the Treasurer, the Secretary or an Assistant Secretary</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99" w:name="page100"/>
    <w:bookmarkEnd w:id="99"/>
    <w:p>
      <w:pPr>
        <w:jc w:val="both"/>
        <w:spacing w:after="0" w:line="252" w:lineRule="auto"/>
        <w:rPr>
          <w:sz w:val="20"/>
          <w:szCs w:val="20"/>
          <w:color w:val="auto"/>
        </w:rPr>
      </w:pPr>
      <w:r>
        <w:rPr>
          <w:rFonts w:ascii="Times New Roman" w:cs="Times New Roman" w:eastAsia="Times New Roman" w:hAnsi="Times New Roman"/>
          <w:sz w:val="18"/>
          <w:szCs w:val="18"/>
          <w:color w:val="auto"/>
        </w:rPr>
        <w:t>of the Corporation. Any or all signatures on the certificate may be a facsimile. The Board of Directors may appoint a bank or trust company organized under the laws of the United States or any state thereof to act as its transfer agent or registrar, or both in connection with the transfer of any class or series of securities of the Corporation. The Corporation, or its designated transfer agent or other agent, shall keep a book or set of books to be known as the stock transfer books of the Corporation, containing the name of each holder of record, together with such holder’s address and the number and class or series of shares held by such holder and the date of issue.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 (i) in the case of certificated shares, the certificate representing such shares has been surrendered; (ii)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 (iii) the Corporation has received a guarantee of signature of the person signing such endorsement or instruction or such other reasonable assurance that the endorsement or instruction is genuine and authorized as the Corporation may request; (iv) the transfer does not violate any restriction on transfer imposed by the Corporation; and (v) such other conditions for such transfer as shall be provided for under applicable law have been satisfied.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or direct a new certificate or certificates or uncertificated shares to be issued in place of any certificate or certificates previously issued by the Corporation alleged to have been lost, stolen or destroyed, upon the making of an affidavit of that fact by the owner of the lost, stolen or destroyed certificate.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in such sum as it may direct, sufficient to indemnify the Corporation against any claim that may be made against the Corporation on account of the alleged loss, theft or destruction of any such certificate or the issuance of such new certificate or uncertificated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records as the owner of shares of stock to receive dividends, to vote, to receive notifications and otherwise to exercise all the rights and powers of an owner. The Corporation shall not be bound to recognize any equitable or other claim to or interest in such share or shares of stock on the part of any other person, whether or not it shall have express or other notice thereof, except as otherwise required by applicable law.</w:t>
      </w:r>
    </w:p>
    <w:p>
      <w:pPr>
        <w:spacing w:after="0" w:line="18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Fixing a Record Date for Purposes Other Than Stockholder Meetings</w:t>
      </w:r>
      <w:r>
        <w:rPr>
          <w:rFonts w:ascii="Times New Roman" w:cs="Times New Roman" w:eastAsia="Times New Roman" w:hAnsi="Times New Roman"/>
          <w:sz w:val="17"/>
          <w:szCs w:val="17"/>
          <w:color w:val="auto"/>
        </w:rPr>
        <w:t>. In order that the Corporation may determine the stockholders entitled to receive payment of any dividend or other distribution or allotment or any rights or the stockholders entitled to exercise any rights in respect of any change, conversion or exchange of stock, or for the purposes of any other lawful action (other than stockholder meetings which are expressly governed by Section 11 of ARTICLE II hereof),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and in accordance with applicable law, the Certificate of Incorporation and any certificate of designation relating to any series of preferred stock, dividends upon the shares of capital stock</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00" w:name="page101"/>
    <w:bookmarkEnd w:id="100"/>
    <w:p>
      <w:pPr>
        <w:jc w:val="both"/>
        <w:spacing w:after="0" w:line="261" w:lineRule="auto"/>
        <w:rPr>
          <w:sz w:val="20"/>
          <w:szCs w:val="20"/>
          <w:color w:val="auto"/>
        </w:rPr>
      </w:pPr>
      <w:r>
        <w:rPr>
          <w:rFonts w:ascii="Times New Roman" w:cs="Times New Roman" w:eastAsia="Times New Roman" w:hAnsi="Times New Roman"/>
          <w:sz w:val="18"/>
          <w:szCs w:val="18"/>
          <w:color w:val="auto"/>
        </w:rPr>
        <w:t>of the Corporation may be declared and paid by the Board of Directors, in accordance with applicable law. Dividends may be paid in cash, in property or in shares of the Corporation’s capital stock, subject to the provisions of applicable law and the Certificate of Incorporation. Before payment of any dividend, there may be set aside out of any funds of the Corporation available for dividends a reserve or reserves for any proper purpose. The Board of Directors may modify or abolish any such reserves in the manner in which they were created.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Checks, Notes, Drafts, Etc</w:t>
      </w:r>
      <w:r>
        <w:rPr>
          <w:rFonts w:ascii="Times New Roman" w:cs="Times New Roman" w:eastAsia="Times New Roman" w:hAnsi="Times New Roman"/>
          <w:sz w:val="18"/>
          <w:szCs w:val="18"/>
          <w:color w:val="auto"/>
        </w:rPr>
        <w:t>. All checks, notes, drafts or other orders for the payment of money of the Corporation shall be signed, 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In addition to the powers otherwise granted to officers pursuant to ARTICLE IV hereof, the Board of Directors may authorize any officer or officers, or any agent or agents, in the name and on behalf of the Corporation to enter into or execute and deliver any and all deeds, bonds, mortgages, contracts and other obligations or instruments, and such authority may be general or confined to specific instances.</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be fixed by resolution of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provide a corporate seal which shall be in the form of a circle and shall have inscribed thereon the name of the Corporation and the words “Corporate Seal, Delaware.” The seal may be used by causing it or a facsimile thereof to be impressed or affixed or reproduced or otherwise. Notwithstanding the foregoing, no seal shall be required by virtue of this Section 5 of ARTICLE VI.</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Securities Owned By Corporation</w:t>
      </w:r>
      <w:r>
        <w:rPr>
          <w:rFonts w:ascii="Times New Roman" w:cs="Times New Roman" w:eastAsia="Times New Roman" w:hAnsi="Times New Roman"/>
          <w:sz w:val="18"/>
          <w:szCs w:val="18"/>
          <w:color w:val="auto"/>
        </w:rPr>
        <w:t>. Voting securities in any other corporation or entity held by the Corporation shall be voted by the Chairman of the Board, Chief Executive Officer, the President or the Chief Financial Officer,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Inspection of Books and Records</w:t>
      </w:r>
      <w:r>
        <w:rPr>
          <w:rFonts w:ascii="Times New Roman" w:cs="Times New Roman" w:eastAsia="Times New Roman" w:hAnsi="Times New Roman"/>
          <w:sz w:val="18"/>
          <w:szCs w:val="18"/>
          <w:color w:val="auto"/>
        </w:rPr>
        <w:t>. Subject to applicable law, the Board of Directors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laws of the State of Delaware, unless and until authorized so to do by resolution of the Board of Directors.</w:t>
      </w:r>
    </w:p>
    <w:p>
      <w:pPr>
        <w:spacing w:after="0" w:line="18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Facsimile Signatures</w:t>
      </w:r>
      <w:r>
        <w:rPr>
          <w:rFonts w:ascii="Times New Roman" w:cs="Times New Roman" w:eastAsia="Times New Roman" w:hAnsi="Times New Roman"/>
          <w:sz w:val="17"/>
          <w:szCs w:val="17"/>
          <w:color w:val="auto"/>
        </w:rPr>
        <w:t>. In addition to the provisions for use of facsimile signatures elsewhere specifically authorized in these Bylaws and subject to applicable law, facsimile signatures of any officer or officers of the Corporation may be used whenever and as authorized by the Board of Directors.</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 limiting or otherwise construing any provision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Inconsistent Provisions</w:t>
      </w:r>
      <w:r>
        <w:rPr>
          <w:rFonts w:ascii="Times New Roman" w:cs="Times New Roman" w:eastAsia="Times New Roman" w:hAnsi="Times New Roman"/>
          <w:sz w:val="18"/>
          <w:szCs w:val="18"/>
          <w:color w:val="auto"/>
        </w:rPr>
        <w:t>. In the event that any provision (or part thereof) of these Bylaws is or becomes inconsistent with any provision of the Certificate of Incorporation, the DGCL, any other applicable law or the Investor Rights Agreement, the provision (or part thereof) of these Bylaws shall not be given any effect to the extent of such inconsistency but shall otherwise be given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Unless otherwise provided by applicable law or expressly provided herein, in applying any provision of these Bylaws that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Right to Indemnification and Advancement</w:t>
      </w:r>
      <w:r>
        <w:rPr>
          <w:rFonts w:ascii="Times New Roman" w:cs="Times New Roman" w:eastAsia="Times New Roman" w:hAnsi="Times New Roman"/>
          <w:sz w:val="18"/>
          <w:szCs w:val="18"/>
          <w:color w:val="auto"/>
        </w:rPr>
        <w:t>. Each person who was or is made a party or is threatened to be made a party to or is otherwise involved (including involvement, without limitation, as a witness) in any actual or threatened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and related disbursements, judgments, fines, excise taxes or penalties under the Employee Retirement Income Security Act of 1974, as amended from time to time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any other penalties and amounts paid or to be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2 of this ARTICLE VII with respect to proceedings to enforce rights to indemnification, the Corporation shall indemnify any such indemnitee in connection with a proceeding (or part thereof) initiated by such indemnitee only if such proceeding (or part thereof) was authorized in the specific case by the Board of Directors of the Corporation. The right to indemnification conferred in this Section 1 of ARTICLE VII shall be a contract right. In addition to the right to indemnification conferred herein, an indemnitee shall also have the right, to the fullest extent not prohibited by law, to be paid by the Corporation the expenses incurred in defending any such proceeding in advance of its final disposition (an “</w:t>
      </w: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provided, however, that if and to the extent that the DGCL requires, an advance of expenses shall be made only upon delivery to the Corporation of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(a “</w:t>
      </w:r>
      <w:r>
        <w:rPr>
          <w:rFonts w:ascii="Times New Roman" w:cs="Times New Roman" w:eastAsia="Times New Roman" w:hAnsi="Times New Roman"/>
          <w:sz w:val="18"/>
          <w:szCs w:val="18"/>
          <w:u w:val="single" w:color="auto"/>
          <w:color w:val="auto"/>
        </w:rPr>
        <w:t>final adjudication</w:t>
      </w:r>
      <w:r>
        <w:rPr>
          <w:rFonts w:ascii="Times New Roman" w:cs="Times New Roman" w:eastAsia="Times New Roman" w:hAnsi="Times New Roman"/>
          <w:sz w:val="18"/>
          <w:szCs w:val="18"/>
          <w:color w:val="auto"/>
        </w:rPr>
        <w:t>”) that such indemnitee is not entitled to be indemnified for such expenses under this Section 1 of ARTICLE VII or otherwise. The Corporation may also, by action of its Board of Directors, provide indemnification and advancement to employees and agents of the Corporation.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 Any claim for indemnification or advance of expenses by an indemnitee under Section 1 of this ARTICLE VII shall be made promptly, and in any event within 45 days (or, in the case of an advance of expenses, 20 days, provided that the director or officer has delivered the undertaking contemplated by Section 1 of this ARTICLE VII if required), upon the written request of the indemnitee. If the Corporation denies a written request for indemnification or advance of expenses, in whole or in part, or if payment in full pursuant to such request is not made within 45 days (or, in the case of an advance of expenses, 20 days, provided that the indemnitee has delivered the undertaking contemplated by Section 1 of this ARTICLE VII if required), the right to indemnification or advances as granted by this ARTICLE VII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Section 1 of this ARTICLE VII, if any, has been tendered to the Corporation) that the claimant has not met the applicable standard of conduct which make it permissible under the DGCL for the Corporation to indemnify the claimant for the amount claimed, but the burden of proof shall be on the Corporation to the fullest extent permitted by law.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02" w:name="page103"/>
    <w:bookmarkEnd w:id="10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its own behalf and on behalf of any person who is or was or has agreed to become a director, officer, employee or agent of the Corporation or is or was serving at the request of the Corporation as a director,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the DGCL.</w:t>
      </w:r>
    </w:p>
    <w:p>
      <w:pPr>
        <w:spacing w:after="0" w:line="18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Service for Subsidiaries</w:t>
      </w:r>
      <w:r>
        <w:rPr>
          <w:rFonts w:ascii="Times New Roman" w:cs="Times New Roman" w:eastAsia="Times New Roman" w:hAnsi="Times New Roman"/>
          <w:sz w:val="17"/>
          <w:szCs w:val="17"/>
          <w:color w:val="auto"/>
        </w:rPr>
        <w:t>. Any person serving as a director, officer, partner, member, trustee, administrator, employee or agent of another corporation, partnership, limited liability company, joint venture, trust or other enterprise, at least 50% of whose equity interests are owned by the Corporation (a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for purposes of this ARTICLE VII) shall be conclusively presumed to be serving in such capacity at the request of the Corporation.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VII in entering into or continuing such service. To the fullest extent permitted by law, the rights to indemnification and to the advance of expenses conferred in this ARTICLE VII shall apply to claims made against an indemnitee arising out of acts or omissions which occurred or occur both prior and subsequent to the adoption hereof.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Non-Exclusivity of Rights; Continuation of Rights of Indemnification</w:t>
      </w:r>
      <w:r>
        <w:rPr>
          <w:rFonts w:ascii="Times New Roman" w:cs="Times New Roman" w:eastAsia="Times New Roman" w:hAnsi="Times New Roman"/>
          <w:sz w:val="18"/>
          <w:szCs w:val="18"/>
          <w:color w:val="auto"/>
        </w:rPr>
        <w:t>. The rights to indemnification and to the advance of expenses conferred in this ARTICLE VII shall not be exclusive of any other right which any person may have or hereafter acquire under the Certificate of Incorporation or under any statute, by-law, agreement, vote of stockholders or disinterested directors or otherwise. All rights to indemnification under this ARTICLE VII shall be deemed to be a contract between the Corporation and each director or officer of the Corporation who serves or served in such capacity at any time while this ARTICLE VII is in effect. Any repeal or modification of this ARTICLE VII or repeal or modification of relevant provisions of the DGCL or any other applicable laws shall not in any way diminish any rights to indemnification and advancement of expenses of such director or officer or the obligations of the Corporation arising hereunder with respect to any proceeding arising out of, or relating to, any actions, transactions or facts occurring prior to the final adoption of such repeal or modification.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VII with respect to the resulting or surviving corporation as he or she would have with respect to such constituent corporation if its separate existence had continued.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To the fullest extent permitted by law, if this ARTICLE VII or any portion hereof shall be invalidated on any ground by any court of competent jurisdiction, then the Corporation shall nevertheless indemnify and advance expenses to each person entitled to indemnification under Section 1 of this ARTICLE VII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advancement of expenses is available to such person pursuant to this ARTICLE VII to the fullest extent permitted by any applicable portion of this ARTICLE VII that shall not have been invalidated.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Bylaws may be amended, altered, changed or repealed or new Bylaws adopted only in accordance with Section 1 of ARTICLE ELEVEN of the Certificate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of the terms of the capital stock of The Simply Good Foods Company (“Simply Good Foods,” “we,” “our” or “us”) is based upon our amended and restated certificate of incorporation and our second amended and restated bylaws. The summary is not complete, and is qualified by reference to our amended and restated certificate of incorporation and our second amended and restated bylaws, each of which is filed as an exhibit to this Annual Report on Form 10-K, and incorporated by reference herein. We encourage you to read our amended and restated certificate of incorporation, our second amended and restated bylaws and the applicable provisions of the Delaware General Corporation Law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up to 600,000,000 shares of common stock, $0.01 par value per share (the “Common Stock”) and 100,000,000 shares of preferred stock, $0.01 par value per share (the “Preferred Stock”). No shares of Preferred Stock are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Simply Good Foods stockholders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the Common Stock will be entitled to receive an equal amount per share of all of our assets of whatever kind available for distribution to stockholders, after the rights of the holders of the Preferred Stock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Simply Good Foods’ board of directors is divided into three classes, Class I, Class II and Class III, with only one class of directors being elected in each year and each class (except for those directors appointed prior to our first annual meeting of stockholders) serving a three-year term. There is no cumulative voting with respect to the election of directors, with the result that the holders of more than 50% of the shares of Common Stock outstanding are able to elect all of its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100,000,000 shares of Preferred Stock in one or more series and to fix the rights, preferences, privileges, and restrictions thereof. No shares of Preferred Stock are outstanding, and we have no present plan to issue any shares of Preferred Stock.</w:t>
      </w:r>
    </w:p>
    <w:p>
      <w:pPr>
        <w:sectPr>
          <w:pgSz w:w="11900" w:h="16838" w:orient="portrait"/>
          <w:cols w:equalWidth="0" w:num="1">
            <w:col w:w="11420"/>
          </w:cols>
          <w:pgMar w:left="240" w:top="833"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Conyers Park’s initial public offering, Conyers Park Sponsor LLC (the “Sponsor”) purchased from Conyers Park an aggregate of 6,700,000 warrants (including warrants required to be purchased in connection with the over-allotment option) at a price of $1.50 per warrant in a private placement that occurred simultaneously with the closing of the initial public offering (the “Private Placement Warrants”). Each Private Placement Warrant is exercisable for one whole share of our Common Stock at a price of $11.50 per share. The Private Placement Warrants are non-redeemable and exercisable on a cashless basis so long as they are held by the Sponsor or its permitted transferees.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and the warrant agent for the Private Placement Warrants is Continental Stock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we have elected to opt out of the provisions of Section 203 of the Delaware General Corporation Law (the “DGCL”) regulating corporate takeovers and instead the amended and restated certificate of incorporation includes a provision that is substantially similar to Section 203 of the DGCL but carves out certain of our affiliates and their transferees from the definition of “interested stockholder” and makes certain related changes. This provision prevents us, under certain circumstances, from engaging in a “business combination” with:</w:t>
      </w:r>
    </w:p>
    <w:p>
      <w:pPr>
        <w:spacing w:after="0" w:line="180" w:lineRule="exact"/>
        <w:rPr>
          <w:sz w:val="20"/>
          <w:szCs w:val="20"/>
          <w:color w:val="auto"/>
        </w:rPr>
      </w:pPr>
    </w:p>
    <w:p>
      <w:pPr>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(other than certain of our affiliates that are carved out of the provision pursuant to our amended and restated certificate of incorporation) who owns 15% or more of our outstanding voting stock (otherwise known as an “interested stockholder”);</w:t>
      </w: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 A “business combination” includes a merger or sale of more than 10% of our assets.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the above provisions of Section 203 do not apply if:</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jc w:val="both"/>
        <w:ind w:left="980" w:hanging="324"/>
        <w:spacing w:after="0" w:line="255"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classified into three classes of directors. As a result, in most circumstances, a person will be able to gain control of our board only by successfully engaging in a proxy contest at three or more annual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be removed prior to the expiration of their terms by stockholders only for cause or upon the affirmative vote of at least 75% of the voting power of all outstanding shares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that changes or amendments to our amended and restated certificate of incorporation or second amended and restated bylaws must be approved by at least 66⅔% of the voting power of our outstanding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in the election of directors; our board of directors is empowered to elect a director to fill a vacancy created by the expansion of the board of directors or the resignation, death, or removal of a director in certain circumstances; and our advance notice procedures includes requirements that the stockholders must comply with in order to nominate candidates to our board of directors or to propose matters to be acted upon at a stockholders’ meeting.</w:t>
      </w:r>
    </w:p>
    <w:p>
      <w:pPr>
        <w:sectPr>
          <w:pgSz w:w="11900" w:h="16838" w:orient="portrait"/>
          <w:cols w:equalWidth="0" w:num="1">
            <w:col w:w="11420"/>
          </w:cols>
          <w:pgMar w:left="240" w:top="576" w:right="239" w:bottom="1440" w:gutter="0" w:footer="0" w:header="0"/>
        </w:sectPr>
      </w:pPr>
    </w:p>
    <w:bookmarkStart w:id="106" w:name="page107"/>
    <w:bookmarkEnd w:id="1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such suit will be deemed to have consented to service of process on such stockholder’s counsel.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“SMPL.”</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18.1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Simply Good Foods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1225 Seventeeth Street,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consolidated financial statements of The Simply Good Foods Company and its subsidiaries as of and for the year ended August 31, 2019, included in your Annual Report on Form 10-K to the Securities and Exchange Commission and have issued our report thereon dated October 30, 2019, which expresses an unqualified opinion and includes an explanatory paragraph concerning the change in accounting principle to reclassify shipping and handling costs from distribution expense to cost of goods sold. Note 2 to such consolidated financial statements contains a description of your adoption during the year ended August 31, 2019 of the reclassification of shipping and handling. In our judgment, such change is to an alternative accounting principle that is preferable under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Simply Good Foods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8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Intermediate Holdings, LLC</w:t>
            </w:r>
          </w:p>
        </w:tc>
        <w:tc>
          <w:tcPr>
            <w:tcW w:w="4840" w:type="dxa"/>
            <w:vAlign w:val="bottom"/>
            <w:tcBorders>
              <w:bottom w:val="single" w:sz="8" w:color="CCEEFF"/>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Conyers Park Acquisition Corp., Inc.</w:t>
            </w:r>
          </w:p>
        </w:tc>
        <w:tc>
          <w:tcPr>
            <w:tcW w:w="4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NCP-ATK Holdings, Inc.</w:t>
            </w:r>
          </w:p>
        </w:tc>
        <w:tc>
          <w:tcPr>
            <w:tcW w:w="4840" w:type="dxa"/>
            <w:vAlign w:val="bottom"/>
            <w:tcBorders>
              <w:bottom w:val="single" w:sz="8" w:color="CCEEFF"/>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Atkins Nutritional Holdings, Inc.</w:t>
            </w:r>
          </w:p>
        </w:tc>
        <w:tc>
          <w:tcPr>
            <w:tcW w:w="4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Nutritional Holdings II, Inc.</w:t>
            </w:r>
          </w:p>
        </w:tc>
        <w:tc>
          <w:tcPr>
            <w:tcW w:w="4840" w:type="dxa"/>
            <w:vAlign w:val="bottom"/>
            <w:tcBorders>
              <w:bottom w:val="single" w:sz="8" w:color="CCEEFF"/>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Atkins Nutritionals, Inc.</w:t>
            </w:r>
          </w:p>
        </w:tc>
        <w:tc>
          <w:tcPr>
            <w:tcW w:w="48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Wellness Foods Inc.</w:t>
            </w:r>
          </w:p>
        </w:tc>
        <w:tc>
          <w:tcPr>
            <w:tcW w:w="4840" w:type="dxa"/>
            <w:vAlign w:val="bottom"/>
            <w:tcBorders>
              <w:bottom w:val="single" w:sz="8" w:color="CCEEFF"/>
            </w:tcBorders>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Wellness Foods USA, LLC</w:t>
            </w:r>
          </w:p>
        </w:tc>
        <w:tc>
          <w:tcPr>
            <w:tcW w:w="4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International B.V.</w:t>
            </w:r>
          </w:p>
        </w:tc>
        <w:tc>
          <w:tcPr>
            <w:tcW w:w="4840" w:type="dxa"/>
            <w:vAlign w:val="bottom"/>
            <w:tcBorders>
              <w:bottom w:val="single" w:sz="8" w:color="CCEEFF"/>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Atkins Iberia, Sociedad Limitada</w:t>
            </w:r>
          </w:p>
        </w:tc>
        <w:tc>
          <w:tcPr>
            <w:tcW w:w="4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International LTD</w:t>
            </w:r>
          </w:p>
        </w:tc>
        <w:tc>
          <w:tcPr>
            <w:tcW w:w="4840" w:type="dxa"/>
            <w:vAlign w:val="bottom"/>
            <w:tcBorders>
              <w:bottom w:val="single" w:sz="8" w:color="CCEEFF"/>
            </w:tcBorders>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Atkins Nutritionals Australia PTY LTD</w:t>
            </w:r>
          </w:p>
        </w:tc>
        <w:tc>
          <w:tcPr>
            <w:tcW w:w="48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436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Atkins Nutritionals NZ Limited</w:t>
            </w:r>
          </w:p>
        </w:tc>
        <w:tc>
          <w:tcPr>
            <w:tcW w:w="48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7"/>
        </w:trPr>
        <w:tc>
          <w:tcPr>
            <w:tcW w:w="436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57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333-220776 on Form S-8 and Nos. 333-228696 and 333-234004 on Form S-3 of our reports dated October 30, 2019, relating to the consolidated financial statements of The Simply Good Foods Company and subsidiaries (the “Company”) as of and for the year ended August 31, 2019 (which report expresses an unqualified opinion and includes an explanatory paragraph relating to a change in accounting principle to reclassify shipping and handling costs from distribution expense to cost of goods sold), and the effectiveness of the Company’s internal control over financial reporting, appearing in this Annual Report on Form 10-K of The Simply Good Foods Company for the year ended August 31, 2019.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333-220776) pertaining to the 2017 Omnibus Incentive Plan of The Simply Good Foods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333-228696) and related prospectus of The Simply Good Foods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333- 234004) and related prospectus of The Simply Good Foods Company</w:t>
      </w:r>
    </w:p>
    <w:p>
      <w:pPr>
        <w:spacing w:after="0" w:line="26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of our report dated October 24, 2018, except with respect to our opinion on the consolidated financial statements insofar as it relates to the effects of the changes discussed in Note 2, “Change in Accounting Principal”, as to which the date is October 30, 2019, with respect to the consolidated financial statements included in this Annual Report (Form 10-K) of The Simply Good Foods Company and subsidiaries for the year ended August 31,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2019</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9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7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firstLine="5"/>
        <w:spacing w:after="0" w:line="282" w:lineRule="auto"/>
        <w:tabs>
          <w:tab w:leader="none" w:pos="182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7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8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5"/>
        <w:spacing w:after="0" w:line="282" w:lineRule="auto"/>
        <w:tabs>
          <w:tab w:leader="none" w:pos="18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5"/>
        <w:spacing w:after="0" w:line="282" w:lineRule="auto"/>
        <w:tabs>
          <w:tab w:leader="none" w:pos="18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30, 2019  By:</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224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color w:val="auto"/>
              </w:rPr>
              <w:t>Name:</w:t>
            </w:r>
          </w:p>
        </w:tc>
        <w:tc>
          <w:tcPr>
            <w:tcW w:w="3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4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7"/>
        </w:trPr>
        <w:tc>
          <w:tcPr>
            <w:tcW w:w="22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225" w:lineRule="exact"/>
        <w:rPr>
          <w:sz w:val="20"/>
          <w:szCs w:val="20"/>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9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7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firstLine="5"/>
        <w:spacing w:after="0" w:line="282" w:lineRule="auto"/>
        <w:tabs>
          <w:tab w:leader="none" w:pos="182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firstLine="5"/>
        <w:spacing w:after="0" w:line="266" w:lineRule="auto"/>
        <w:tabs>
          <w:tab w:leader="none" w:pos="17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8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5"/>
        <w:spacing w:after="0" w:line="282" w:lineRule="auto"/>
        <w:tabs>
          <w:tab w:leader="none" w:pos="181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5"/>
        <w:spacing w:after="0" w:line="282" w:lineRule="auto"/>
        <w:tabs>
          <w:tab w:leader="none" w:pos="18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30, 2019  By:</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33"/>
        </w:trPr>
        <w:tc>
          <w:tcPr>
            <w:tcW w:w="224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257"/>
        </w:trPr>
        <w:tc>
          <w:tcPr>
            <w:tcW w:w="22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Simply Good Foods Company (the “Company”) on Form 10-K for the fiscal year ended August 31, 2019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76" w:lineRule="exact"/>
        <w:rPr>
          <w:sz w:val="20"/>
          <w:szCs w:val="20"/>
          <w:color w:val="auto"/>
        </w:rPr>
      </w:pPr>
    </w:p>
    <w:p>
      <w:pPr>
        <w:ind w:left="840" w:hanging="184"/>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3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30, 2019</w:t>
            </w: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By:</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3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9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30, 2019</w:t>
            </w: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By:</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lvl w:ilvl="1">
      <w:lvlJc w:val="left"/>
      <w:lvlText w:val="\endash "/>
      <w:numFmt w:val="bullet"/>
      <w:start w:val="1"/>
    </w:lvl>
  </w:abstractNum>
  <w:abstractNum w:abstractNumId="24">
    <w:nsid w:val="153EA438"/>
    <w:multiLevelType w:val="hybridMultilevel"/>
    <w:lvl w:ilvl="0">
      <w:lvlJc w:val="left"/>
      <w:lvlText w:val="%1"/>
      <w:numFmt w:val="decimal"/>
      <w:start w:val="1"/>
    </w:lvl>
    <w:lvl w:ilvl="1">
      <w:lvlJc w:val="left"/>
      <w:lvlText w:val="(%2)"/>
      <w:numFmt w:val="decimal"/>
      <w:start w:val="1"/>
    </w:lvl>
  </w:abstractNum>
  <w:abstractNum w:abstractNumId="25">
    <w:nsid w:val="3855585C"/>
    <w:multiLevelType w:val="hybridMultilevel"/>
    <w:lvl w:ilvl="0">
      <w:lvlJc w:val="left"/>
      <w:lvlText w:val="%1."/>
      <w:numFmt w:val="decimal"/>
      <w:start w:val="3"/>
    </w:lvl>
    <w:lvl w:ilvl="1">
      <w:lvlJc w:val="left"/>
      <w:lvlText w:val="%2"/>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5"/>
    </w:lvl>
  </w:abstractNum>
  <w:abstractNum w:abstractNumId="28">
    <w:nsid w:val="2A487CB0"/>
    <w:multiLevelType w:val="hybridMultilevel"/>
    <w:lvl w:ilvl="0">
      <w:lvlJc w:val="left"/>
      <w:lvlText w:val="%1."/>
      <w:numFmt w:val="decimal"/>
      <w:start w:val="17"/>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lowerLetter"/>
      <w:start w:val="1"/>
    </w:lvl>
    <w:lvl w:ilvl="1">
      <w:lvlJc w:val="left"/>
      <w:lvlText w:val="(%2)"/>
      <w:numFmt w:val="lowerLetter"/>
      <w:start w:val="9"/>
    </w:lvl>
  </w:abstractNum>
  <w:abstractNum w:abstractNumId="35">
    <w:nsid w:val="542289EC"/>
    <w:multiLevelType w:val="hybridMultilevel"/>
    <w:lvl w:ilvl="0">
      <w:lvlJc w:val="left"/>
      <w:lvlText w:val="(%1)"/>
      <w:numFmt w:val="lowerRoman"/>
      <w:start w:val="2"/>
    </w:lvl>
    <w:lvl w:ilvl="1">
      <w:lvlJc w:val="left"/>
      <w:lvlText w:val="(%2)"/>
      <w:numFmt w:val="upperLetter"/>
      <w:start w:val="1"/>
    </w:lvl>
  </w:abstractNum>
  <w:abstractNum w:abstractNumId="36">
    <w:nsid w:val="6DE91B18"/>
    <w:multiLevelType w:val="hybridMultilevel"/>
    <w:lvl w:ilvl="0">
      <w:lvlJc w:val="left"/>
      <w:lvlText w:val="(%1)"/>
      <w:numFmt w:val="upperLetter"/>
      <w:start w:val="4"/>
    </w:lvl>
  </w:abstractNum>
  <w:abstractNum w:abstractNumId="37">
    <w:nsid w:val="38437FDB"/>
    <w:multiLevelType w:val="hybridMultilevel"/>
    <w:lvl w:ilvl="0">
      <w:lvlJc w:val="left"/>
      <w:lvlText w:val="%1"/>
      <w:numFmt w:val="lowerLetter"/>
      <w:start w:val="1"/>
    </w:lvl>
    <w:lvl w:ilvl="1">
      <w:lvlJc w:val="left"/>
      <w:lvlText w:val="(%2)"/>
      <w:numFmt w:val="lowerRoman"/>
      <w:start w:val="4"/>
    </w:lvl>
  </w:abstractNum>
  <w:abstractNum w:abstractNumId="38">
    <w:nsid w:val="7644A45C"/>
    <w:multiLevelType w:val="hybridMultilevel"/>
    <w:lvl w:ilvl="0">
      <w:lvlJc w:val="left"/>
      <w:lvlText w:val="(%1)"/>
      <w:numFmt w:val="lowerLetter"/>
      <w:start w:val="2"/>
    </w:lvl>
    <w:lvl w:ilvl="1">
      <w:lvlJc w:val="left"/>
      <w:lvlText w:val="(%2)"/>
      <w:numFmt w:val="lowerRoman"/>
      <w:start w:val="1"/>
    </w:lvl>
  </w:abstractNum>
  <w:abstractNum w:abstractNumId="39">
    <w:nsid w:val="32FFF902"/>
    <w:multiLevelType w:val="hybridMultilevel"/>
    <w:lvl w:ilvl="0">
      <w:lvlJc w:val="left"/>
      <w:lvlText w:val="%1"/>
      <w:numFmt w:val="upperLetter"/>
      <w:start w:val="35"/>
    </w:lvl>
    <w:lvl w:ilvl="1">
      <w:lvlJc w:val="left"/>
      <w:lvlText w:val="(%2)"/>
      <w:numFmt w:val="lowerRoman"/>
      <w:start w:val="3"/>
    </w:lvl>
  </w:abstractNum>
  <w:abstractNum w:abstractNumId="40">
    <w:nsid w:val="684A481A"/>
    <w:multiLevelType w:val="hybridMultilevel"/>
    <w:lvl w:ilvl="0">
      <w:lvlJc w:val="left"/>
      <w:lvlText w:val="%1"/>
      <w:numFmt w:val="lowerRoman"/>
      <w:start w:val="1"/>
    </w:lvl>
    <w:lvl w:ilvl="1">
      <w:lvlJc w:val="left"/>
      <w:lvlText w:val="(%2)"/>
      <w:numFmt w:val="lowerRoman"/>
      <w:start w:val="4"/>
    </w:lvl>
  </w:abstractNum>
  <w:abstractNum w:abstractNumId="41">
    <w:nsid w:val="579478FE"/>
    <w:multiLevelType w:val="hybridMultilevel"/>
    <w:lvl w:ilvl="0">
      <w:lvlJc w:val="left"/>
      <w:lvlText w:val="(%1)"/>
      <w:numFmt w:val="lowerRoman"/>
      <w:start w:val="2"/>
    </w:lvl>
    <w:lvl w:ilvl="1">
      <w:lvlJc w:val="left"/>
      <w:lvlText w:val="%2"/>
      <w:numFmt w:val="lowerRoman"/>
      <w:start w:val="1"/>
    </w:lvl>
  </w:abstractNum>
  <w:abstractNum w:abstractNumId="42">
    <w:nsid w:val="749ABB43"/>
    <w:multiLevelType w:val="hybridMultilevel"/>
    <w:lvl w:ilvl="0">
      <w:lvlJc w:val="left"/>
      <w:lvlText w:val="(%1)"/>
      <w:numFmt w:val="lowerLetter"/>
      <w:start w:val="3"/>
    </w:lvl>
  </w:abstractNum>
  <w:abstractNum w:abstractNumId="43">
    <w:nsid w:val="3DC240FB"/>
    <w:multiLevelType w:val="hybridMultilevel"/>
    <w:lvl w:ilvl="0">
      <w:lvlJc w:val="left"/>
      <w:lvlText w:val="(%1)"/>
      <w:numFmt w:val="lowerLetter"/>
      <w:start w:val="5"/>
    </w:lvl>
    <w:lvl w:ilvl="1">
      <w:lvlJc w:val="left"/>
      <w:lvlText w:val="(%2)"/>
      <w:numFmt w:val="lowerRoman"/>
      <w:start w:val="1"/>
    </w:lvl>
  </w:abstractNum>
  <w:abstractNum w:abstractNumId="44">
    <w:nsid w:val="1BA026FA"/>
    <w:multiLevelType w:val="hybridMultilevel"/>
    <w:lvl w:ilvl="0">
      <w:lvlJc w:val="left"/>
      <w:lvlText w:val="%1"/>
      <w:numFmt w:val="upperLetter"/>
      <w:start w:val="1"/>
    </w:lvl>
    <w:lvl w:ilvl="1">
      <w:lvlJc w:val="left"/>
      <w:lvlText w:val="(%2)"/>
      <w:numFmt w:val="lowerLetter"/>
      <w:start w:val="7"/>
    </w:lvl>
  </w:abstractNum>
  <w:abstractNum w:abstractNumId="45">
    <w:nsid w:val="79A1DEAA"/>
    <w:multiLevelType w:val="hybridMultilevel"/>
    <w:lvl w:ilvl="0">
      <w:lvlJc w:val="left"/>
      <w:lvlText w:val="(%1)"/>
      <w:numFmt w:val="upperLetter"/>
      <w:start w:val="7"/>
    </w:lvl>
    <w:lvl w:ilvl="1">
      <w:lvlJc w:val="left"/>
      <w:lvlText w:val="(%2)"/>
      <w:numFmt w:val="lowerLetter"/>
      <w:start w:val="8"/>
    </w:lvl>
  </w:abstractNum>
  <w:abstractNum w:abstractNumId="46">
    <w:nsid w:val="75C6C33A"/>
    <w:multiLevelType w:val="hybridMultilevel"/>
    <w:lvl w:ilvl="0">
      <w:lvlJc w:val="left"/>
      <w:lvlText w:val="%1"/>
      <w:numFmt w:val="lowerRoman"/>
      <w:start w:val="1"/>
    </w:lvl>
    <w:lvl w:ilvl="1">
      <w:lvlJc w:val="left"/>
      <w:lvlText w:val="(%2)"/>
      <w:numFmt w:val="lowerLetter"/>
      <w:start w:val="1"/>
    </w:lvl>
  </w:abstractNum>
  <w:abstractNum w:abstractNumId="47">
    <w:nsid w:val="12E685FB"/>
    <w:multiLevelType w:val="hybridMultilevel"/>
    <w:lvl w:ilvl="0">
      <w:lvlJc w:val="left"/>
      <w:lvlText w:val="(%1)"/>
      <w:numFmt w:val="lowerRoman"/>
      <w:start w:val="4"/>
    </w:lvl>
    <w:lvl w:ilvl="1">
      <w:lvlJc w:val="left"/>
      <w:lvlText w:val="(%2)"/>
      <w:numFmt w:val="lowerLetter"/>
      <w:start w:val="3"/>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6" Type="http://schemas.openxmlformats.org/officeDocument/2006/relationships/image" Target="media/image36.png"/><Relationship Id="rId49" Type="http://schemas.openxmlformats.org/officeDocument/2006/relationships/image" Target="media/image37.png"/><Relationship Id="rId51" Type="http://schemas.openxmlformats.org/officeDocument/2006/relationships/image" Target="media/image38.png"/><Relationship Id="rId67" Type="http://schemas.openxmlformats.org/officeDocument/2006/relationships/image" Target="media/image39.png"/><Relationship Id="rId42" Type="http://schemas.openxmlformats.org/officeDocument/2006/relationships/hyperlink" Target="http://www.sec.gov/Archives/edgar/data/1672985/000121390017003619/fs42017_simplygoodfood.htm" TargetMode="External"/><Relationship Id="rId43" Type="http://schemas.openxmlformats.org/officeDocument/2006/relationships/hyperlink" Target="http://www.sec.gov/Archives/edgar/data/1702744/000110465919046862/a19-17478_1ex2d1.htm" TargetMode="External"/><Relationship Id="rId45" Type="http://schemas.openxmlformats.org/officeDocument/2006/relationships/hyperlink" Target="http://www.sec.gov/Archives/edgar/data/1702744/000121390017007546/f8k070717ex3i_simplygood.htm" TargetMode="External"/><Relationship Id="rId47" Type="http://schemas.openxmlformats.org/officeDocument/2006/relationships/hyperlink" Target="http://www.sec.gov/Archives/edgar/data/1672985/000121390017006350/fs42017ex4i_simplygood.htm" TargetMode="External"/><Relationship Id="rId48" Type="http://schemas.openxmlformats.org/officeDocument/2006/relationships/hyperlink" Target="http://www.sec.gov/Archives/edgar/data/1672985/000121390016015123/f8k071416ex4i_conyerspark.htm" TargetMode="External"/><Relationship Id="rId50" Type="http://schemas.openxmlformats.org/officeDocument/2006/relationships/hyperlink" Target="http://www.sec.gov/Archives/edgar/data/1702744/000121390017007546/f8k070717ex4i_simplygood.htm" TargetMode="External"/><Relationship Id="rId52" Type="http://schemas.openxmlformats.org/officeDocument/2006/relationships/hyperlink" Target="http://www.sec.gov/Archives/edgar/data/1702744/000121390017007546/f8k070717ex10ii_simplygood.htm" TargetMode="External"/><Relationship Id="rId53" Type="http://schemas.openxmlformats.org/officeDocument/2006/relationships/hyperlink" Target="http://www.sec.gov/Archives/edgar/data/1672985/000121390017006350/fs42017ex10iii_simplygood.htm" TargetMode="External"/><Relationship Id="rId54" Type="http://schemas.openxmlformats.org/officeDocument/2006/relationships/hyperlink" Target="http://www.sec.gov/Archives/edgar/data/1702744/000121390017005264/fs42017a1ex10vii_simplygood.htm" TargetMode="External"/><Relationship Id="rId55" Type="http://schemas.openxmlformats.org/officeDocument/2006/relationships/hyperlink" Target="http://www.sec.gov/Archives/edgar/data/1672985/000121390017006350/fs42017ex10viii_simplygood.htm" TargetMode="External"/><Relationship Id="rId56" Type="http://schemas.openxmlformats.org/officeDocument/2006/relationships/hyperlink" Target="http://www.sec.gov/Archives/edgar/data/1702744/000121390017007546/f8k070717ex10i_simplygood.htm" TargetMode="External"/><Relationship Id="rId57" Type="http://schemas.openxmlformats.org/officeDocument/2006/relationships/hyperlink" Target="http://www.sec.gov/Archives/edgar/data/1702744/000121390017007546/f8k070717ex10vii_simplygood.htm" TargetMode="External"/><Relationship Id="rId58" Type="http://schemas.openxmlformats.org/officeDocument/2006/relationships/hyperlink" Target="http://www.sec.gov/Archives/edgar/data/1702744/000121390017007546/f8k070717ex10viii_simplygood.htm" TargetMode="External"/><Relationship Id="rId59" Type="http://schemas.openxmlformats.org/officeDocument/2006/relationships/hyperlink" Target="http://www.sec.gov/Archives/edgar/data/1702744/000121390017007546/f8k070717ex10vi_simplygood.htm" TargetMode="External"/><Relationship Id="rId60" Type="http://schemas.openxmlformats.org/officeDocument/2006/relationships/hyperlink" Target="http://www.sec.gov/Archives/edgar/data/1702744/000170274418000072/traterminationagreement.htm" TargetMode="External"/><Relationship Id="rId61" Type="http://schemas.openxmlformats.org/officeDocument/2006/relationships/hyperlink" Target="http://www.sec.gov/Archives/edgar/data/1702744/000170274417000006/exhibit101.htm" TargetMode="External"/><Relationship Id="rId62" Type="http://schemas.openxmlformats.org/officeDocument/2006/relationships/hyperlink" Target="http://www.sec.gov/Archives/edgar/data/1702744/000170274417000009/exhibit102_8ka.htm" TargetMode="External"/><Relationship Id="rId63" Type="http://schemas.openxmlformats.org/officeDocument/2006/relationships/hyperlink" Target="http://www.sec.gov/Archives/edgar/data/1702744/000121390018003172/f8k032018_simplygoodfood.htm" TargetMode="External"/><Relationship Id="rId64" Type="http://schemas.openxmlformats.org/officeDocument/2006/relationships/hyperlink" Target="http://www.sec.gov/Archives/edgar/data/1702744/000170274418000057/smpl_072718x8kxex101.htm" TargetMode="External"/><Relationship Id="rId65" Type="http://schemas.openxmlformats.org/officeDocument/2006/relationships/hyperlink" Target="http://www.sec.gov/Archives/edgar/data/1702744/000170274418000057/smpl_072718x8kxex102.htm" TargetMode="External"/><Relationship Id="rId66" Type="http://schemas.openxmlformats.org/officeDocument/2006/relationships/hyperlink" Target="http://www.sec.gov/Archives/edgar/data/1702744/000170274419000044/smpl_exhibit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2019-12-28T04:29:30Z</dcterms:created>
  <dcterms:modified xsi:type="dcterms:W3CDTF">2019-12-28T04:29:30Z</dcterms:modified>
</cp:coreProperties>
</file>