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-10795</wp:posOffset>
            </wp:positionV>
            <wp:extent cx="14541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415" cy="196850"/>
                    </a:xfrm>
                    <a:prstGeom prst="rect">
                      <a:avLst/>
                    </a:prstGeom>
                    <a:noFill/>
                  </pic:spPr>
                </pic:pic>
              </a:graphicData>
            </a:graphic>
          </wp:anchor>
        </w:drawing>
      </w:r>
    </w:p>
    <w:p>
      <w:pPr>
        <w:jc w:val="both"/>
        <w:ind w:left="360" w:right="36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450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4507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40" w:space="28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KILTS JAMES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 GREENWICH OFFICE PARK, 2ND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Conyers Park Acquisition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CPAA</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8"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07/07/2017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500" w:space="580"/>
            <w:col w:w="3520" w:space="457"/>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80" w:type="dxa"/>
            <w:vAlign w:val="bottom"/>
          </w:tcPr>
          <w:p>
            <w:pPr>
              <w:spacing w:after="0"/>
              <w:rPr>
                <w:sz w:val="20"/>
                <w:szCs w:val="20"/>
                <w:color w:val="auto"/>
              </w:rPr>
            </w:pPr>
            <w:r>
              <w:rPr>
                <w:rFonts w:ascii="Arial" w:cs="Arial" w:eastAsia="Arial" w:hAnsi="Arial"/>
                <w:sz w:val="18"/>
                <w:szCs w:val="18"/>
                <w:color w:val="0000FF"/>
              </w:rPr>
              <w:t>GREENWICH</w:t>
            </w:r>
          </w:p>
        </w:tc>
        <w:tc>
          <w:tcPr>
            <w:tcW w:w="940" w:type="dxa"/>
            <w:vAlign w:val="bottom"/>
          </w:tcPr>
          <w:p>
            <w:pPr>
              <w:ind w:left="100"/>
              <w:spacing w:after="0"/>
              <w:rPr>
                <w:sz w:val="20"/>
                <w:szCs w:val="20"/>
                <w:color w:val="auto"/>
              </w:rPr>
            </w:pPr>
            <w:r>
              <w:rPr>
                <w:rFonts w:ascii="Arial" w:cs="Arial" w:eastAsia="Arial" w:hAnsi="Arial"/>
                <w:sz w:val="18"/>
                <w:szCs w:val="18"/>
                <w:color w:val="0000FF"/>
              </w:rPr>
              <w:t>CT</w:t>
            </w:r>
          </w:p>
        </w:tc>
        <w:tc>
          <w:tcPr>
            <w:tcW w:w="1680" w:type="dxa"/>
            <w:vAlign w:val="bottom"/>
          </w:tcPr>
          <w:p>
            <w:pPr>
              <w:ind w:left="420"/>
              <w:spacing w:after="0"/>
              <w:rPr>
                <w:sz w:val="20"/>
                <w:szCs w:val="20"/>
                <w:color w:val="auto"/>
              </w:rPr>
            </w:pPr>
            <w:r>
              <w:rPr>
                <w:rFonts w:ascii="Arial" w:cs="Arial" w:eastAsia="Arial" w:hAnsi="Arial"/>
                <w:sz w:val="18"/>
                <w:szCs w:val="18"/>
                <w:color w:val="0000FF"/>
              </w:rPr>
              <w:t>06831</w:t>
            </w:r>
          </w:p>
        </w:tc>
      </w:tr>
      <w:tr>
        <w:trPr>
          <w:trHeight w:val="158"/>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(City)</w:t>
            </w:r>
          </w:p>
        </w:tc>
        <w:tc>
          <w:tcPr>
            <w:tcW w:w="940" w:type="dxa"/>
            <w:vAlign w:val="bottom"/>
          </w:tcPr>
          <w:p>
            <w:pPr>
              <w:ind w:left="1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10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gridSpan w:val="2"/>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140"/>
        <w:spacing w:after="0" w:line="318" w:lineRule="auto"/>
        <w:rPr>
          <w:sz w:val="20"/>
          <w:szCs w:val="20"/>
          <w:color w:val="auto"/>
        </w:rPr>
      </w:pPr>
      <w:r>
        <w:rPr>
          <w:rFonts w:ascii="Arial" w:cs="Arial" w:eastAsia="Arial" w:hAnsi="Arial"/>
          <w:sz w:val="12"/>
          <w:szCs w:val="12"/>
          <w:color w:val="008000"/>
        </w:rPr>
        <w:t>In connection with the merger of Conyers Park Acquisition Corp. (the "Issuer") with and into a subsidiary of The Simply Good Foods Company ("SGFC"), and a series of related transactions (collectively, the "Business Combination"), the Reporting Person will no longer be subject to the reporting requirements of Section 16 with respect to the Issuer's securities. Exhibit 24: Power of Attorney</w:t>
      </w:r>
    </w:p>
    <w:p>
      <w:pPr>
        <w:sectPr>
          <w:pgSz w:w="11900" w:h="16838" w:orient="portrait"/>
          <w:cols w:equalWidth="0" w:num="1">
            <w:col w:w="11420"/>
          </w:cols>
          <w:pgMar w:left="240" w:top="226" w:right="239" w:bottom="1440" w:gutter="0" w:footer="0" w:header="0"/>
          <w:type w:val="continuous"/>
        </w:sectPr>
      </w:pPr>
    </w:p>
    <w:p>
      <w:pPr>
        <w:spacing w:after="0" w:line="15"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David J. West,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627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2710" cy="8890"/>
                    </a:xfrm>
                    <a:prstGeom prst="rect">
                      <a:avLst/>
                    </a:prstGeom>
                    <a:noFill/>
                  </pic:spPr>
                </pic:pic>
              </a:graphicData>
            </a:graphic>
          </wp:anchor>
        </w:drawing>
      </w:r>
    </w:p>
    <w:p>
      <w:pPr>
        <w:spacing w:after="0" w:line="18"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in-Fact for James M. Kilts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734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11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5"/>
          <w:szCs w:val="15"/>
          <w:color w:val="0000FF"/>
        </w:rPr>
        <w:t>07/11/2017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4"/>
          <w:szCs w:val="24"/>
          <w:color w:val="auto"/>
        </w:rPr>
      </w:pPr>
    </w:p>
    <w:p>
      <w:pPr>
        <w:sectPr>
          <w:pgSz w:w="11900" w:h="16838" w:orient="portrait"/>
          <w:cols w:equalWidth="0" w:num="2">
            <w:col w:w="9020" w:space="14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24.1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KNOW ALL BY THESE PRESENTS, that the undersigned hereby makes, constitutes and appoints Brian K. Ratzan and David J. West, signing singly, the undersigned's true and lawful attorneys-in-fact, with full power and authority as hereinafter described on behalf of and in the name, place and stead of the undersigned to:</w:t>
      </w:r>
    </w:p>
    <w:p>
      <w:pPr>
        <w:spacing w:after="0" w:line="208" w:lineRule="exact"/>
        <w:rPr>
          <w:sz w:val="20"/>
          <w:szCs w:val="20"/>
          <w:color w:val="auto"/>
        </w:rPr>
      </w:pPr>
    </w:p>
    <w:p>
      <w:pPr>
        <w:jc w:val="both"/>
        <w:ind w:left="1300" w:hanging="644"/>
        <w:spacing w:after="0" w:line="255"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 director, officer or beneficial owner of shares of common stock of Conyers Park Acquisition Corp.,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any Schedule 13D or Schedule 13G, and any amendments, supplements or exhibits thereto (including any joint filing agreements) required to be filed by the undersigned under Section 13 of the Securities Exchange Act of 1934, as amended, and the rules and regulations promulgated thereunder (the “</w:t>
      </w:r>
      <w:r>
        <w:rPr>
          <w:rFonts w:ascii="Arial" w:cs="Arial" w:eastAsia="Arial" w:hAnsi="Arial"/>
          <w:sz w:val="18"/>
          <w:szCs w:val="18"/>
          <w:u w:val="single" w:color="auto"/>
          <w:color w:val="auto"/>
        </w:rPr>
        <w:t>Exchange Act</w:t>
      </w:r>
      <w:r>
        <w:rPr>
          <w:rFonts w:ascii="Arial" w:cs="Arial" w:eastAsia="Arial" w:hAnsi="Arial"/>
          <w:sz w:val="18"/>
          <w:szCs w:val="18"/>
          <w:color w:val="auto"/>
        </w:rPr>
        <w:t>”), and any Forms 3, 4, and 5 and any amendments, supplements or exhibits thereto required to be filed by the undersigned under Section 16(a) of the Exchange Act;</w:t>
      </w:r>
    </w:p>
    <w:p>
      <w:pPr>
        <w:spacing w:after="0" w:line="193"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Schedule 13D, Schedule 13G, Form 3, 4, or 5 and timely file such forms with the United States Securities and Exchange Commission and any stock exchange on which the Common Stock of the Company is then listed; and</w:t>
      </w:r>
    </w:p>
    <w:p>
      <w:pPr>
        <w:spacing w:after="0" w:line="181"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undersigned hereby grants to such attorneys-in-fact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13 and Section 16 of the Exchange Act.</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reports or schedules under Section 13 or Section 16 of the Exchange Act with respect to the undersigned's holdings of and transactions in securities issued by the Company, unless earlier revoked by the undersigned in a signed writing delivered to the foregoing attorneys-in-fact.</w:t>
      </w:r>
    </w:p>
    <w:p>
      <w:pPr>
        <w:spacing w:after="0" w:line="181"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IN WITNESS WHEREOF, the undersigned has caused this Power of Attorney to be executed as of this 7th day of July 2017.</w:t>
      </w:r>
    </w:p>
    <w:p>
      <w:pPr>
        <w:spacing w:after="0" w:line="225"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M. Kilts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4302760</wp:posOffset>
            </wp:positionH>
            <wp:positionV relativeFrom="paragraph">
              <wp:posOffset>14605</wp:posOffset>
            </wp:positionV>
            <wp:extent cx="252984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James M. Kilts</w:t>
      </w:r>
    </w:p>
    <w:p>
      <w:pPr>
        <w:spacing w:after="0" w:line="23" w:lineRule="exact"/>
        <w:rPr>
          <w:sz w:val="20"/>
          <w:szCs w:val="20"/>
          <w:color w:val="auto"/>
        </w:rPr>
      </w:pPr>
    </w:p>
    <w:p>
      <w:pPr>
        <w:jc w:val="both"/>
        <w:ind w:left="6200"/>
        <w:spacing w:after="0"/>
        <w:tabs>
          <w:tab w:leader="none" w:pos="6760" w:val="left"/>
        </w:tabs>
        <w:rPr>
          <w:sz w:val="20"/>
          <w:szCs w:val="20"/>
          <w:color w:val="auto"/>
        </w:rPr>
      </w:pPr>
      <w:r>
        <w:rPr>
          <w:rFonts w:ascii="Arial" w:cs="Arial" w:eastAsia="Arial" w:hAnsi="Arial"/>
          <w:sz w:val="18"/>
          <w:szCs w:val="18"/>
          <w:color w:val="auto"/>
        </w:rPr>
        <w:t>Title:</w:t>
        <w:tab/>
        <w:t>Executive 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554355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0100"/>
      </w:cols>
      <w:pgMar w:left="900" w:top="908" w:right="8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2" Type="http://schemas.openxmlformats.org/officeDocument/2006/relationships/hyperlink" Target="http://www.sec.gov/cgi-bin/browse-edgar?action=getcompany&amp;CIK=0001025094" TargetMode="External"/><Relationship Id="rId13" Type="http://schemas.openxmlformats.org/officeDocument/2006/relationships/hyperlink" Target="http://www.sec.gov/cgi-bin/browse-edgar?action=getcompany&amp;CIK=00016729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2019-12-24T04:57:29Z</dcterms:created>
  <dcterms:modified xsi:type="dcterms:W3CDTF">2019-12-24T04:57:29Z</dcterms:modified>
</cp:coreProperties>
</file>